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9" w:rsidRDefault="00843049" w:rsidP="00B20648">
      <w:pPr>
        <w:spacing w:after="120"/>
        <w:jc w:val="right"/>
        <w:rPr>
          <w:rFonts w:ascii="Verdana" w:hAnsi="Verdana" w:cs="Bookman Old Style"/>
          <w:b/>
          <w:bCs/>
        </w:rPr>
      </w:pPr>
    </w:p>
    <w:p w:rsidR="00EF166C" w:rsidRDefault="00EF166C" w:rsidP="00B20648">
      <w:pPr>
        <w:spacing w:after="120"/>
        <w:jc w:val="right"/>
        <w:rPr>
          <w:rFonts w:ascii="Verdana" w:hAnsi="Verdana"/>
          <w:b/>
        </w:rPr>
      </w:pPr>
    </w:p>
    <w:p w:rsidR="00EF166C" w:rsidRDefault="00EF166C" w:rsidP="00B20648">
      <w:pPr>
        <w:spacing w:after="120"/>
        <w:jc w:val="right"/>
        <w:rPr>
          <w:rFonts w:ascii="Verdana" w:hAnsi="Verdana"/>
          <w:b/>
        </w:rPr>
      </w:pPr>
    </w:p>
    <w:p w:rsidR="00EF166C" w:rsidRDefault="00EF166C" w:rsidP="00B20648">
      <w:pPr>
        <w:spacing w:after="120"/>
        <w:jc w:val="right"/>
        <w:rPr>
          <w:rFonts w:ascii="Verdana" w:hAnsi="Verdana"/>
          <w:b/>
        </w:rPr>
      </w:pPr>
    </w:p>
    <w:p w:rsidR="00A72EF8" w:rsidRPr="00B20648" w:rsidRDefault="00B20648" w:rsidP="00B20648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031E1C" w:rsidRPr="006C6FC5" w:rsidTr="00843555">
        <w:tc>
          <w:tcPr>
            <w:tcW w:w="9212" w:type="dxa"/>
          </w:tcPr>
          <w:p w:rsidR="00031E1C" w:rsidRPr="00814CAF" w:rsidRDefault="007744E9" w:rsidP="00181205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744E9">
              <w:rPr>
                <w:rFonts w:ascii="Verdana" w:hAnsi="Verdana"/>
                <w:bCs/>
                <w:sz w:val="18"/>
                <w:szCs w:val="18"/>
              </w:rPr>
              <w:t>Efektívnymi službami k občanovi</w:t>
            </w:r>
          </w:p>
        </w:tc>
      </w:tr>
    </w:tbl>
    <w:p w:rsidR="00A72EF8" w:rsidRDefault="00A72EF8" w:rsidP="00A72EF8">
      <w:pPr>
        <w:rPr>
          <w:rFonts w:ascii="Verdana" w:hAnsi="Verdana"/>
          <w:sz w:val="18"/>
          <w:szCs w:val="18"/>
        </w:rPr>
      </w:pPr>
    </w:p>
    <w:p w:rsidR="00EF166C" w:rsidRPr="006C6FC5" w:rsidRDefault="00EF166C" w:rsidP="00A72EF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C6FC5" w:rsidRDefault="00D377A7" w:rsidP="00D377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C6FC5">
              <w:rPr>
                <w:rFonts w:ascii="Verdana" w:hAnsi="Verdana" w:cs="ArialMT"/>
                <w:sz w:val="18"/>
                <w:szCs w:val="18"/>
                <w:lang w:eastAsia="sk-SK"/>
              </w:rPr>
              <w:t>Opera</w:t>
            </w:r>
            <w:r w:rsidRPr="006C6FC5">
              <w:rPr>
                <w:rFonts w:ascii="Verdana" w:hAnsi="Verdana"/>
                <w:sz w:val="18"/>
                <w:szCs w:val="18"/>
              </w:rPr>
              <w:t>č</w:t>
            </w:r>
            <w:r w:rsidRPr="006C6FC5">
              <w:rPr>
                <w:rFonts w:ascii="Verdana" w:hAnsi="Verdana" w:cs="ArialMT"/>
                <w:sz w:val="18"/>
                <w:szCs w:val="18"/>
                <w:lang w:eastAsia="sk-SK"/>
              </w:rPr>
              <w:t>ný program Zamestnanosť a sociálna inklúzia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EF166C" w:rsidRDefault="00EF166C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746546" w:rsidRPr="00593C83" w:rsidRDefault="00D377A7" w:rsidP="00FA7761">
            <w:pPr>
              <w:rPr>
                <w:rFonts w:ascii="Verdana" w:hAnsi="Verdana"/>
                <w:sz w:val="18"/>
                <w:szCs w:val="18"/>
                <w:lang w:eastAsia="sk-SK"/>
              </w:rPr>
            </w:pPr>
            <w:r w:rsidRPr="00593C83">
              <w:rPr>
                <w:rFonts w:ascii="Verdana" w:hAnsi="Verdana"/>
                <w:sz w:val="18"/>
                <w:szCs w:val="18"/>
              </w:rPr>
              <w:t xml:space="preserve">Kód výzvy: </w:t>
            </w:r>
            <w:r w:rsidR="003E3335" w:rsidRPr="003E3335">
              <w:rPr>
                <w:rFonts w:ascii="Verdana" w:hAnsi="Verdana"/>
                <w:sz w:val="18"/>
                <w:szCs w:val="18"/>
                <w:lang w:eastAsia="sk-SK"/>
              </w:rPr>
              <w:t xml:space="preserve">OP </w:t>
            </w:r>
            <w:proofErr w:type="spellStart"/>
            <w:r w:rsidR="003E3335" w:rsidRPr="003E3335">
              <w:rPr>
                <w:rFonts w:ascii="Verdana" w:hAnsi="Verdana"/>
                <w:sz w:val="18"/>
                <w:szCs w:val="18"/>
                <w:lang w:eastAsia="sk-SK"/>
              </w:rPr>
              <w:t>ZaSI</w:t>
            </w:r>
            <w:proofErr w:type="spellEnd"/>
            <w:r w:rsidR="003E3335" w:rsidRPr="003E3335">
              <w:rPr>
                <w:rFonts w:ascii="Verdana" w:hAnsi="Verdana"/>
                <w:sz w:val="18"/>
                <w:szCs w:val="18"/>
                <w:lang w:eastAsia="sk-SK"/>
              </w:rPr>
              <w:t xml:space="preserve"> NP 2015/1.1/04</w:t>
            </w:r>
          </w:p>
          <w:p w:rsidR="00D377A7" w:rsidRPr="00A26847" w:rsidRDefault="00D377A7" w:rsidP="00A2684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93C83">
              <w:rPr>
                <w:rFonts w:ascii="Verdana" w:hAnsi="Verdana"/>
                <w:sz w:val="18"/>
                <w:szCs w:val="18"/>
              </w:rPr>
              <w:t>ITMS kód projektu</w:t>
            </w:r>
            <w:r w:rsidR="00932923" w:rsidRPr="00593C83">
              <w:rPr>
                <w:rFonts w:ascii="Verdana" w:hAnsi="Verdana"/>
                <w:sz w:val="18"/>
                <w:szCs w:val="18"/>
              </w:rPr>
              <w:t>:</w:t>
            </w:r>
            <w:r w:rsidR="00932923" w:rsidRPr="00593C83">
              <w:rPr>
                <w:sz w:val="24"/>
                <w:szCs w:val="24"/>
                <w:lang w:eastAsia="sk-SK"/>
              </w:rPr>
              <w:t xml:space="preserve"> </w:t>
            </w:r>
            <w:r w:rsidR="003E3335" w:rsidRPr="003E3335">
              <w:rPr>
                <w:rFonts w:ascii="Verdana" w:hAnsi="Verdana"/>
                <w:sz w:val="18"/>
                <w:szCs w:val="18"/>
                <w:lang w:eastAsia="sk-SK"/>
              </w:rPr>
              <w:t>27110130045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8175F2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814CAF" w:rsidRPr="00814CAF" w:rsidRDefault="00814CAF" w:rsidP="00814CAF">
            <w:pPr>
              <w:autoSpaceDE w:val="0"/>
              <w:autoSpaceDN w:val="0"/>
              <w:adjustRightInd w:val="0"/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Verdana" w:hAnsi="Verdana" w:cs="Arial"/>
                <w:sz w:val="18"/>
                <w:szCs w:val="18"/>
                <w:lang w:eastAsia="sk-SK"/>
              </w:rPr>
              <w:t xml:space="preserve">Prioritná os: </w:t>
            </w:r>
            <w:r w:rsidRPr="00814CAF">
              <w:rPr>
                <w:rFonts w:ascii="Verdana" w:hAnsi="Verdana" w:cs="Arial"/>
                <w:sz w:val="18"/>
                <w:szCs w:val="18"/>
                <w:lang w:eastAsia="sk-SK"/>
              </w:rPr>
              <w:t>1 Podpora rastu zamestnanosti</w:t>
            </w:r>
            <w:r w:rsidRPr="00814CAF">
              <w:rPr>
                <w:rFonts w:ascii="Verdana" w:hAnsi="Verdana" w:cs="ArialMT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  <w:p w:rsidR="00D377A7" w:rsidRPr="006C6FC5" w:rsidRDefault="00814CAF" w:rsidP="00814CAF">
            <w:pPr>
              <w:autoSpaceDE w:val="0"/>
              <w:autoSpaceDN w:val="0"/>
              <w:adjustRightInd w:val="0"/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>
              <w:rPr>
                <w:rFonts w:ascii="Verdana" w:hAnsi="Verdana" w:cs="Arial"/>
                <w:sz w:val="18"/>
                <w:szCs w:val="18"/>
                <w:lang w:eastAsia="sk-SK"/>
              </w:rPr>
              <w:t xml:space="preserve">Opatrenie: </w:t>
            </w:r>
            <w:r w:rsidRPr="00814CAF">
              <w:rPr>
                <w:rFonts w:ascii="Verdana" w:hAnsi="Verdana" w:cs="Arial"/>
                <w:sz w:val="18"/>
                <w:szCs w:val="18"/>
                <w:lang w:eastAsia="sk-SK"/>
              </w:rPr>
              <w:t>1.1 Podpora programov v oblasti podpory zamestnanosti a riešenia nezamestnanosti a dlhodobej nezamestnanosti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8175F2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33245D" w:rsidTr="00843555">
        <w:tc>
          <w:tcPr>
            <w:tcW w:w="9212" w:type="dxa"/>
          </w:tcPr>
          <w:p w:rsidR="0033245D" w:rsidRPr="0033245D" w:rsidRDefault="0033245D" w:rsidP="003324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sk-SK"/>
              </w:rPr>
            </w:pPr>
            <w:r w:rsidRPr="0033245D">
              <w:rPr>
                <w:rFonts w:ascii="Verdana" w:hAnsi="Verdana"/>
                <w:sz w:val="18"/>
                <w:szCs w:val="18"/>
                <w:lang w:eastAsia="sk-SK"/>
              </w:rPr>
              <w:t>Trenčiansky kraj, Banskobystrický kraj, Nitriansky kraj, Trnavský kraj, Košický kraj,</w:t>
            </w:r>
          </w:p>
          <w:p w:rsidR="00A72EF8" w:rsidRPr="0033245D" w:rsidRDefault="0033245D" w:rsidP="0033245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sk-SK"/>
              </w:rPr>
            </w:pPr>
            <w:r w:rsidRPr="0033245D">
              <w:rPr>
                <w:rFonts w:ascii="Verdana" w:hAnsi="Verdana"/>
                <w:sz w:val="18"/>
                <w:szCs w:val="18"/>
                <w:lang w:eastAsia="sk-SK"/>
              </w:rPr>
              <w:t>Žilinský kraj, Prešovský kraj</w:t>
            </w:r>
          </w:p>
        </w:tc>
      </w:tr>
    </w:tbl>
    <w:p w:rsidR="00A72EF8" w:rsidRPr="0033245D" w:rsidRDefault="00A72EF8" w:rsidP="00A72EF8">
      <w:pPr>
        <w:rPr>
          <w:rFonts w:ascii="Verdana" w:hAnsi="Verdana"/>
        </w:rPr>
      </w:pPr>
    </w:p>
    <w:p w:rsidR="00B20648" w:rsidRPr="00031E1C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3339B9" w:rsidRDefault="00A72EF8" w:rsidP="00843555">
            <w:pPr>
              <w:rPr>
                <w:rFonts w:ascii="Verdana" w:hAnsi="Verdana"/>
                <w:b/>
                <w:i/>
              </w:rPr>
            </w:pPr>
            <w:r w:rsidRPr="003339B9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3339B9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3339B9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3339B9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3339B9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339B9" w:rsidRDefault="006639BF" w:rsidP="003E3335">
            <w:pPr>
              <w:rPr>
                <w:rFonts w:ascii="Verdana" w:hAnsi="Verdana"/>
                <w:sz w:val="18"/>
                <w:szCs w:val="18"/>
              </w:rPr>
            </w:pPr>
            <w:r w:rsidRPr="003339B9">
              <w:rPr>
                <w:rFonts w:ascii="Verdana" w:hAnsi="Verdana"/>
                <w:sz w:val="18"/>
                <w:szCs w:val="18"/>
                <w:lang w:eastAsia="sk-SK"/>
              </w:rPr>
              <w:t>0</w:t>
            </w:r>
            <w:r w:rsidR="005479FE" w:rsidRPr="003339B9">
              <w:rPr>
                <w:rFonts w:ascii="Verdana" w:hAnsi="Verdana"/>
                <w:sz w:val="18"/>
                <w:szCs w:val="18"/>
                <w:lang w:eastAsia="sk-SK"/>
              </w:rPr>
              <w:t>1.</w:t>
            </w:r>
            <w:r w:rsidRPr="003339B9">
              <w:rPr>
                <w:rFonts w:ascii="Verdana" w:hAnsi="Verdana"/>
                <w:sz w:val="18"/>
                <w:szCs w:val="18"/>
                <w:lang w:eastAsia="sk-SK"/>
              </w:rPr>
              <w:t>0</w:t>
            </w:r>
            <w:r w:rsidR="003E3335">
              <w:rPr>
                <w:rFonts w:ascii="Verdana" w:hAnsi="Verdana"/>
                <w:sz w:val="18"/>
                <w:szCs w:val="18"/>
                <w:lang w:eastAsia="sk-SK"/>
              </w:rPr>
              <w:t>1</w:t>
            </w:r>
            <w:r w:rsidR="005479FE" w:rsidRPr="003339B9">
              <w:rPr>
                <w:rFonts w:ascii="Verdana" w:hAnsi="Verdana"/>
                <w:sz w:val="18"/>
                <w:szCs w:val="18"/>
                <w:lang w:eastAsia="sk-SK"/>
              </w:rPr>
              <w:t>.201</w:t>
            </w:r>
            <w:r w:rsidR="004E021D" w:rsidRPr="003339B9">
              <w:rPr>
                <w:rFonts w:ascii="Verdana" w:hAnsi="Verdana"/>
                <w:sz w:val="18"/>
                <w:szCs w:val="18"/>
                <w:lang w:eastAsia="sk-SK"/>
              </w:rPr>
              <w:t>5</w:t>
            </w:r>
            <w:r w:rsidR="007501B8" w:rsidRPr="003339B9">
              <w:rPr>
                <w:rFonts w:ascii="Verdana" w:hAnsi="Verdana"/>
                <w:sz w:val="18"/>
                <w:szCs w:val="18"/>
                <w:lang w:eastAsia="sk-SK"/>
              </w:rPr>
              <w:t xml:space="preserve"> </w:t>
            </w:r>
            <w:r w:rsidR="005479FE" w:rsidRPr="003339B9">
              <w:rPr>
                <w:rFonts w:ascii="Verdana" w:hAnsi="Verdana"/>
                <w:sz w:val="18"/>
                <w:szCs w:val="18"/>
                <w:lang w:eastAsia="sk-SK"/>
              </w:rPr>
              <w:t>-</w:t>
            </w:r>
            <w:r w:rsidR="007501B8" w:rsidRPr="003339B9">
              <w:rPr>
                <w:rFonts w:ascii="Verdana" w:hAnsi="Verdana"/>
                <w:sz w:val="18"/>
                <w:szCs w:val="18"/>
                <w:lang w:eastAsia="sk-SK"/>
              </w:rPr>
              <w:t xml:space="preserve"> </w:t>
            </w:r>
            <w:r w:rsidR="005479FE" w:rsidRPr="003339B9">
              <w:rPr>
                <w:rFonts w:ascii="Verdana" w:hAnsi="Verdana"/>
                <w:sz w:val="18"/>
                <w:szCs w:val="18"/>
                <w:lang w:eastAsia="sk-SK"/>
              </w:rPr>
              <w:t>3</w:t>
            </w:r>
            <w:r w:rsidR="003E3335">
              <w:rPr>
                <w:rFonts w:ascii="Verdana" w:hAnsi="Verdana"/>
                <w:sz w:val="18"/>
                <w:szCs w:val="18"/>
                <w:lang w:eastAsia="sk-SK"/>
              </w:rPr>
              <w:t>1</w:t>
            </w:r>
            <w:r w:rsidR="005479FE" w:rsidRPr="003339B9">
              <w:rPr>
                <w:rFonts w:ascii="Verdana" w:hAnsi="Verdana"/>
                <w:sz w:val="18"/>
                <w:szCs w:val="18"/>
                <w:lang w:eastAsia="sk-SK"/>
              </w:rPr>
              <w:t>.</w:t>
            </w:r>
            <w:r w:rsidR="007501B8" w:rsidRPr="003339B9">
              <w:rPr>
                <w:rFonts w:ascii="Verdana" w:hAnsi="Verdana"/>
                <w:sz w:val="18"/>
                <w:szCs w:val="18"/>
                <w:lang w:eastAsia="sk-SK"/>
              </w:rPr>
              <w:t>1</w:t>
            </w:r>
            <w:r w:rsidR="003E3335">
              <w:rPr>
                <w:rFonts w:ascii="Verdana" w:hAnsi="Verdana"/>
                <w:sz w:val="18"/>
                <w:szCs w:val="18"/>
                <w:lang w:eastAsia="sk-SK"/>
              </w:rPr>
              <w:t>2</w:t>
            </w:r>
            <w:r w:rsidR="005479FE" w:rsidRPr="003339B9">
              <w:rPr>
                <w:rFonts w:ascii="Verdana" w:hAnsi="Verdana"/>
                <w:sz w:val="18"/>
                <w:szCs w:val="18"/>
                <w:lang w:eastAsia="sk-SK"/>
              </w:rPr>
              <w:t>.201</w:t>
            </w:r>
            <w:r w:rsidR="007501B8" w:rsidRPr="003339B9">
              <w:rPr>
                <w:rFonts w:ascii="Verdana" w:hAnsi="Verdana"/>
                <w:sz w:val="18"/>
                <w:szCs w:val="18"/>
                <w:lang w:eastAsia="sk-SK"/>
              </w:rPr>
              <w:t>5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B20648" w:rsidRPr="008175F2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843049" w:rsidRDefault="00A72EF8" w:rsidP="00D73D5C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Rozpočet projektu (celkové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6C6FC5" w:rsidRDefault="003E3335" w:rsidP="00031E1C">
            <w:pPr>
              <w:rPr>
                <w:rFonts w:ascii="Verdana" w:hAnsi="Verdana"/>
                <w:sz w:val="18"/>
                <w:szCs w:val="18"/>
              </w:rPr>
            </w:pPr>
            <w:r w:rsidRPr="003E3335">
              <w:rPr>
                <w:rFonts w:ascii="Verdana" w:hAnsi="Verdana"/>
                <w:sz w:val="18"/>
                <w:szCs w:val="18"/>
              </w:rPr>
              <w:t xml:space="preserve">46 827 185,26 </w:t>
            </w:r>
            <w:r w:rsidR="00031E1C" w:rsidRPr="006C6FC5">
              <w:rPr>
                <w:b/>
                <w:bCs/>
                <w:sz w:val="18"/>
                <w:szCs w:val="18"/>
              </w:rPr>
              <w:t xml:space="preserve"> </w:t>
            </w:r>
            <w:r w:rsidR="00FA7761" w:rsidRPr="006C6FC5">
              <w:rPr>
                <w:rFonts w:ascii="Verdana" w:hAnsi="Verdana"/>
                <w:sz w:val="18"/>
                <w:szCs w:val="18"/>
              </w:rPr>
              <w:t>EUR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843049" w:rsidRDefault="00A72EF8" w:rsidP="00843555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EF166C">
        <w:trPr>
          <w:trHeight w:val="1833"/>
        </w:trPr>
        <w:tc>
          <w:tcPr>
            <w:tcW w:w="9212" w:type="dxa"/>
          </w:tcPr>
          <w:p w:rsidR="00BD7E52" w:rsidRPr="00C405F2" w:rsidRDefault="00D377A7" w:rsidP="00843555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Ústredie </w:t>
            </w:r>
            <w:r w:rsidR="00BD7E52"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práce, sociálnych vecí a rodiny</w:t>
            </w: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</w:p>
          <w:p w:rsidR="00BD7E52" w:rsidRPr="00C405F2" w:rsidRDefault="00D377A7" w:rsidP="00843555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proofErr w:type="spellStart"/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Špitálska</w:t>
            </w:r>
            <w:proofErr w:type="spellEnd"/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8 </w:t>
            </w:r>
          </w:p>
          <w:p w:rsidR="00A72EF8" w:rsidRPr="00C405F2" w:rsidRDefault="00D377A7" w:rsidP="00843555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812</w:t>
            </w:r>
            <w:r w:rsidR="00FD30F7"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67 Bratislava</w:t>
            </w:r>
          </w:p>
          <w:p w:rsidR="00D377A7" w:rsidRDefault="00A733EB" w:rsidP="00843555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hyperlink r:id="rId9" w:history="1">
              <w:r w:rsidR="00D377A7" w:rsidRPr="00C405F2">
                <w:rPr>
                  <w:rStyle w:val="Hypertextovprepojenie"/>
                  <w:rFonts w:ascii="Verdana" w:hAnsi="Verdana" w:cs="ArialMT"/>
                  <w:sz w:val="18"/>
                  <w:szCs w:val="18"/>
                  <w:lang w:eastAsia="sk-SK"/>
                </w:rPr>
                <w:t>www.upsvar.sk</w:t>
              </w:r>
            </w:hyperlink>
            <w:r w:rsidR="00D377A7"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</w:p>
          <w:p w:rsidR="006E7ED9" w:rsidRPr="00C405F2" w:rsidRDefault="006E7ED9" w:rsidP="00843555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</w:p>
          <w:p w:rsidR="003339B9" w:rsidRPr="00C405F2" w:rsidRDefault="003339B9" w:rsidP="003339B9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>
              <w:rPr>
                <w:rFonts w:ascii="Verdana" w:hAnsi="Verdana" w:cs="ArialMT"/>
                <w:sz w:val="18"/>
                <w:szCs w:val="18"/>
                <w:lang w:eastAsia="sk-SK"/>
              </w:rPr>
              <w:t>Lýdia Svetíková</w:t>
            </w:r>
          </w:p>
          <w:p w:rsidR="003339B9" w:rsidRPr="00C405F2" w:rsidRDefault="003339B9" w:rsidP="003339B9">
            <w:p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>projektový manažér</w:t>
            </w:r>
          </w:p>
          <w:p w:rsidR="003339B9" w:rsidRPr="00C405F2" w:rsidRDefault="003339B9" w:rsidP="003339B9">
            <w:pPr>
              <w:rPr>
                <w:rFonts w:ascii="Verdana" w:hAnsi="Verdana"/>
                <w:sz w:val="18"/>
                <w:szCs w:val="18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telefón  </w:t>
            </w:r>
            <w:r w:rsidRPr="00C405F2">
              <w:rPr>
                <w:rFonts w:ascii="Verdana" w:hAnsi="Verdana"/>
                <w:sz w:val="18"/>
                <w:szCs w:val="18"/>
              </w:rPr>
              <w:t>+ 421 2 20 444 8</w:t>
            </w:r>
            <w:r>
              <w:rPr>
                <w:rFonts w:ascii="Verdana" w:hAnsi="Verdana"/>
                <w:sz w:val="18"/>
                <w:szCs w:val="18"/>
              </w:rPr>
              <w:t>43</w:t>
            </w:r>
          </w:p>
          <w:p w:rsidR="003339B9" w:rsidRPr="006C6FC5" w:rsidRDefault="003339B9" w:rsidP="003339B9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C405F2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email: </w:t>
            </w:r>
            <w:hyperlink r:id="rId10" w:history="1">
              <w:r w:rsidRPr="002D0014">
                <w:rPr>
                  <w:rStyle w:val="Hypertextovprepojenie"/>
                  <w:rFonts w:ascii="Verdana" w:hAnsi="Verdana"/>
                  <w:sz w:val="18"/>
                  <w:szCs w:val="18"/>
                </w:rPr>
                <w:t>lydia.svetikova@upsvr.gov.sk</w:t>
              </w:r>
            </w:hyperlink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6C6FC5" w:rsidRDefault="006C6FC5" w:rsidP="00A72EF8">
      <w:pPr>
        <w:rPr>
          <w:rFonts w:ascii="Verdana" w:hAnsi="Verdana"/>
        </w:rPr>
      </w:pPr>
    </w:p>
    <w:p w:rsidR="00EF166C" w:rsidRDefault="00EF166C" w:rsidP="00A72EF8">
      <w:pPr>
        <w:rPr>
          <w:rFonts w:ascii="Verdana" w:hAnsi="Verdana"/>
        </w:rPr>
      </w:pPr>
    </w:p>
    <w:p w:rsidR="00EF166C" w:rsidRDefault="00EF166C" w:rsidP="00A72EF8">
      <w:pPr>
        <w:rPr>
          <w:rFonts w:ascii="Verdana" w:hAnsi="Verdana"/>
        </w:rPr>
      </w:pPr>
    </w:p>
    <w:p w:rsidR="00EF166C" w:rsidRDefault="00EF166C" w:rsidP="00A72EF8">
      <w:pPr>
        <w:rPr>
          <w:rFonts w:ascii="Verdana" w:hAnsi="Verdana"/>
        </w:rPr>
      </w:pPr>
    </w:p>
    <w:p w:rsidR="00EF166C" w:rsidRDefault="00EF166C" w:rsidP="00A72EF8">
      <w:pPr>
        <w:rPr>
          <w:rFonts w:ascii="Verdana" w:hAnsi="Verdana"/>
        </w:rPr>
      </w:pPr>
    </w:p>
    <w:p w:rsidR="00B20648" w:rsidRDefault="00B20648" w:rsidP="00A72EF8">
      <w:pPr>
        <w:rPr>
          <w:rFonts w:ascii="Verdana" w:hAnsi="Verdana"/>
        </w:rPr>
      </w:pPr>
    </w:p>
    <w:p w:rsidR="003F1E91" w:rsidRDefault="003F1E91" w:rsidP="00A72EF8">
      <w:pPr>
        <w:rPr>
          <w:rFonts w:ascii="Verdana" w:hAnsi="Verdana"/>
        </w:rPr>
      </w:pPr>
    </w:p>
    <w:p w:rsidR="003F1E91" w:rsidRDefault="003F1E91" w:rsidP="00A72EF8">
      <w:pPr>
        <w:rPr>
          <w:rFonts w:ascii="Verdana" w:hAnsi="Verdana"/>
        </w:rPr>
      </w:pPr>
    </w:p>
    <w:p w:rsidR="003F1E91" w:rsidRPr="00D01B53" w:rsidRDefault="003F1E91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7"/>
      </w:tblGrid>
      <w:tr w:rsidR="002D12C6" w:rsidRPr="00BD7E52" w:rsidTr="006639BF">
        <w:trPr>
          <w:trHeight w:val="2190"/>
        </w:trPr>
        <w:tc>
          <w:tcPr>
            <w:tcW w:w="9167" w:type="dxa"/>
          </w:tcPr>
          <w:p w:rsidR="009372F1" w:rsidRDefault="009372F1" w:rsidP="00031E1C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Ciele projektu  (uveďte kľúčové slová)</w:t>
            </w:r>
          </w:p>
          <w:p w:rsidR="00AB2D96" w:rsidRPr="00AB2D96" w:rsidRDefault="00FB0E62" w:rsidP="00FB0E62">
            <w:pPr>
              <w:pStyle w:val="Odsekzoznamu"/>
              <w:numPr>
                <w:ilvl w:val="0"/>
                <w:numId w:val="2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FB0E62">
              <w:rPr>
                <w:rFonts w:ascii="Verdana" w:hAnsi="Verdana"/>
                <w:sz w:val="18"/>
                <w:szCs w:val="18"/>
              </w:rPr>
              <w:t xml:space="preserve">odpora zamestnanosti, adaptability a znižovania nezamestnanosti  </w:t>
            </w:r>
            <w:proofErr w:type="spellStart"/>
            <w:r w:rsidRPr="00FB0E62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FB0E62">
              <w:rPr>
                <w:rFonts w:ascii="Verdana" w:hAnsi="Verdana"/>
                <w:sz w:val="18"/>
                <w:szCs w:val="18"/>
              </w:rPr>
              <w:t xml:space="preserve"> a  </w:t>
            </w:r>
            <w:proofErr w:type="spellStart"/>
            <w:r w:rsidRPr="00FB0E62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FB0E62">
              <w:rPr>
                <w:rFonts w:ascii="Verdana" w:hAnsi="Verdana"/>
                <w:sz w:val="18"/>
                <w:szCs w:val="18"/>
              </w:rPr>
              <w:t xml:space="preserve"> prostredníctvom  realizácie vybraných nástrojov AOTP.</w:t>
            </w:r>
          </w:p>
          <w:p w:rsidR="004D3433" w:rsidRDefault="009372F1" w:rsidP="002F6C32">
            <w:pPr>
              <w:rPr>
                <w:rFonts w:ascii="Verdana" w:hAnsi="Verdana" w:cs="ArialMT"/>
                <w:b/>
                <w:i/>
                <w:lang w:eastAsia="sk-SK"/>
              </w:rPr>
            </w:pPr>
            <w:r w:rsidRPr="00843049">
              <w:rPr>
                <w:rFonts w:ascii="Verdana" w:hAnsi="Verdana" w:cs="ArialMT"/>
                <w:b/>
                <w:i/>
                <w:lang w:eastAsia="sk-SK"/>
              </w:rPr>
              <w:t>Špecifické ciele projektu:</w:t>
            </w:r>
          </w:p>
          <w:p w:rsidR="00FB0E62" w:rsidRPr="00E3246E" w:rsidRDefault="00FB0E62" w:rsidP="00FB0E62">
            <w:pPr>
              <w:pStyle w:val="Odsekzoznamu"/>
              <w:numPr>
                <w:ilvl w:val="0"/>
                <w:numId w:val="26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zvyšovanie </w:t>
            </w:r>
            <w:proofErr w:type="spellStart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zamestnateľnosti</w:t>
            </w:r>
            <w:proofErr w:type="spellEnd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UoZ</w:t>
            </w:r>
            <w:proofErr w:type="spellEnd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ZUoZ</w:t>
            </w:r>
            <w:proofErr w:type="spellEnd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;</w:t>
            </w:r>
          </w:p>
          <w:p w:rsidR="00FB0E62" w:rsidRPr="00E3246E" w:rsidRDefault="00FB0E62" w:rsidP="00FB0E62">
            <w:pPr>
              <w:pStyle w:val="Odsekzoznamu"/>
              <w:numPr>
                <w:ilvl w:val="0"/>
                <w:numId w:val="26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rozvoj miestnej a regionálnej zamestnanosti;</w:t>
            </w:r>
          </w:p>
          <w:p w:rsidR="00FB0E62" w:rsidRPr="00E3246E" w:rsidRDefault="00FB0E62" w:rsidP="00FB0E62">
            <w:pPr>
              <w:pStyle w:val="Odsekzoznamu"/>
              <w:numPr>
                <w:ilvl w:val="0"/>
                <w:numId w:val="26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podpora udržiavania pracovných návykov dlhodobo nezamestnaných </w:t>
            </w:r>
            <w:proofErr w:type="spellStart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UoZ</w:t>
            </w:r>
            <w:proofErr w:type="spellEnd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;</w:t>
            </w:r>
          </w:p>
          <w:p w:rsidR="00FB0E62" w:rsidRPr="00E3246E" w:rsidRDefault="00FB0E62" w:rsidP="008E38B1">
            <w:pPr>
              <w:pStyle w:val="Odsekzoznamu"/>
              <w:numPr>
                <w:ilvl w:val="0"/>
                <w:numId w:val="26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získanie praktických skúseností </w:t>
            </w:r>
            <w:proofErr w:type="spellStart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UoZ</w:t>
            </w:r>
            <w:proofErr w:type="spellEnd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 - absolventov škôl</w:t>
            </w:r>
            <w:r w:rsidR="008E38B1"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</w:t>
            </w: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pre potreby trhu práce;</w:t>
            </w:r>
          </w:p>
          <w:p w:rsidR="00FB0E62" w:rsidRPr="00E3246E" w:rsidRDefault="00FB0E62" w:rsidP="00FB0E62">
            <w:pPr>
              <w:pStyle w:val="Odsekzoznamu"/>
              <w:numPr>
                <w:ilvl w:val="0"/>
                <w:numId w:val="26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prispieť k lepšiemu začleňovania znevýhodnených </w:t>
            </w:r>
            <w:proofErr w:type="spellStart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UoZ</w:t>
            </w:r>
            <w:proofErr w:type="spellEnd"/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 xml:space="preserve"> ako aj udržaniu  existujúcich pracovných miest pre občanov so ZP; </w:t>
            </w:r>
          </w:p>
          <w:p w:rsidR="002F6C32" w:rsidRPr="004B082D" w:rsidRDefault="00FB0E62" w:rsidP="00FB0E62">
            <w:pPr>
              <w:pStyle w:val="Odsekzoznamu"/>
              <w:numPr>
                <w:ilvl w:val="0"/>
                <w:numId w:val="26"/>
              </w:numPr>
              <w:rPr>
                <w:rFonts w:ascii="Verdana" w:hAnsi="Verdana" w:cs="ArialMT"/>
                <w:sz w:val="18"/>
                <w:szCs w:val="18"/>
                <w:lang w:eastAsia="sk-SK"/>
              </w:rPr>
            </w:pPr>
            <w:r w:rsidRPr="00E3246E">
              <w:rPr>
                <w:rFonts w:ascii="Verdana" w:hAnsi="Verdana" w:cs="ArialMT"/>
                <w:sz w:val="18"/>
                <w:szCs w:val="18"/>
                <w:lang w:eastAsia="sk-SK"/>
              </w:rPr>
              <w:t>modernizácia verejných služieb zamestnanosti.</w:t>
            </w:r>
          </w:p>
        </w:tc>
      </w:tr>
    </w:tbl>
    <w:p w:rsidR="00B61A46" w:rsidRPr="00D01B53" w:rsidRDefault="00B61A46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055654" w:rsidRDefault="00A72EF8" w:rsidP="002F6C32">
            <w:pPr>
              <w:rPr>
                <w:rFonts w:ascii="Verdana" w:hAnsi="Verdana"/>
                <w:b/>
                <w:i/>
              </w:rPr>
            </w:pPr>
            <w:r w:rsidRPr="00843049">
              <w:rPr>
                <w:rFonts w:ascii="Verdana" w:hAnsi="Verdana"/>
                <w:b/>
                <w:i/>
              </w:rPr>
              <w:t>Cieľové skupiny</w:t>
            </w:r>
            <w:r w:rsidR="00375C7B" w:rsidRPr="00843049">
              <w:rPr>
                <w:rFonts w:ascii="Verdana" w:hAnsi="Verdana"/>
                <w:b/>
                <w:i/>
              </w:rPr>
              <w:t>:</w:t>
            </w:r>
            <w:r w:rsidRPr="00843049">
              <w:rPr>
                <w:rFonts w:ascii="Verdana" w:hAnsi="Verdana"/>
                <w:b/>
                <w:i/>
              </w:rPr>
              <w:t xml:space="preserve"> 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 xml:space="preserve">uchádzač o zamestnanie  podľa § 6 zákona č.5/2004 </w:t>
            </w:r>
            <w:proofErr w:type="spellStart"/>
            <w:r w:rsidRPr="008C31C0">
              <w:rPr>
                <w:rFonts w:ascii="Verdana" w:hAnsi="Verdana"/>
                <w:sz w:val="18"/>
                <w:szCs w:val="18"/>
              </w:rPr>
              <w:t>Z.z</w:t>
            </w:r>
            <w:proofErr w:type="spellEnd"/>
            <w:r w:rsidRPr="008C31C0">
              <w:rPr>
                <w:rFonts w:ascii="Verdana" w:hAnsi="Verdana"/>
                <w:sz w:val="18"/>
                <w:szCs w:val="18"/>
              </w:rPr>
              <w:t>. o službách zamestnanosti a o zmene a doplnení niektorých zákonov v znení neskorších predpisov (ďalej len „zákon o službách zamestnanosti“)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  <w:r w:rsidRPr="008C31C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>znevýhodnený uchádzač o zamestnanie  podľa § 8 zákona o služ</w:t>
            </w:r>
            <w:r>
              <w:rPr>
                <w:rFonts w:ascii="Verdana" w:hAnsi="Verdana"/>
                <w:sz w:val="18"/>
                <w:szCs w:val="18"/>
              </w:rPr>
              <w:t>bách zamestnanosti;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 xml:space="preserve">zamestnávateľ podľa § 3 </w:t>
            </w:r>
            <w:r>
              <w:rPr>
                <w:rFonts w:ascii="Verdana" w:hAnsi="Verdana"/>
                <w:sz w:val="18"/>
                <w:szCs w:val="18"/>
              </w:rPr>
              <w:t>zákona o službách zamestnanosti;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>zamestnanec podľa § 4 zákona o službách zamestnanosti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 xml:space="preserve">občan so zdravotným postihnutím podľa § 9 </w:t>
            </w:r>
            <w:r>
              <w:rPr>
                <w:rFonts w:ascii="Verdana" w:hAnsi="Verdana"/>
                <w:sz w:val="18"/>
                <w:szCs w:val="18"/>
              </w:rPr>
              <w:t>zákona o službách zamestnanosti;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>samostatne zárobkovo činná osoba podľa § 5 zákona o službách zamestnanosti, ktorá je občanom so zdravotným postihnutím;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>štátni poskytovatelia služieb zamestnanosti;</w:t>
            </w:r>
          </w:p>
          <w:p w:rsidR="008C31C0" w:rsidRPr="008C31C0" w:rsidRDefault="008C31C0" w:rsidP="008C31C0">
            <w:pPr>
              <w:numPr>
                <w:ilvl w:val="0"/>
                <w:numId w:val="25"/>
              </w:numPr>
              <w:rPr>
                <w:rFonts w:ascii="Verdana" w:hAnsi="Verdana"/>
                <w:sz w:val="18"/>
                <w:szCs w:val="18"/>
              </w:rPr>
            </w:pPr>
            <w:r w:rsidRPr="008C31C0">
              <w:rPr>
                <w:rFonts w:ascii="Verdana" w:hAnsi="Verdana"/>
                <w:sz w:val="18"/>
                <w:szCs w:val="18"/>
              </w:rPr>
              <w:t>zamestnanci verejných služieb zamestnanosti.</w:t>
            </w:r>
          </w:p>
          <w:p w:rsidR="002F6C32" w:rsidRPr="002F6C32" w:rsidRDefault="002F6C32" w:rsidP="00622A61">
            <w:pPr>
              <w:ind w:left="720"/>
              <w:rPr>
                <w:rFonts w:ascii="Verdana" w:hAnsi="Verdana"/>
                <w:b/>
                <w:i/>
              </w:rPr>
            </w:pPr>
          </w:p>
        </w:tc>
      </w:tr>
    </w:tbl>
    <w:p w:rsidR="00B61A46" w:rsidRPr="00D01B53" w:rsidRDefault="00B61A46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D7E52" w:rsidTr="002D12C6">
        <w:trPr>
          <w:trHeight w:val="270"/>
        </w:trPr>
        <w:tc>
          <w:tcPr>
            <w:tcW w:w="9212" w:type="dxa"/>
          </w:tcPr>
          <w:p w:rsidR="002D12C6" w:rsidRPr="00FA32D7" w:rsidRDefault="00A72EF8" w:rsidP="002D12C6">
            <w:pPr>
              <w:rPr>
                <w:rFonts w:ascii="Verdana" w:hAnsi="Verdana"/>
                <w:b/>
                <w:i/>
              </w:rPr>
            </w:pPr>
            <w:r w:rsidRPr="00FA32D7">
              <w:rPr>
                <w:rFonts w:ascii="Verdana" w:hAnsi="Verdana"/>
                <w:b/>
                <w:i/>
              </w:rPr>
              <w:t xml:space="preserve">Stručný opis projektu: </w:t>
            </w:r>
          </w:p>
        </w:tc>
      </w:tr>
      <w:tr w:rsidR="002D12C6" w:rsidRPr="00BD7E52" w:rsidTr="00843555">
        <w:trPr>
          <w:trHeight w:val="210"/>
        </w:trPr>
        <w:tc>
          <w:tcPr>
            <w:tcW w:w="9212" w:type="dxa"/>
          </w:tcPr>
          <w:p w:rsidR="002D12C6" w:rsidRPr="002D12C6" w:rsidRDefault="002D12C6" w:rsidP="004310C5">
            <w:pPr>
              <w:pStyle w:val="Odsekzoznamu"/>
              <w:numPr>
                <w:ilvl w:val="0"/>
                <w:numId w:val="13"/>
              </w:numPr>
              <w:rPr>
                <w:rFonts w:ascii="Verdana" w:hAnsi="Verdana"/>
                <w:b/>
                <w:i/>
              </w:rPr>
            </w:pPr>
            <w:r w:rsidRPr="00DC1F4C">
              <w:rPr>
                <w:rFonts w:ascii="Verdana" w:hAnsi="Verdana"/>
                <w:b/>
                <w:i/>
              </w:rPr>
              <w:t>Ciele</w:t>
            </w:r>
          </w:p>
        </w:tc>
      </w:tr>
      <w:tr w:rsidR="00CC1278" w:rsidRPr="00055654" w:rsidTr="00843555">
        <w:tc>
          <w:tcPr>
            <w:tcW w:w="9212" w:type="dxa"/>
          </w:tcPr>
          <w:p w:rsidR="00354E76" w:rsidRPr="00354E76" w:rsidRDefault="00354E76" w:rsidP="00354E7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354E76">
              <w:rPr>
                <w:rFonts w:ascii="Verdana" w:hAnsi="Verdana"/>
                <w:sz w:val="18"/>
                <w:szCs w:val="18"/>
              </w:rPr>
              <w:t>V rámci jednotlivých samosprávnych krajov sú výrazné regionálne rozdiely ekonomického potenciálu, ktoré majú za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>následok nedostatok pracovných príležitostí a výrazný nepomer medzi ponukou a dopytom po pracovnej sile, čo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>zapríčiňuje diferencovanú mieru nezamestnanosti a nedostatok pracovných príležitostí. Najohrozenejší sú dlhodobo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 xml:space="preserve">nezamestnaní </w:t>
            </w:r>
            <w:proofErr w:type="spellStart"/>
            <w:r w:rsidRPr="00354E76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354E76">
              <w:rPr>
                <w:rFonts w:ascii="Verdana" w:hAnsi="Verdana"/>
                <w:sz w:val="18"/>
                <w:szCs w:val="18"/>
              </w:rPr>
              <w:t xml:space="preserve">, mladí ľudia – absolventi škôl, </w:t>
            </w:r>
            <w:proofErr w:type="spellStart"/>
            <w:r w:rsidRPr="00354E76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354E76">
              <w:rPr>
                <w:rFonts w:ascii="Verdana" w:hAnsi="Verdana"/>
                <w:sz w:val="18"/>
                <w:szCs w:val="18"/>
              </w:rPr>
              <w:t xml:space="preserve"> so ZP, starší občania a osamelí </w:t>
            </w:r>
            <w:r>
              <w:rPr>
                <w:rFonts w:ascii="Verdana" w:hAnsi="Verdana"/>
                <w:sz w:val="18"/>
                <w:szCs w:val="18"/>
              </w:rPr>
              <w:t>rodičia s nezaopatrenými deťmi.</w:t>
            </w:r>
          </w:p>
          <w:p w:rsidR="00DC1F4C" w:rsidRDefault="00354E76" w:rsidP="00354E76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354E76">
              <w:rPr>
                <w:rFonts w:ascii="Verdana" w:hAnsi="Verdana"/>
                <w:sz w:val="18"/>
                <w:szCs w:val="18"/>
              </w:rPr>
              <w:t>V súčasnosti služby zamestnanosti vzhľadom na nedostatočné technické zabezpečenie nedokážu poskytovať svoje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>služby na klientmi požadovanej a očakávanej úrovni. Je potrebné zabezpečenie úprav a rozšírenie informačného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 xml:space="preserve">systému služieb zamestnanosti, vybudovanie </w:t>
            </w:r>
            <w:proofErr w:type="spellStart"/>
            <w:r w:rsidRPr="00354E76">
              <w:rPr>
                <w:rFonts w:ascii="Verdana" w:hAnsi="Verdana"/>
                <w:sz w:val="18"/>
                <w:szCs w:val="18"/>
              </w:rPr>
              <w:t>telekonferenčných</w:t>
            </w:r>
            <w:proofErr w:type="spellEnd"/>
            <w:r w:rsidRPr="00354E76">
              <w:rPr>
                <w:rFonts w:ascii="Verdana" w:hAnsi="Verdana"/>
                <w:sz w:val="18"/>
                <w:szCs w:val="18"/>
              </w:rPr>
              <w:t xml:space="preserve"> miestností, kioskov, zabezpečenie kompatibilných HW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 xml:space="preserve">prvkov, </w:t>
            </w:r>
            <w:proofErr w:type="spellStart"/>
            <w:r w:rsidRPr="00354E76">
              <w:rPr>
                <w:rFonts w:ascii="Verdana" w:hAnsi="Verdana"/>
                <w:sz w:val="18"/>
                <w:szCs w:val="18"/>
              </w:rPr>
              <w:t>dovybavovanie</w:t>
            </w:r>
            <w:proofErr w:type="spellEnd"/>
            <w:r w:rsidRPr="00354E76">
              <w:rPr>
                <w:rFonts w:ascii="Verdana" w:hAnsi="Verdana"/>
                <w:sz w:val="18"/>
                <w:szCs w:val="18"/>
              </w:rPr>
              <w:t xml:space="preserve"> zamestnancov poskytujúcich služby zamestnanosti potrebnou výpočtovou technikou, aby sa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 xml:space="preserve">ústredie stalo </w:t>
            </w:r>
            <w:proofErr w:type="spellStart"/>
            <w:r w:rsidRPr="00354E76">
              <w:rPr>
                <w:rFonts w:ascii="Verdana" w:hAnsi="Verdana"/>
                <w:sz w:val="18"/>
                <w:szCs w:val="18"/>
              </w:rPr>
              <w:t>proklientsky</w:t>
            </w:r>
            <w:proofErr w:type="spellEnd"/>
            <w:r w:rsidRPr="00354E76">
              <w:rPr>
                <w:rFonts w:ascii="Verdana" w:hAnsi="Verdana"/>
                <w:sz w:val="18"/>
                <w:szCs w:val="18"/>
              </w:rPr>
              <w:t xml:space="preserve"> orientovanou, transparentnou verejnou správou, poskytujúcou svoje služby rýchlo, efektívne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4E76">
              <w:rPr>
                <w:rFonts w:ascii="Verdana" w:hAnsi="Verdana"/>
                <w:sz w:val="18"/>
                <w:szCs w:val="18"/>
              </w:rPr>
              <w:t>a kvalitne, v záujme podpory udržateľného rastu, tvorby pracovných miest a sociálnej inklúzie.</w:t>
            </w:r>
          </w:p>
          <w:p w:rsidR="00DC1F4C" w:rsidRDefault="00DC1F4C" w:rsidP="00661AFC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61AFC" w:rsidRDefault="004B43FB" w:rsidP="00661AFC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Hlavným cieľom projektu je </w:t>
            </w:r>
            <w:r w:rsidRPr="004B43FB">
              <w:rPr>
                <w:rFonts w:ascii="Verdana" w:hAnsi="Verdana"/>
                <w:sz w:val="18"/>
                <w:szCs w:val="18"/>
              </w:rPr>
              <w:t xml:space="preserve">podpora zamestnanosti, adaptability a znižovania nezamestnanosti  </w:t>
            </w:r>
            <w:proofErr w:type="spellStart"/>
            <w:r w:rsidRPr="004B43FB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4B43FB">
              <w:rPr>
                <w:rFonts w:ascii="Verdana" w:hAnsi="Verdana"/>
                <w:sz w:val="18"/>
                <w:szCs w:val="18"/>
              </w:rPr>
              <w:t xml:space="preserve"> a  </w:t>
            </w:r>
            <w:proofErr w:type="spellStart"/>
            <w:r w:rsidRPr="004B43FB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4B43FB">
              <w:rPr>
                <w:rFonts w:ascii="Verdana" w:hAnsi="Verdana"/>
                <w:sz w:val="18"/>
                <w:szCs w:val="18"/>
              </w:rPr>
              <w:t xml:space="preserve"> prostredníctvom  realizácie vybraných nástrojov AOTP.</w:t>
            </w:r>
          </w:p>
          <w:p w:rsidR="000E4B79" w:rsidRDefault="000E4B79" w:rsidP="00661AFC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B43FB" w:rsidRDefault="00603F89" w:rsidP="00661AFC">
            <w:pPr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  <w:r w:rsidRPr="00603F89">
              <w:rPr>
                <w:rFonts w:ascii="Verdana" w:hAnsi="Verdana"/>
                <w:sz w:val="18"/>
                <w:szCs w:val="18"/>
              </w:rPr>
              <w:t xml:space="preserve">Cieľovú skupinu tvoria </w:t>
            </w:r>
            <w:proofErr w:type="spellStart"/>
            <w:r w:rsidRPr="00603F89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603F89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603F89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603F89">
              <w:rPr>
                <w:rFonts w:ascii="Verdana" w:hAnsi="Verdana"/>
                <w:sz w:val="18"/>
                <w:szCs w:val="18"/>
              </w:rPr>
              <w:t xml:space="preserve">, ktorých definuje zákon o službách zamestnanosti. Cieľom AOTP je stimulácia tých skupín </w:t>
            </w:r>
            <w:proofErr w:type="spellStart"/>
            <w:r w:rsidRPr="00603F89">
              <w:rPr>
                <w:rFonts w:ascii="Verdana" w:hAnsi="Verdana"/>
                <w:sz w:val="18"/>
                <w:szCs w:val="18"/>
              </w:rPr>
              <w:t>UoZ</w:t>
            </w:r>
            <w:proofErr w:type="spellEnd"/>
            <w:r w:rsidRPr="00603F89">
              <w:rPr>
                <w:rFonts w:ascii="Verdana" w:hAnsi="Verdana"/>
                <w:sz w:val="18"/>
                <w:szCs w:val="18"/>
              </w:rPr>
              <w:t xml:space="preserve"> a </w:t>
            </w:r>
            <w:proofErr w:type="spellStart"/>
            <w:r w:rsidRPr="00603F89">
              <w:rPr>
                <w:rFonts w:ascii="Verdana" w:hAnsi="Verdana"/>
                <w:sz w:val="18"/>
                <w:szCs w:val="18"/>
              </w:rPr>
              <w:t>ZUoZ</w:t>
            </w:r>
            <w:proofErr w:type="spellEnd"/>
            <w:r w:rsidRPr="00603F89">
              <w:rPr>
                <w:rFonts w:ascii="Verdana" w:hAnsi="Verdana"/>
                <w:sz w:val="18"/>
                <w:szCs w:val="18"/>
              </w:rPr>
              <w:t>, ktorých uplatnenie na trhu práce bez intervencií je sťažené. V regiónoch prevláda výrazný nepomer medzi ponukou a dopytom po pracovnej sile, občania často nenachádzajú priestor pre získanie pracovného miesta.</w:t>
            </w:r>
          </w:p>
          <w:p w:rsidR="00E82346" w:rsidRPr="00F060CF" w:rsidRDefault="00E82346" w:rsidP="00354E76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573CCD" w:rsidRDefault="00573CCD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p w:rsidR="00354E76" w:rsidRDefault="00354E76" w:rsidP="00A72EF8">
      <w:pPr>
        <w:rPr>
          <w:rFonts w:ascii="Verdana" w:hAnsi="Verdana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152"/>
      </w:tblGrid>
      <w:tr w:rsidR="006C6FC5" w:rsidRPr="003D2154" w:rsidTr="004310C5">
        <w:trPr>
          <w:trHeight w:val="261"/>
        </w:trPr>
        <w:tc>
          <w:tcPr>
            <w:tcW w:w="9152" w:type="dxa"/>
          </w:tcPr>
          <w:p w:rsidR="004310C5" w:rsidRPr="004310C5" w:rsidRDefault="004310C5" w:rsidP="00A3673C">
            <w:pPr>
              <w:rPr>
                <w:rFonts w:ascii="Verdana" w:hAnsi="Verdana"/>
                <w:b/>
              </w:rPr>
            </w:pPr>
            <w:r w:rsidRPr="003D2154">
              <w:rPr>
                <w:b/>
                <w:i/>
              </w:rPr>
              <w:t xml:space="preserve">     </w:t>
            </w:r>
            <w:r w:rsidRPr="004310C5">
              <w:rPr>
                <w:rFonts w:ascii="Verdana" w:hAnsi="Verdana"/>
                <w:b/>
              </w:rPr>
              <w:t>2</w:t>
            </w:r>
            <w:r w:rsidRPr="00843049">
              <w:rPr>
                <w:rFonts w:ascii="Verdana" w:hAnsi="Verdana"/>
                <w:b/>
                <w:i/>
              </w:rPr>
              <w:t>.   Plánované aktivity (max. 15 riadkov)</w:t>
            </w:r>
          </w:p>
        </w:tc>
      </w:tr>
      <w:tr w:rsidR="006C6FC5" w:rsidRPr="004C322B" w:rsidTr="004310C5">
        <w:trPr>
          <w:trHeight w:val="1381"/>
        </w:trPr>
        <w:tc>
          <w:tcPr>
            <w:tcW w:w="9152" w:type="dxa"/>
          </w:tcPr>
          <w:p w:rsidR="00B94157" w:rsidRPr="004C322B" w:rsidRDefault="004310C5" w:rsidP="00B9415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322B">
              <w:rPr>
                <w:rFonts w:ascii="Verdana" w:hAnsi="Verdana"/>
                <w:b/>
                <w:sz w:val="18"/>
                <w:szCs w:val="18"/>
              </w:rPr>
              <w:t>Hlavn</w:t>
            </w:r>
            <w:r w:rsidR="002F6C32" w:rsidRPr="004C322B">
              <w:rPr>
                <w:rFonts w:ascii="Verdana" w:hAnsi="Verdana"/>
                <w:b/>
                <w:sz w:val="18"/>
                <w:szCs w:val="18"/>
              </w:rPr>
              <w:t>é</w:t>
            </w:r>
            <w:r w:rsidRPr="004C322B">
              <w:rPr>
                <w:rFonts w:ascii="Verdana" w:hAnsi="Verdana"/>
                <w:b/>
                <w:sz w:val="18"/>
                <w:szCs w:val="18"/>
              </w:rPr>
              <w:t xml:space="preserve"> aktivit</w:t>
            </w:r>
            <w:r w:rsidR="002F6C32" w:rsidRPr="004C322B">
              <w:rPr>
                <w:rFonts w:ascii="Verdana" w:hAnsi="Verdana"/>
                <w:b/>
                <w:sz w:val="18"/>
                <w:szCs w:val="18"/>
              </w:rPr>
              <w:t>y</w:t>
            </w:r>
            <w:r w:rsidRPr="004C322B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AB7798" w:rsidRDefault="00AB7798" w:rsidP="00F842F6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AB7798">
              <w:rPr>
                <w:rFonts w:ascii="Verdana" w:hAnsi="Verdana"/>
                <w:sz w:val="18"/>
                <w:szCs w:val="18"/>
              </w:rPr>
              <w:t>Aktivita 1:  Poskytovanie príspevkov na vybrané AOTP</w:t>
            </w:r>
          </w:p>
          <w:p w:rsidR="00F842F6" w:rsidRPr="00AB7798" w:rsidRDefault="00F842F6" w:rsidP="00F842F6">
            <w:pPr>
              <w:pStyle w:val="Odsekzoznamu"/>
              <w:jc w:val="both"/>
              <w:rPr>
                <w:rFonts w:ascii="Verdana" w:hAnsi="Verdana"/>
                <w:sz w:val="18"/>
                <w:szCs w:val="18"/>
              </w:rPr>
            </w:pPr>
            <w:r w:rsidRPr="00F842F6">
              <w:rPr>
                <w:rFonts w:ascii="Verdana" w:hAnsi="Verdana"/>
                <w:sz w:val="18"/>
                <w:szCs w:val="18"/>
              </w:rPr>
              <w:t>V rámci aktivity sa budú poskytovať príspevky AOTP podľa § 52 a 60 zákona o službách zamestnanosti (majú obligatórny charakter) a príspevky AOTP podľa § 51 a 52a zákona o službách zamestnanosti (nie je na ne právny nárok).</w:t>
            </w:r>
          </w:p>
          <w:p w:rsidR="00AB7798" w:rsidRDefault="00AB7798" w:rsidP="00F842F6">
            <w:pPr>
              <w:pStyle w:val="Odsekzoznamu"/>
              <w:numPr>
                <w:ilvl w:val="0"/>
                <w:numId w:val="12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AB7798">
              <w:rPr>
                <w:rFonts w:ascii="Verdana" w:hAnsi="Verdana"/>
                <w:sz w:val="18"/>
                <w:szCs w:val="18"/>
              </w:rPr>
              <w:t xml:space="preserve">Aktivita 2: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B7798">
              <w:rPr>
                <w:rFonts w:ascii="Verdana" w:hAnsi="Verdana"/>
                <w:sz w:val="18"/>
                <w:szCs w:val="18"/>
              </w:rPr>
              <w:t>Modernizácia verejných služieb zamestnanosti</w:t>
            </w:r>
          </w:p>
          <w:p w:rsidR="00F842F6" w:rsidRPr="00AB7798" w:rsidRDefault="00F842F6" w:rsidP="00F842F6">
            <w:pPr>
              <w:pStyle w:val="Odsekzoznamu"/>
              <w:jc w:val="both"/>
              <w:rPr>
                <w:rFonts w:ascii="Verdana" w:hAnsi="Verdana"/>
                <w:sz w:val="18"/>
                <w:szCs w:val="18"/>
              </w:rPr>
            </w:pPr>
            <w:r w:rsidRPr="00F842F6">
              <w:rPr>
                <w:rFonts w:ascii="Verdana" w:hAnsi="Verdana"/>
                <w:sz w:val="18"/>
                <w:szCs w:val="18"/>
              </w:rPr>
              <w:t xml:space="preserve">V rámci </w:t>
            </w:r>
            <w:r w:rsidR="000E4B79">
              <w:rPr>
                <w:rFonts w:ascii="Verdana" w:hAnsi="Verdana"/>
                <w:sz w:val="18"/>
                <w:szCs w:val="18"/>
              </w:rPr>
              <w:t xml:space="preserve">aktivity </w:t>
            </w:r>
            <w:r w:rsidRPr="00F842F6">
              <w:rPr>
                <w:rFonts w:ascii="Verdana" w:hAnsi="Verdana"/>
                <w:sz w:val="18"/>
                <w:szCs w:val="18"/>
              </w:rPr>
              <w:t>sa bude realizovať modernizácia služieb zamestnanosti zavádzaním samoobslužných systémov, budovaním monitorovacieho systému pre vyhodnocovanie pokroku pri dosahovaní cieľov politík v oblasti zamestnanosti a prostredníctvom sledovania spokojnosti klientov, ako aj prostredníctvom vzdelávania zamestnancov na prácu s týmito systémami a zabezpečením mobility zamestnancov úradov pri poskytovaní týchto služieb. Vychádza sa z § 54 zákona o službách zamestnanosti, v zmysle ktorého za AOTP sa považujú aj NP, ktoré schvaľuje ministerstvo a realizuje ústredie alebo úrad.</w:t>
            </w:r>
          </w:p>
          <w:p w:rsidR="004310C5" w:rsidRPr="004C322B" w:rsidRDefault="004310C5" w:rsidP="00F842F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C322B">
              <w:rPr>
                <w:rFonts w:ascii="Verdana" w:hAnsi="Verdana"/>
                <w:b/>
                <w:sz w:val="18"/>
                <w:szCs w:val="18"/>
              </w:rPr>
              <w:t>Podporné aktivity:</w:t>
            </w:r>
          </w:p>
          <w:p w:rsidR="004310C5" w:rsidRPr="005F0EDF" w:rsidRDefault="004310C5" w:rsidP="00F842F6">
            <w:pPr>
              <w:pStyle w:val="Odsekzoznamu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5F0EDF">
              <w:rPr>
                <w:rFonts w:ascii="Verdana" w:hAnsi="Verdana"/>
                <w:sz w:val="18"/>
                <w:szCs w:val="18"/>
              </w:rPr>
              <w:t>Riadenie projektu</w:t>
            </w:r>
          </w:p>
          <w:p w:rsidR="004310C5" w:rsidRPr="005F0EDF" w:rsidRDefault="004310C5" w:rsidP="00F842F6">
            <w:pPr>
              <w:pStyle w:val="Odsekzoznamu"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5F0EDF">
              <w:rPr>
                <w:rFonts w:ascii="Verdana" w:hAnsi="Verdana"/>
                <w:sz w:val="18"/>
                <w:szCs w:val="18"/>
              </w:rPr>
              <w:t>Publicita a informovanosť</w:t>
            </w:r>
          </w:p>
        </w:tc>
      </w:tr>
    </w:tbl>
    <w:p w:rsidR="00843049" w:rsidRPr="004C322B" w:rsidRDefault="00843049" w:rsidP="00A72EF8">
      <w:pPr>
        <w:rPr>
          <w:rFonts w:ascii="Verdana" w:hAnsi="Verdana"/>
          <w:sz w:val="18"/>
          <w:szCs w:val="18"/>
        </w:rPr>
      </w:pPr>
    </w:p>
    <w:p w:rsidR="00B20648" w:rsidRPr="00D01B53" w:rsidRDefault="00B2064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D7E52" w:rsidTr="002D12C6">
        <w:trPr>
          <w:trHeight w:val="525"/>
        </w:trPr>
        <w:tc>
          <w:tcPr>
            <w:tcW w:w="9212" w:type="dxa"/>
          </w:tcPr>
          <w:p w:rsidR="00966AB1" w:rsidRPr="00BD7E52" w:rsidRDefault="00FF600E" w:rsidP="00FF600E">
            <w:pPr>
              <w:rPr>
                <w:rFonts w:ascii="Verdana" w:hAnsi="Verdana"/>
                <w:b/>
              </w:rPr>
            </w:pPr>
            <w:r w:rsidRPr="00843049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843049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843049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2D12C6" w:rsidRPr="00BD7E52" w:rsidTr="002D12C6">
        <w:trPr>
          <w:trHeight w:val="554"/>
        </w:trPr>
        <w:tc>
          <w:tcPr>
            <w:tcW w:w="9212" w:type="dxa"/>
          </w:tcPr>
          <w:p w:rsidR="00AB7798" w:rsidRPr="00AB7798" w:rsidRDefault="00AB7798" w:rsidP="00D5264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798">
              <w:rPr>
                <w:rFonts w:ascii="Verdana" w:hAnsi="Verdana"/>
                <w:sz w:val="18"/>
                <w:szCs w:val="18"/>
              </w:rPr>
              <w:t>Publicita a informovanosť bude zabezpečená počas celého obdobia trvania realizácie NP a bude sa riadiť Manuálom pre informovanie a publicitu pre prijímateľov v rámci ESF (2007-2013) pre Operačný program Zamestnanosť a sociálna inklúzia.</w:t>
            </w:r>
          </w:p>
          <w:p w:rsidR="00AB7798" w:rsidRPr="00AB7798" w:rsidRDefault="00AB7798" w:rsidP="00D5264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B7798">
              <w:rPr>
                <w:rFonts w:ascii="Verdana" w:hAnsi="Verdana"/>
                <w:sz w:val="18"/>
                <w:szCs w:val="18"/>
              </w:rPr>
              <w:t>Publicita NP bude realizovaná prostredníctvom povinných a dobrovoľných komunikačných ciest, konkrétne cez informačné materiály, propagačné predmety a informačné médiá. Prostredníctvom nich bude ústredie informovať účastníkov NP ako aj širokú verejnosť, že aktivity, ktoré sa realizujú v rámci NP sa uskutočňujú vďaka pomoci EÚ, konkrétne vďaka prostriedkom poskytnutým z ESF. Všetky aktivity spojené s publicitou, informovanosťou a zverejňovaním informácií na webových stránkach budú dostupné aj v prístupnej forme.</w:t>
            </w:r>
          </w:p>
          <w:p w:rsidR="00AB7798" w:rsidRPr="00843049" w:rsidRDefault="00AB7798" w:rsidP="00D52643">
            <w:pPr>
              <w:jc w:val="both"/>
              <w:rPr>
                <w:rFonts w:ascii="Verdana" w:hAnsi="Verdana"/>
                <w:b/>
                <w:i/>
              </w:rPr>
            </w:pPr>
            <w:r w:rsidRPr="00AB7798">
              <w:rPr>
                <w:rFonts w:ascii="Verdana" w:hAnsi="Verdana"/>
                <w:sz w:val="18"/>
                <w:szCs w:val="18"/>
              </w:rPr>
              <w:t xml:space="preserve">Publicita bude zabezpečovaná a koordinovaná ústredím. </w:t>
            </w:r>
            <w:bookmarkStart w:id="0" w:name="_GoBack"/>
            <w:bookmarkEnd w:id="0"/>
          </w:p>
        </w:tc>
      </w:tr>
    </w:tbl>
    <w:p w:rsidR="00A72EF8" w:rsidRDefault="00A72EF8" w:rsidP="00B06AB3">
      <w:pPr>
        <w:spacing w:after="120"/>
        <w:rPr>
          <w:rFonts w:ascii="Verdana" w:hAnsi="Verdana" w:cs="Bookman Old Style"/>
          <w:b/>
          <w:bCs/>
        </w:rPr>
      </w:pPr>
    </w:p>
    <w:sectPr w:rsidR="00A72EF8" w:rsidSect="004371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EB" w:rsidRDefault="00A733EB">
      <w:r>
        <w:separator/>
      </w:r>
    </w:p>
  </w:endnote>
  <w:endnote w:type="continuationSeparator" w:id="0">
    <w:p w:rsidR="00A733EB" w:rsidRDefault="00A7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EB" w:rsidRDefault="00A733EB">
      <w:r>
        <w:separator/>
      </w:r>
    </w:p>
  </w:footnote>
  <w:footnote w:type="continuationSeparator" w:id="0">
    <w:p w:rsidR="00A733EB" w:rsidRDefault="00A7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8A6" w:rsidRPr="00D03FCC" w:rsidRDefault="00760DB1" w:rsidP="00B20648">
    <w:pPr>
      <w:rPr>
        <w:rFonts w:ascii="Verdana" w:hAnsi="Verdana" w:cs="Bookman Old Style"/>
        <w:b/>
        <w:bCs/>
        <w:color w:val="FF000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4824730</wp:posOffset>
          </wp:positionH>
          <wp:positionV relativeFrom="paragraph">
            <wp:posOffset>-240030</wp:posOffset>
          </wp:positionV>
          <wp:extent cx="914400" cy="847725"/>
          <wp:effectExtent l="0" t="0" r="0" b="0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-278130</wp:posOffset>
          </wp:positionV>
          <wp:extent cx="603250" cy="914400"/>
          <wp:effectExtent l="0" t="0" r="0" b="0"/>
          <wp:wrapThrough wrapText="bothSides">
            <wp:wrapPolygon edited="0">
              <wp:start x="0" y="0"/>
              <wp:lineTo x="0" y="21150"/>
              <wp:lineTo x="21145" y="21150"/>
              <wp:lineTo x="21145" y="0"/>
              <wp:lineTo x="0" y="0"/>
            </wp:wrapPolygon>
          </wp:wrapThrough>
          <wp:docPr id="2" name="Obrázok 1" descr="Popis: Popis: Popis: Popis: Popis: Popis: Popis: Popis: logo ESF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Popis: Popis: Popis: Popis: Popis: Popis: Popis: logo ESF no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8A6" w:rsidRPr="00D01B53">
      <w:rPr>
        <w:rFonts w:ascii="Verdana" w:hAnsi="Verdana"/>
        <w:b/>
      </w:rPr>
      <w:t>Formulár príkladov dobrej praxe ESF – a)</w:t>
    </w:r>
    <w:r w:rsidR="005628A6" w:rsidRPr="00D01B53">
      <w:rPr>
        <w:rStyle w:val="Odkaznapoznmkupodiarou"/>
        <w:rFonts w:ascii="Verdana" w:hAnsi="Verdana"/>
        <w:b/>
      </w:rPr>
      <w:footnoteRef/>
    </w:r>
    <w:r w:rsidR="005628A6">
      <w:rPr>
        <w:rFonts w:ascii="Verdana" w:hAnsi="Verdana"/>
        <w:b/>
      </w:rPr>
      <w:t xml:space="preserve">                                            </w:t>
    </w:r>
  </w:p>
  <w:p w:rsidR="005628A6" w:rsidRDefault="005628A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152"/>
    <w:multiLevelType w:val="hybridMultilevel"/>
    <w:tmpl w:val="E2E4E7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344C7"/>
    <w:multiLevelType w:val="hybridMultilevel"/>
    <w:tmpl w:val="714870E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D42948"/>
    <w:multiLevelType w:val="hybridMultilevel"/>
    <w:tmpl w:val="B260B3BC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26F3"/>
    <w:multiLevelType w:val="hybridMultilevel"/>
    <w:tmpl w:val="079E8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73D3"/>
    <w:multiLevelType w:val="hybridMultilevel"/>
    <w:tmpl w:val="771870DE"/>
    <w:lvl w:ilvl="0" w:tplc="041B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3221130"/>
    <w:multiLevelType w:val="hybridMultilevel"/>
    <w:tmpl w:val="6F4E7B9A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5CE1AE3"/>
    <w:multiLevelType w:val="hybridMultilevel"/>
    <w:tmpl w:val="4DDA12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50C36"/>
    <w:multiLevelType w:val="hybridMultilevel"/>
    <w:tmpl w:val="66BCC9E4"/>
    <w:lvl w:ilvl="0" w:tplc="7A5A537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272E15"/>
    <w:multiLevelType w:val="hybridMultilevel"/>
    <w:tmpl w:val="2A9291D6"/>
    <w:lvl w:ilvl="0" w:tplc="14240010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00094"/>
    <w:multiLevelType w:val="hybridMultilevel"/>
    <w:tmpl w:val="9FD06A5E"/>
    <w:lvl w:ilvl="0" w:tplc="7A5A537E">
      <w:numFmt w:val="bullet"/>
      <w:lvlText w:val="-"/>
      <w:lvlJc w:val="left"/>
      <w:pPr>
        <w:ind w:left="141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351E0BC2"/>
    <w:multiLevelType w:val="hybridMultilevel"/>
    <w:tmpl w:val="343EB7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65D4B"/>
    <w:multiLevelType w:val="hybridMultilevel"/>
    <w:tmpl w:val="832CBFBC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279FF"/>
    <w:multiLevelType w:val="hybridMultilevel"/>
    <w:tmpl w:val="66381292"/>
    <w:lvl w:ilvl="0" w:tplc="8E4A27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D0A2E"/>
    <w:multiLevelType w:val="hybridMultilevel"/>
    <w:tmpl w:val="57A841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70CE6"/>
    <w:multiLevelType w:val="hybridMultilevel"/>
    <w:tmpl w:val="C7547146"/>
    <w:lvl w:ilvl="0" w:tplc="00F04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D11BD"/>
    <w:multiLevelType w:val="hybridMultilevel"/>
    <w:tmpl w:val="7F5A121A"/>
    <w:lvl w:ilvl="0" w:tplc="D86C669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6C6692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A3450"/>
    <w:multiLevelType w:val="hybridMultilevel"/>
    <w:tmpl w:val="601207E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1F6A9F"/>
    <w:multiLevelType w:val="hybridMultilevel"/>
    <w:tmpl w:val="28A0E59E"/>
    <w:lvl w:ilvl="0" w:tplc="8E4A27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A650B"/>
    <w:multiLevelType w:val="hybridMultilevel"/>
    <w:tmpl w:val="9DAC6C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F2DF2"/>
    <w:multiLevelType w:val="hybridMultilevel"/>
    <w:tmpl w:val="AD062B0A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A92375A"/>
    <w:multiLevelType w:val="hybridMultilevel"/>
    <w:tmpl w:val="6C52E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64CFB"/>
    <w:multiLevelType w:val="hybridMultilevel"/>
    <w:tmpl w:val="19AAEB4C"/>
    <w:lvl w:ilvl="0" w:tplc="7A5A537E">
      <w:numFmt w:val="bullet"/>
      <w:lvlText w:val="-"/>
      <w:lvlJc w:val="left"/>
      <w:pPr>
        <w:ind w:left="141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6C764452"/>
    <w:multiLevelType w:val="hybridMultilevel"/>
    <w:tmpl w:val="8B1AC6C2"/>
    <w:lvl w:ilvl="0" w:tplc="7A5A537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F7EC6"/>
    <w:multiLevelType w:val="hybridMultilevel"/>
    <w:tmpl w:val="75107C9E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FF843B5"/>
    <w:multiLevelType w:val="hybridMultilevel"/>
    <w:tmpl w:val="6CA67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627C3"/>
    <w:multiLevelType w:val="hybridMultilevel"/>
    <w:tmpl w:val="D5F23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5140F"/>
    <w:multiLevelType w:val="hybridMultilevel"/>
    <w:tmpl w:val="31C0E9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A4605A"/>
    <w:multiLevelType w:val="multilevel"/>
    <w:tmpl w:val="9010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3227AB"/>
    <w:multiLevelType w:val="hybridMultilevel"/>
    <w:tmpl w:val="F8F2D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11"/>
  </w:num>
  <w:num w:numId="5">
    <w:abstractNumId w:val="27"/>
  </w:num>
  <w:num w:numId="6">
    <w:abstractNumId w:val="2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10"/>
  </w:num>
  <w:num w:numId="12">
    <w:abstractNumId w:val="6"/>
  </w:num>
  <w:num w:numId="13">
    <w:abstractNumId w:val="26"/>
  </w:num>
  <w:num w:numId="14">
    <w:abstractNumId w:val="5"/>
  </w:num>
  <w:num w:numId="15">
    <w:abstractNumId w:val="1"/>
  </w:num>
  <w:num w:numId="16">
    <w:abstractNumId w:val="4"/>
  </w:num>
  <w:num w:numId="17">
    <w:abstractNumId w:val="16"/>
  </w:num>
  <w:num w:numId="18">
    <w:abstractNumId w:val="0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15"/>
  </w:num>
  <w:num w:numId="24">
    <w:abstractNumId w:val="14"/>
  </w:num>
  <w:num w:numId="25">
    <w:abstractNumId w:val="17"/>
  </w:num>
  <w:num w:numId="26">
    <w:abstractNumId w:val="12"/>
  </w:num>
  <w:num w:numId="27">
    <w:abstractNumId w:val="2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7D72"/>
    <w:rsid w:val="00031E1C"/>
    <w:rsid w:val="00055654"/>
    <w:rsid w:val="00056CAB"/>
    <w:rsid w:val="00090490"/>
    <w:rsid w:val="000C4279"/>
    <w:rsid w:val="000C61E7"/>
    <w:rsid w:val="000E008A"/>
    <w:rsid w:val="000E4244"/>
    <w:rsid w:val="000E4B79"/>
    <w:rsid w:val="000E6E14"/>
    <w:rsid w:val="000F0B2E"/>
    <w:rsid w:val="00113A4D"/>
    <w:rsid w:val="00125352"/>
    <w:rsid w:val="00137A32"/>
    <w:rsid w:val="00175D40"/>
    <w:rsid w:val="00181205"/>
    <w:rsid w:val="00191130"/>
    <w:rsid w:val="001B762B"/>
    <w:rsid w:val="001C36BE"/>
    <w:rsid w:val="001D697E"/>
    <w:rsid w:val="001E098D"/>
    <w:rsid w:val="002100E6"/>
    <w:rsid w:val="00232F29"/>
    <w:rsid w:val="002333ED"/>
    <w:rsid w:val="00264BE8"/>
    <w:rsid w:val="00265625"/>
    <w:rsid w:val="00274AF9"/>
    <w:rsid w:val="00293618"/>
    <w:rsid w:val="002973C6"/>
    <w:rsid w:val="002A605D"/>
    <w:rsid w:val="002B7045"/>
    <w:rsid w:val="002D0014"/>
    <w:rsid w:val="002D12C6"/>
    <w:rsid w:val="002D42DD"/>
    <w:rsid w:val="002F3EE1"/>
    <w:rsid w:val="002F6C32"/>
    <w:rsid w:val="0033245D"/>
    <w:rsid w:val="003339B9"/>
    <w:rsid w:val="00341CD5"/>
    <w:rsid w:val="00354E76"/>
    <w:rsid w:val="00362952"/>
    <w:rsid w:val="00366742"/>
    <w:rsid w:val="00373BFF"/>
    <w:rsid w:val="00375C7B"/>
    <w:rsid w:val="00384694"/>
    <w:rsid w:val="00386BD8"/>
    <w:rsid w:val="00391220"/>
    <w:rsid w:val="003D2154"/>
    <w:rsid w:val="003E3335"/>
    <w:rsid w:val="003F1E91"/>
    <w:rsid w:val="004151C5"/>
    <w:rsid w:val="004310C5"/>
    <w:rsid w:val="004371D8"/>
    <w:rsid w:val="00453CE8"/>
    <w:rsid w:val="004A7FFA"/>
    <w:rsid w:val="004B082D"/>
    <w:rsid w:val="004B2435"/>
    <w:rsid w:val="004B43FB"/>
    <w:rsid w:val="004C1E8D"/>
    <w:rsid w:val="004C2853"/>
    <w:rsid w:val="004C322B"/>
    <w:rsid w:val="004D3433"/>
    <w:rsid w:val="004D596C"/>
    <w:rsid w:val="004E021D"/>
    <w:rsid w:val="004E6DD9"/>
    <w:rsid w:val="005052B2"/>
    <w:rsid w:val="00525EC8"/>
    <w:rsid w:val="005479FE"/>
    <w:rsid w:val="005535ED"/>
    <w:rsid w:val="005628A6"/>
    <w:rsid w:val="00573CCD"/>
    <w:rsid w:val="00593C83"/>
    <w:rsid w:val="00595F06"/>
    <w:rsid w:val="00597726"/>
    <w:rsid w:val="005F0EDF"/>
    <w:rsid w:val="005F2CD6"/>
    <w:rsid w:val="00603F89"/>
    <w:rsid w:val="00620324"/>
    <w:rsid w:val="00622A61"/>
    <w:rsid w:val="006307D9"/>
    <w:rsid w:val="00661AFC"/>
    <w:rsid w:val="006639BF"/>
    <w:rsid w:val="00672ACF"/>
    <w:rsid w:val="006A61AA"/>
    <w:rsid w:val="006C6FC5"/>
    <w:rsid w:val="006D55FB"/>
    <w:rsid w:val="006E4BFF"/>
    <w:rsid w:val="006E7ED9"/>
    <w:rsid w:val="00705FBA"/>
    <w:rsid w:val="00746546"/>
    <w:rsid w:val="007501B8"/>
    <w:rsid w:val="00760DB1"/>
    <w:rsid w:val="00763B94"/>
    <w:rsid w:val="00765D00"/>
    <w:rsid w:val="007744E9"/>
    <w:rsid w:val="0079712A"/>
    <w:rsid w:val="007D211B"/>
    <w:rsid w:val="007D60B7"/>
    <w:rsid w:val="007E3D29"/>
    <w:rsid w:val="008079BA"/>
    <w:rsid w:val="00814CAF"/>
    <w:rsid w:val="008175F2"/>
    <w:rsid w:val="00840E5D"/>
    <w:rsid w:val="00843049"/>
    <w:rsid w:val="00843555"/>
    <w:rsid w:val="00852EF5"/>
    <w:rsid w:val="0085304B"/>
    <w:rsid w:val="0085643B"/>
    <w:rsid w:val="008A4EEA"/>
    <w:rsid w:val="008C2747"/>
    <w:rsid w:val="008C31C0"/>
    <w:rsid w:val="008C6FB4"/>
    <w:rsid w:val="008E28B3"/>
    <w:rsid w:val="008E38B1"/>
    <w:rsid w:val="009003AB"/>
    <w:rsid w:val="00932923"/>
    <w:rsid w:val="009372F1"/>
    <w:rsid w:val="009648C6"/>
    <w:rsid w:val="00966AB1"/>
    <w:rsid w:val="00975B1D"/>
    <w:rsid w:val="0099420A"/>
    <w:rsid w:val="009A18D7"/>
    <w:rsid w:val="009F099D"/>
    <w:rsid w:val="009F124C"/>
    <w:rsid w:val="009F5CE3"/>
    <w:rsid w:val="00A26847"/>
    <w:rsid w:val="00A3673C"/>
    <w:rsid w:val="00A50A81"/>
    <w:rsid w:val="00A72EF8"/>
    <w:rsid w:val="00A733EB"/>
    <w:rsid w:val="00A91291"/>
    <w:rsid w:val="00A91315"/>
    <w:rsid w:val="00A947B6"/>
    <w:rsid w:val="00AB2D96"/>
    <w:rsid w:val="00AB5ECE"/>
    <w:rsid w:val="00AB7798"/>
    <w:rsid w:val="00AC2292"/>
    <w:rsid w:val="00AC5900"/>
    <w:rsid w:val="00AE01A1"/>
    <w:rsid w:val="00AE5489"/>
    <w:rsid w:val="00B06AB3"/>
    <w:rsid w:val="00B14AC0"/>
    <w:rsid w:val="00B20648"/>
    <w:rsid w:val="00B268B3"/>
    <w:rsid w:val="00B372CA"/>
    <w:rsid w:val="00B5636D"/>
    <w:rsid w:val="00B61A46"/>
    <w:rsid w:val="00B92259"/>
    <w:rsid w:val="00B94157"/>
    <w:rsid w:val="00B94BE1"/>
    <w:rsid w:val="00BA05F1"/>
    <w:rsid w:val="00BB0D19"/>
    <w:rsid w:val="00BB4C6C"/>
    <w:rsid w:val="00BB6971"/>
    <w:rsid w:val="00BB7399"/>
    <w:rsid w:val="00BD7E52"/>
    <w:rsid w:val="00BE7629"/>
    <w:rsid w:val="00C17098"/>
    <w:rsid w:val="00C405F2"/>
    <w:rsid w:val="00C414A1"/>
    <w:rsid w:val="00C5077F"/>
    <w:rsid w:val="00C6538A"/>
    <w:rsid w:val="00C705D7"/>
    <w:rsid w:val="00C826C3"/>
    <w:rsid w:val="00C927F1"/>
    <w:rsid w:val="00CC1278"/>
    <w:rsid w:val="00CF2324"/>
    <w:rsid w:val="00D01B53"/>
    <w:rsid w:val="00D0323C"/>
    <w:rsid w:val="00D03FCC"/>
    <w:rsid w:val="00D13E37"/>
    <w:rsid w:val="00D171B7"/>
    <w:rsid w:val="00D377A7"/>
    <w:rsid w:val="00D5164F"/>
    <w:rsid w:val="00D52643"/>
    <w:rsid w:val="00D67FBD"/>
    <w:rsid w:val="00D73D5C"/>
    <w:rsid w:val="00D7769D"/>
    <w:rsid w:val="00DC1F4C"/>
    <w:rsid w:val="00DD2A70"/>
    <w:rsid w:val="00DF21C0"/>
    <w:rsid w:val="00DF5A02"/>
    <w:rsid w:val="00DF763D"/>
    <w:rsid w:val="00E3246E"/>
    <w:rsid w:val="00E82346"/>
    <w:rsid w:val="00E94F6F"/>
    <w:rsid w:val="00E96AE8"/>
    <w:rsid w:val="00EF166C"/>
    <w:rsid w:val="00F060CF"/>
    <w:rsid w:val="00F24E0F"/>
    <w:rsid w:val="00F46E9C"/>
    <w:rsid w:val="00F60943"/>
    <w:rsid w:val="00F842F6"/>
    <w:rsid w:val="00FA27D0"/>
    <w:rsid w:val="00FA32D7"/>
    <w:rsid w:val="00FA7761"/>
    <w:rsid w:val="00FB0E62"/>
    <w:rsid w:val="00FC16E1"/>
    <w:rsid w:val="00FC1A9E"/>
    <w:rsid w:val="00FD30F7"/>
    <w:rsid w:val="00FD39FA"/>
    <w:rsid w:val="00FD5754"/>
    <w:rsid w:val="00FE2BA8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9113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191130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D37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377A7"/>
    <w:rPr>
      <w:rFonts w:ascii="Tahoma" w:hAnsi="Tahoma" w:cs="Tahoma"/>
      <w:sz w:val="16"/>
      <w:szCs w:val="16"/>
      <w:lang w:val="x-none" w:eastAsia="cs-CZ"/>
    </w:rPr>
  </w:style>
  <w:style w:type="character" w:styleId="Hypertextovprepojenie">
    <w:name w:val="Hyperlink"/>
    <w:basedOn w:val="Predvolenpsmoodseku"/>
    <w:uiPriority w:val="99"/>
    <w:rsid w:val="00D377A7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7E5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031E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31E1C"/>
    <w:rPr>
      <w:rFonts w:cs="Times New Roman"/>
      <w:lang w:val="x-none" w:eastAsia="cs-CZ"/>
    </w:rPr>
  </w:style>
  <w:style w:type="paragraph" w:styleId="Pta">
    <w:name w:val="footer"/>
    <w:basedOn w:val="Normlny"/>
    <w:link w:val="PtaChar"/>
    <w:uiPriority w:val="99"/>
    <w:rsid w:val="00031E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31E1C"/>
    <w:rPr>
      <w:rFonts w:cs="Times New Roman"/>
      <w:lang w:val="x-none" w:eastAsia="cs-CZ"/>
    </w:rPr>
  </w:style>
  <w:style w:type="character" w:styleId="Odkaznakomentr">
    <w:name w:val="annotation reference"/>
    <w:basedOn w:val="Predvolenpsmoodseku"/>
    <w:uiPriority w:val="99"/>
    <w:rsid w:val="00031E1C"/>
    <w:rPr>
      <w:rFonts w:cs="Times New Roman"/>
      <w:sz w:val="16"/>
      <w:szCs w:val="16"/>
    </w:rPr>
  </w:style>
  <w:style w:type="paragraph" w:customStyle="1" w:styleId="Default">
    <w:name w:val="Default"/>
    <w:rsid w:val="00EF16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9113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191130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D37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377A7"/>
    <w:rPr>
      <w:rFonts w:ascii="Tahoma" w:hAnsi="Tahoma" w:cs="Tahoma"/>
      <w:sz w:val="16"/>
      <w:szCs w:val="16"/>
      <w:lang w:val="x-none" w:eastAsia="cs-CZ"/>
    </w:rPr>
  </w:style>
  <w:style w:type="character" w:styleId="Hypertextovprepojenie">
    <w:name w:val="Hyperlink"/>
    <w:basedOn w:val="Predvolenpsmoodseku"/>
    <w:uiPriority w:val="99"/>
    <w:rsid w:val="00D377A7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7E5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031E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31E1C"/>
    <w:rPr>
      <w:rFonts w:cs="Times New Roman"/>
      <w:lang w:val="x-none" w:eastAsia="cs-CZ"/>
    </w:rPr>
  </w:style>
  <w:style w:type="paragraph" w:styleId="Pta">
    <w:name w:val="footer"/>
    <w:basedOn w:val="Normlny"/>
    <w:link w:val="PtaChar"/>
    <w:uiPriority w:val="99"/>
    <w:rsid w:val="00031E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31E1C"/>
    <w:rPr>
      <w:rFonts w:cs="Times New Roman"/>
      <w:lang w:val="x-none" w:eastAsia="cs-CZ"/>
    </w:rPr>
  </w:style>
  <w:style w:type="character" w:styleId="Odkaznakomentr">
    <w:name w:val="annotation reference"/>
    <w:basedOn w:val="Predvolenpsmoodseku"/>
    <w:uiPriority w:val="99"/>
    <w:rsid w:val="00031E1C"/>
    <w:rPr>
      <w:rFonts w:cs="Times New Roman"/>
      <w:sz w:val="16"/>
      <w:szCs w:val="16"/>
    </w:rPr>
  </w:style>
  <w:style w:type="paragraph" w:customStyle="1" w:styleId="Default">
    <w:name w:val="Default"/>
    <w:rsid w:val="00EF16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ydia.svetikova@upsvr.go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sva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AEFA-9C50-43E7-B213-A80ED93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Popaďáková Lenka</cp:lastModifiedBy>
  <cp:revision>11</cp:revision>
  <cp:lastPrinted>2014-01-27T11:56:00Z</cp:lastPrinted>
  <dcterms:created xsi:type="dcterms:W3CDTF">2015-10-01T07:37:00Z</dcterms:created>
  <dcterms:modified xsi:type="dcterms:W3CDTF">2015-10-01T11:56:00Z</dcterms:modified>
</cp:coreProperties>
</file>