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C90426" w:rsidRDefault="00C90426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E554C8" w:rsidRDefault="00F57F9C" w:rsidP="00E95434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F57F9C">
              <w:rPr>
                <w:color w:val="000000"/>
                <w:sz w:val="23"/>
                <w:szCs w:val="23"/>
                <w:lang w:eastAsia="sk-SK"/>
              </w:rPr>
              <w:t xml:space="preserve">Podpora vytvárania pracovných miest </w:t>
            </w:r>
            <w:r w:rsidR="00E95434">
              <w:rPr>
                <w:color w:val="000000"/>
                <w:sz w:val="23"/>
                <w:szCs w:val="23"/>
                <w:lang w:eastAsia="sk-SK"/>
              </w:rPr>
              <w:t>- 3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E95434" w:rsidP="00E95434">
            <w:pPr>
              <w:rPr>
                <w:rFonts w:ascii="Verdana" w:hAnsi="Verdana"/>
              </w:rPr>
            </w:pPr>
            <w:r w:rsidRPr="00E95434">
              <w:rPr>
                <w:sz w:val="23"/>
                <w:szCs w:val="23"/>
              </w:rPr>
              <w:t xml:space="preserve">OP </w:t>
            </w:r>
            <w:proofErr w:type="spellStart"/>
            <w:r w:rsidRPr="00E95434">
              <w:rPr>
                <w:sz w:val="23"/>
                <w:szCs w:val="23"/>
              </w:rPr>
              <w:t>ZaSI</w:t>
            </w:r>
            <w:proofErr w:type="spellEnd"/>
            <w:r w:rsidRPr="00E95434">
              <w:rPr>
                <w:sz w:val="23"/>
                <w:szCs w:val="23"/>
              </w:rPr>
              <w:t xml:space="preserve"> NP/2014/1.1/03 </w:t>
            </w:r>
            <w:r w:rsidR="00090568" w:rsidRPr="00090568">
              <w:rPr>
                <w:sz w:val="23"/>
                <w:szCs w:val="23"/>
              </w:rPr>
              <w:t xml:space="preserve"> </w:t>
            </w:r>
            <w:r w:rsidR="003977CE">
              <w:rPr>
                <w:sz w:val="23"/>
                <w:szCs w:val="23"/>
              </w:rPr>
              <w:t xml:space="preserve">                                                           </w:t>
            </w:r>
            <w:r w:rsidR="00A94A6B">
              <w:rPr>
                <w:sz w:val="23"/>
                <w:szCs w:val="23"/>
              </w:rPr>
              <w:t xml:space="preserve">ITMS kód projektu: </w:t>
            </w:r>
            <w:r>
              <w:rPr>
                <w:sz w:val="23"/>
                <w:szCs w:val="23"/>
              </w:rPr>
              <w:t>27110130037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E95434" w:rsidRDefault="00E95434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 xml:space="preserve">1 Podpora rastu zamestnanosti </w:t>
            </w:r>
          </w:p>
          <w:p w:rsidR="00A94A6B" w:rsidRPr="00B23C82" w:rsidRDefault="00E95434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>1.1 Podpora programov v oblasti podpory zamestnanosti a riešenia nezamestnanosti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434720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Západné Slovensko, Stredné Slovensko, Východné Slovensko</w:t>
            </w:r>
          </w:p>
          <w:p w:rsidR="00A72EF8" w:rsidRPr="005E1CC1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Trnavský kraj, Nitriansky kraj, Trenčiansky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F57F9C">
              <w:rPr>
                <w:color w:val="000000"/>
                <w:sz w:val="23"/>
                <w:szCs w:val="23"/>
                <w:lang w:eastAsia="sk-SK"/>
              </w:rPr>
              <w:t>5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B82821">
              <w:rPr>
                <w:color w:val="000000"/>
                <w:sz w:val="23"/>
                <w:szCs w:val="23"/>
                <w:lang w:eastAsia="sk-SK"/>
              </w:rPr>
              <w:t>4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E95434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E95434">
              <w:rPr>
                <w:color w:val="000000"/>
                <w:sz w:val="23"/>
                <w:szCs w:val="23"/>
                <w:lang w:eastAsia="sk-SK"/>
              </w:rPr>
              <w:t>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E95434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</w:t>
            </w:r>
            <w:r w:rsidR="00F57F9C">
              <w:rPr>
                <w:color w:val="000000"/>
                <w:sz w:val="23"/>
                <w:szCs w:val="23"/>
                <w:lang w:eastAsia="sk-SK"/>
              </w:rPr>
              <w:t> 000 000,00</w:t>
            </w:r>
            <w:r w:rsidR="00E554C8" w:rsidRPr="00E554C8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F57F9C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Mgr. </w:t>
            </w:r>
            <w:r w:rsidR="00E95434">
              <w:rPr>
                <w:color w:val="000000"/>
                <w:sz w:val="23"/>
                <w:szCs w:val="23"/>
                <w:lang w:eastAsia="sk-SK"/>
              </w:rPr>
              <w:t>Katarína Dvořáková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E95434">
              <w:rPr>
                <w:color w:val="000000"/>
                <w:sz w:val="23"/>
                <w:szCs w:val="23"/>
                <w:lang w:eastAsia="sk-SK"/>
              </w:rPr>
              <w:t>995</w:t>
            </w:r>
          </w:p>
          <w:p w:rsidR="00CE0860" w:rsidRDefault="00387FA4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E95434" w:rsidRPr="00F155FC">
                <w:rPr>
                  <w:rStyle w:val="Hypertextovprepojenie"/>
                  <w:sz w:val="23"/>
                  <w:szCs w:val="23"/>
                  <w:lang w:eastAsia="sk-SK"/>
                </w:rPr>
                <w:t>katarina.dvorakova@upsvr.gov.sk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p w:rsidR="00C90426" w:rsidRDefault="00C90426"/>
    <w:p w:rsidR="00C90426" w:rsidRDefault="00C90426"/>
    <w:p w:rsidR="00C90426" w:rsidRDefault="00C90426"/>
    <w:p w:rsidR="00C90426" w:rsidRDefault="00C90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Ciele projektu  (uveďte kľúčové slová)</w:t>
            </w:r>
          </w:p>
        </w:tc>
      </w:tr>
      <w:tr w:rsidR="00A72EF8" w:rsidRPr="00C5077F" w:rsidTr="00843555">
        <w:tc>
          <w:tcPr>
            <w:tcW w:w="9212" w:type="dxa"/>
          </w:tcPr>
          <w:p w:rsidR="00F57F9C" w:rsidRDefault="0028589E" w:rsidP="0028589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8589E">
              <w:rPr>
                <w:rFonts w:ascii="Times New Roman" w:hAnsi="Times New Roman" w:cs="Times New Roman"/>
                <w:sz w:val="23"/>
                <w:szCs w:val="23"/>
              </w:rPr>
              <w:t>Podpora zamestnanosti a znižovania nezamestnanosti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8589E">
              <w:rPr>
                <w:rFonts w:ascii="Times New Roman" w:hAnsi="Times New Roman" w:cs="Times New Roman"/>
                <w:sz w:val="23"/>
                <w:szCs w:val="23"/>
              </w:rPr>
              <w:t xml:space="preserve">vybraných skupín </w:t>
            </w:r>
            <w:proofErr w:type="spellStart"/>
            <w:r w:rsidRPr="0028589E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8589E">
              <w:rPr>
                <w:rFonts w:ascii="Times New Roman" w:hAnsi="Times New Roman" w:cs="Times New Roman"/>
                <w:sz w:val="23"/>
                <w:szCs w:val="23"/>
              </w:rPr>
              <w:t xml:space="preserve"> formou vytvárania pracovných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8589E">
              <w:rPr>
                <w:rFonts w:ascii="Times New Roman" w:hAnsi="Times New Roman" w:cs="Times New Roman"/>
                <w:sz w:val="23"/>
                <w:szCs w:val="23"/>
              </w:rPr>
              <w:t xml:space="preserve">miest. </w:t>
            </w:r>
          </w:p>
          <w:p w:rsidR="0028589E" w:rsidRPr="0028589E" w:rsidRDefault="0028589E" w:rsidP="0028589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2821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50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1:</w:t>
            </w:r>
            <w:r w:rsidRPr="00E5507B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F57F9C" w:rsidRPr="0028589E" w:rsidRDefault="0028589E" w:rsidP="0028589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8589E">
              <w:rPr>
                <w:rFonts w:ascii="Times New Roman" w:hAnsi="Times New Roman" w:cs="Times New Roman"/>
                <w:sz w:val="23"/>
                <w:szCs w:val="23"/>
              </w:rPr>
              <w:t>Podpora motivácie zamestnávateľov zamestnávať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8589E">
              <w:rPr>
                <w:rFonts w:ascii="Times New Roman" w:hAnsi="Times New Roman" w:cs="Times New Roman"/>
                <w:sz w:val="23"/>
                <w:szCs w:val="23"/>
              </w:rPr>
              <w:t xml:space="preserve">mladých </w:t>
            </w:r>
            <w:proofErr w:type="spellStart"/>
            <w:r w:rsidRPr="0028589E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28589E">
              <w:rPr>
                <w:rFonts w:ascii="Times New Roman" w:hAnsi="Times New Roman" w:cs="Times New Roman"/>
                <w:sz w:val="23"/>
                <w:szCs w:val="23"/>
              </w:rPr>
              <w:t xml:space="preserve"> do 29 rokov veku vrátane.</w:t>
            </w:r>
          </w:p>
          <w:p w:rsidR="00B82821" w:rsidRPr="0028589E" w:rsidRDefault="00E5507B" w:rsidP="001E4CB6">
            <w:pPr>
              <w:jc w:val="both"/>
              <w:rPr>
                <w:sz w:val="23"/>
                <w:szCs w:val="23"/>
              </w:rPr>
            </w:pPr>
            <w:r w:rsidRPr="0028589E">
              <w:rPr>
                <w:b/>
                <w:i/>
                <w:sz w:val="23"/>
                <w:szCs w:val="23"/>
              </w:rPr>
              <w:t>Špecifický cieľ 2:</w:t>
            </w:r>
            <w:r w:rsidRPr="0028589E">
              <w:rPr>
                <w:sz w:val="23"/>
                <w:szCs w:val="23"/>
              </w:rPr>
              <w:t xml:space="preserve">   </w:t>
            </w:r>
          </w:p>
          <w:p w:rsidR="00A72EF8" w:rsidRPr="008E3D4A" w:rsidRDefault="0028589E" w:rsidP="0028589E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 xml:space="preserve">Zvýšenie zamestnanosti mladých </w:t>
            </w:r>
            <w:proofErr w:type="spellStart"/>
            <w:r w:rsidRPr="0028589E">
              <w:rPr>
                <w:sz w:val="23"/>
                <w:szCs w:val="23"/>
              </w:rPr>
              <w:t>UoZ</w:t>
            </w:r>
            <w:proofErr w:type="spellEnd"/>
            <w:r w:rsidRPr="0028589E">
              <w:rPr>
                <w:sz w:val="23"/>
                <w:szCs w:val="23"/>
              </w:rPr>
              <w:t xml:space="preserve"> na trhu práce,  prostredníctvom získania zručností  a pracovných návykov, na vytvorených pracovných miestach.</w:t>
            </w:r>
          </w:p>
        </w:tc>
      </w:tr>
    </w:tbl>
    <w:p w:rsidR="0047689B" w:rsidRDefault="0047689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AC32DD" w:rsidRPr="00B23C82" w:rsidRDefault="0028589E" w:rsidP="0028589E">
            <w:pPr>
              <w:contextualSpacing/>
              <w:jc w:val="both"/>
              <w:rPr>
                <w:sz w:val="23"/>
                <w:szCs w:val="23"/>
              </w:rPr>
            </w:pPr>
            <w:r w:rsidRPr="0028589E">
              <w:rPr>
                <w:bCs/>
                <w:sz w:val="23"/>
                <w:szCs w:val="23"/>
              </w:rPr>
              <w:t xml:space="preserve">Mladí nezamestnaní </w:t>
            </w:r>
            <w:bookmarkStart w:id="0" w:name="OLE_LINK3"/>
            <w:r w:rsidRPr="0028589E">
              <w:rPr>
                <w:bCs/>
                <w:sz w:val="23"/>
                <w:szCs w:val="23"/>
              </w:rPr>
              <w:t>vo veku do 29 rokov vrátane</w:t>
            </w:r>
            <w:bookmarkEnd w:id="0"/>
            <w:r w:rsidRPr="0028589E">
              <w:rPr>
                <w:bCs/>
                <w:sz w:val="23"/>
                <w:szCs w:val="23"/>
              </w:rPr>
              <w:t xml:space="preserve">, </w:t>
            </w:r>
            <w:bookmarkStart w:id="1" w:name="OLE_LINK1"/>
            <w:bookmarkStart w:id="2" w:name="OLE_LINK2"/>
            <w:r w:rsidRPr="0028589E">
              <w:rPr>
                <w:bCs/>
                <w:sz w:val="23"/>
                <w:szCs w:val="23"/>
              </w:rPr>
              <w:t xml:space="preserve">ktorí sú </w:t>
            </w:r>
            <w:proofErr w:type="spellStart"/>
            <w:r w:rsidRPr="0028589E">
              <w:rPr>
                <w:bCs/>
                <w:sz w:val="23"/>
                <w:szCs w:val="23"/>
              </w:rPr>
              <w:t>UoZ</w:t>
            </w:r>
            <w:proofErr w:type="spellEnd"/>
            <w:r w:rsidRPr="0028589E">
              <w:rPr>
                <w:bCs/>
                <w:sz w:val="23"/>
                <w:szCs w:val="23"/>
              </w:rPr>
              <w:t xml:space="preserve"> podľa § 6 zákona o službách zamestnanosti, vedení v evidencii </w:t>
            </w:r>
            <w:proofErr w:type="spellStart"/>
            <w:r w:rsidRPr="0028589E">
              <w:rPr>
                <w:bCs/>
                <w:sz w:val="23"/>
                <w:szCs w:val="23"/>
              </w:rPr>
              <w:t>UoZ</w:t>
            </w:r>
            <w:proofErr w:type="spellEnd"/>
            <w:r w:rsidRPr="0028589E">
              <w:rPr>
                <w:bCs/>
                <w:sz w:val="23"/>
                <w:szCs w:val="23"/>
              </w:rPr>
              <w:t xml:space="preserve">  najmenej 3 mesiace</w:t>
            </w:r>
            <w:r w:rsidRPr="0028589E">
              <w:rPr>
                <w:bCs/>
                <w:i/>
                <w:sz w:val="23"/>
                <w:szCs w:val="23"/>
              </w:rPr>
              <w:t xml:space="preserve">. </w:t>
            </w:r>
            <w:bookmarkEnd w:id="1"/>
            <w:bookmarkEnd w:id="2"/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0463CC" w:rsidRDefault="000463CC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28589E" w:rsidRP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>Situácia na TP v SR je v súčasnosti charakterizovaná vysokou mierou nezamestnanosti mladých ľudí do 29 rokov. K 31. 12. 2013 bolo v evidencii úradov práce, sociálnych vecí a rodiny evidovaných</w:t>
            </w:r>
            <w:r>
              <w:rPr>
                <w:sz w:val="23"/>
                <w:szCs w:val="23"/>
              </w:rPr>
              <w:t xml:space="preserve"> </w:t>
            </w:r>
            <w:r w:rsidRPr="0028589E">
              <w:rPr>
                <w:sz w:val="23"/>
                <w:szCs w:val="23"/>
              </w:rPr>
              <w:t xml:space="preserve">398 876 občanov. V tejto kategórii znevýhodnenia je </w:t>
            </w:r>
            <w:proofErr w:type="spellStart"/>
            <w:r w:rsidRPr="0028589E">
              <w:rPr>
                <w:sz w:val="23"/>
                <w:szCs w:val="23"/>
              </w:rPr>
              <w:t>inkluzívne</w:t>
            </w:r>
            <w:proofErr w:type="spellEnd"/>
            <w:r w:rsidRPr="0028589E">
              <w:rPr>
                <w:sz w:val="23"/>
                <w:szCs w:val="23"/>
              </w:rPr>
              <w:t xml:space="preserve"> obsiahnutá väčšina inak </w:t>
            </w:r>
            <w:r w:rsidR="00DB1018">
              <w:rPr>
                <w:sz w:val="23"/>
                <w:szCs w:val="23"/>
              </w:rPr>
              <w:t xml:space="preserve">znevýhodnených </w:t>
            </w:r>
            <w:proofErr w:type="spellStart"/>
            <w:r w:rsidRPr="0028589E">
              <w:rPr>
                <w:sz w:val="23"/>
                <w:szCs w:val="23"/>
              </w:rPr>
              <w:t>UoZ</w:t>
            </w:r>
            <w:proofErr w:type="spellEnd"/>
            <w:r w:rsidRPr="0028589E">
              <w:rPr>
                <w:sz w:val="23"/>
                <w:szCs w:val="23"/>
              </w:rPr>
              <w:t>, vrátane mladých ľudí</w:t>
            </w:r>
            <w:r>
              <w:rPr>
                <w:sz w:val="23"/>
                <w:szCs w:val="23"/>
              </w:rPr>
              <w:t xml:space="preserve"> </w:t>
            </w:r>
            <w:r w:rsidRPr="0028589E">
              <w:rPr>
                <w:sz w:val="23"/>
                <w:szCs w:val="23"/>
              </w:rPr>
              <w:t>vo veku do 29 rokov.</w:t>
            </w:r>
          </w:p>
          <w:p w:rsid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 xml:space="preserve">Podiel evidovaných občanov do 29 rokov vrátane na celkovom počte evidovaných </w:t>
            </w:r>
            <w:proofErr w:type="spellStart"/>
            <w:r w:rsidRPr="0028589E">
              <w:rPr>
                <w:sz w:val="23"/>
                <w:szCs w:val="23"/>
              </w:rPr>
              <w:t>UoZ</w:t>
            </w:r>
            <w:proofErr w:type="spellEnd"/>
            <w:r w:rsidRPr="0028589E">
              <w:rPr>
                <w:sz w:val="23"/>
                <w:szCs w:val="23"/>
              </w:rPr>
              <w:t xml:space="preserve"> predstavuje 31 %</w:t>
            </w:r>
            <w:r>
              <w:rPr>
                <w:sz w:val="23"/>
                <w:szCs w:val="23"/>
              </w:rPr>
              <w:t xml:space="preserve">. </w:t>
            </w:r>
            <w:r w:rsidRPr="0028589E">
              <w:rPr>
                <w:sz w:val="23"/>
                <w:szCs w:val="23"/>
              </w:rPr>
              <w:t>Najpočetnejšou skupinou nezamestnaných sú občania so základným vzdelaním, občania so stredným odborným</w:t>
            </w:r>
            <w:r>
              <w:rPr>
                <w:sz w:val="23"/>
                <w:szCs w:val="23"/>
              </w:rPr>
              <w:t xml:space="preserve"> </w:t>
            </w:r>
            <w:r w:rsidRPr="0028589E">
              <w:rPr>
                <w:sz w:val="23"/>
                <w:szCs w:val="23"/>
              </w:rPr>
              <w:t>vzdelaním bez maturity a s maturitou, resp. občania bez vzdelania (stupeň vzdelania 0 až 3 – 244 232 osôb,) čo</w:t>
            </w:r>
            <w:r>
              <w:rPr>
                <w:sz w:val="23"/>
                <w:szCs w:val="23"/>
              </w:rPr>
              <w:t xml:space="preserve"> </w:t>
            </w:r>
            <w:r w:rsidRPr="0028589E">
              <w:rPr>
                <w:sz w:val="23"/>
                <w:szCs w:val="23"/>
              </w:rPr>
              <w:t>predstavuje cca 60 % z celkového počtu nezamestnaných občanov.</w:t>
            </w:r>
          </w:p>
          <w:p w:rsidR="003E2C26" w:rsidRPr="000463CC" w:rsidRDefault="00203B45" w:rsidP="0028589E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 xml:space="preserve">Cieľom projektu je </w:t>
            </w:r>
            <w:r w:rsidR="009327E0" w:rsidRPr="000463CC">
              <w:rPr>
                <w:sz w:val="23"/>
                <w:szCs w:val="23"/>
              </w:rPr>
              <w:t xml:space="preserve">podpora zamestnanosti a znižovania nezamestnanosti vybraných skupín </w:t>
            </w:r>
            <w:proofErr w:type="spellStart"/>
            <w:r w:rsidR="009327E0" w:rsidRPr="000463CC">
              <w:rPr>
                <w:sz w:val="23"/>
                <w:szCs w:val="23"/>
              </w:rPr>
              <w:t>UoZ</w:t>
            </w:r>
            <w:proofErr w:type="spellEnd"/>
            <w:r w:rsidR="009327E0" w:rsidRPr="000463CC">
              <w:rPr>
                <w:sz w:val="23"/>
                <w:szCs w:val="23"/>
              </w:rPr>
              <w:t xml:space="preserve"> formou vytvárania pracovných miest.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93329B" w:rsidRPr="00482DAC" w:rsidRDefault="009327E0" w:rsidP="0093329B">
            <w:pPr>
              <w:jc w:val="both"/>
              <w:rPr>
                <w:sz w:val="22"/>
                <w:szCs w:val="22"/>
              </w:rPr>
            </w:pPr>
            <w:r w:rsidRPr="009327E0">
              <w:rPr>
                <w:sz w:val="23"/>
                <w:szCs w:val="23"/>
                <w:u w:val="single"/>
                <w:lang w:eastAsia="sk-SK"/>
              </w:rPr>
              <w:t>Hlavnou aktivitou projektu</w:t>
            </w:r>
            <w:r w:rsidRPr="009327E0">
              <w:rPr>
                <w:sz w:val="23"/>
                <w:szCs w:val="23"/>
                <w:lang w:eastAsia="sk-SK"/>
              </w:rPr>
              <w:t xml:space="preserve"> je poskytovanie  príspevkov na AOTP  podľa  § 54 ods. 1 písm. a)   zákona  o službách zamestnanosti. </w:t>
            </w:r>
            <w:r w:rsidR="0093329B">
              <w:rPr>
                <w:sz w:val="23"/>
                <w:szCs w:val="23"/>
                <w:lang w:eastAsia="sk-SK"/>
              </w:rPr>
              <w:t xml:space="preserve"> </w:t>
            </w:r>
            <w:r w:rsidR="0093329B" w:rsidRPr="00482DAC">
              <w:rPr>
                <w:sz w:val="22"/>
                <w:szCs w:val="22"/>
              </w:rPr>
              <w:t xml:space="preserve">Príspevok na jedno vytvorené PM bude poskytovaný najviac 12 mesiacov. </w:t>
            </w:r>
          </w:p>
          <w:p w:rsidR="009327E0" w:rsidRPr="000463CC" w:rsidRDefault="009327E0" w:rsidP="00203B4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896E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896E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3E2C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Publicita a informovanosť projektu</w:t>
            </w:r>
            <w:r w:rsidR="006D0971" w:rsidRPr="00896E3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28589E" w:rsidRP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>Publicita a informovanosť bude zabezpečená počas celého obdobia trvania realizácie projektu a bude sa riadiť Manuálom pre informovanie a publicitu pre prijímateľov v rámci ESF (2007-2013) pre Operačný program Zamestnanosť a sociálna inklúzia.</w:t>
            </w:r>
          </w:p>
          <w:p w:rsidR="0028589E" w:rsidRP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>V zmysle Manuálu pre informovan</w:t>
            </w:r>
            <w:r>
              <w:rPr>
                <w:sz w:val="23"/>
                <w:szCs w:val="23"/>
              </w:rPr>
              <w:t>ie</w:t>
            </w:r>
            <w:r w:rsidRPr="0028589E">
              <w:rPr>
                <w:sz w:val="23"/>
                <w:szCs w:val="23"/>
              </w:rPr>
              <w:t xml:space="preserve"> a publicitu bude publicita projektu realizovaná prostredníctvom povinných a dobrovoľných komunikačných ciest, konkrétne cez informačné/propagačné materiály a informačné médiá. Prostredníctvom nich bude prijímateľ informovať účastníkov projektu ako aj širokú verejnosť, že aktivity, ktoré sa realizujú v rámci projektu sa uskutočňujú vďaka pomoci EÚ, konkrétne vďaka prostriedkom poskytnutým z ESF.</w:t>
            </w:r>
          </w:p>
          <w:p w:rsid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 xml:space="preserve">Plagáty a letáky budú obsahovať všetky potrebné informácie týkajúce sa spolufinancovania ESF, logo ESF, logo OP </w:t>
            </w:r>
            <w:proofErr w:type="spellStart"/>
            <w:r w:rsidRPr="0028589E">
              <w:rPr>
                <w:sz w:val="23"/>
                <w:szCs w:val="23"/>
              </w:rPr>
              <w:t>ZaSI</w:t>
            </w:r>
            <w:proofErr w:type="spellEnd"/>
            <w:r w:rsidRPr="0028589E">
              <w:rPr>
                <w:sz w:val="23"/>
                <w:szCs w:val="23"/>
              </w:rPr>
              <w:t xml:space="preserve">. Informácie o projekte budú vyhotovené  za účelom informovania cieľových skupín projektu a budú dostupné i na </w:t>
            </w:r>
            <w:hyperlink r:id="rId11" w:history="1">
              <w:r w:rsidRPr="0028589E">
                <w:rPr>
                  <w:rStyle w:val="Hypertextovprepojenie"/>
                  <w:sz w:val="23"/>
                  <w:szCs w:val="23"/>
                </w:rPr>
                <w:t>www.upsvar.sk</w:t>
              </w:r>
            </w:hyperlink>
            <w:r w:rsidRPr="0028589E">
              <w:rPr>
                <w:sz w:val="23"/>
                <w:szCs w:val="23"/>
              </w:rPr>
              <w:t xml:space="preserve">. Plagáty budú umiestnené v miestnostiach inštitúcií, ktoré vykonávajú aktivity projektu spolufinancované z ESF. </w:t>
            </w:r>
          </w:p>
          <w:p w:rsidR="00D32E30" w:rsidRPr="0028589E" w:rsidRDefault="00D32E30" w:rsidP="0028589E">
            <w:pPr>
              <w:jc w:val="both"/>
              <w:rPr>
                <w:sz w:val="23"/>
                <w:szCs w:val="23"/>
              </w:rPr>
            </w:pPr>
          </w:p>
          <w:p w:rsidR="0028589E" w:rsidRP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lastRenderedPageBreak/>
              <w:t>Zviditeľnenie účasti EÚ pri realizácii aktivít bude zabezpečené i tlačovou správou, ktorá bude na začiatku realizácie projektu zaslaná informačnému médiu na zverejnenie.</w:t>
            </w:r>
          </w:p>
          <w:p w:rsidR="0028589E" w:rsidRP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>Vo vzťahu k výstupom projektu sa viaže výroba záverečnej brožúry o dosiahnutých výsledkoch implementácie projektu, ktorá bude dostupná na Ústredí PSVR ako aj všetkých úradoch PSVR, ktoré sú do projektu zapojené.</w:t>
            </w:r>
          </w:p>
          <w:p w:rsidR="0028589E" w:rsidRP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 xml:space="preserve">Úrady PSVR budú vytvárať </w:t>
            </w:r>
            <w:r w:rsidRPr="0028589E">
              <w:rPr>
                <w:sz w:val="23"/>
                <w:szCs w:val="23"/>
                <w:u w:val="single"/>
              </w:rPr>
              <w:t>fotodokumentáciu, resp. audiovizuálne záznamy</w:t>
            </w:r>
            <w:r w:rsidRPr="0028589E">
              <w:rPr>
                <w:sz w:val="23"/>
                <w:szCs w:val="23"/>
              </w:rPr>
              <w:t xml:space="preserve"> z realizácie aktivít projektu a zároveň budú realizovať informačné stretnutia so zamestnávateľmi.</w:t>
            </w:r>
          </w:p>
          <w:p w:rsidR="0028589E" w:rsidRPr="0028589E" w:rsidRDefault="0028589E" w:rsidP="0028589E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 xml:space="preserve">Všetky aktivity spojené s publicitou, informovanosťou a zverejňovaním informácií na webových stránkach sú dostupné aj v prístupnej forme. </w:t>
            </w:r>
          </w:p>
          <w:p w:rsidR="008E3D4A" w:rsidRPr="00894EE3" w:rsidRDefault="0028589E" w:rsidP="00896E30">
            <w:pPr>
              <w:jc w:val="both"/>
              <w:rPr>
                <w:sz w:val="23"/>
                <w:szCs w:val="23"/>
              </w:rPr>
            </w:pPr>
            <w:r w:rsidRPr="0028589E">
              <w:rPr>
                <w:sz w:val="23"/>
                <w:szCs w:val="23"/>
              </w:rPr>
              <w:t>Publicita bude centrálne zabezpečovaná a koordinovaná Ústredím PSVR.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D32E30" w:rsidRDefault="00D32E30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Tento projekt sa realizuje vďaka podpore z Európskeho sociálneho fondu v rámci Operačného programu Zamestnanosť a sociálna inklúzia.     </w:t>
      </w:r>
    </w:p>
    <w:p w:rsidR="006A0B03" w:rsidRPr="006A0B03" w:rsidRDefault="006A0B03" w:rsidP="006A0B03">
      <w:pPr>
        <w:jc w:val="center"/>
        <w:rPr>
          <w:i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2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p w:rsidR="006A0B03" w:rsidRDefault="006A0B03" w:rsidP="00765028">
      <w:pPr>
        <w:spacing w:after="120"/>
        <w:rPr>
          <w:rFonts w:ascii="Verdana" w:hAnsi="Verdana" w:cs="Bookman Old Style"/>
          <w:b/>
          <w:bCs/>
        </w:rPr>
      </w:pPr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9E" w:rsidRDefault="0028589E">
      <w:r>
        <w:separator/>
      </w:r>
    </w:p>
  </w:endnote>
  <w:endnote w:type="continuationSeparator" w:id="0">
    <w:p w:rsidR="0028589E" w:rsidRDefault="0028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9E" w:rsidRDefault="0028589E">
      <w:r>
        <w:separator/>
      </w:r>
    </w:p>
  </w:footnote>
  <w:footnote w:type="continuationSeparator" w:id="0">
    <w:p w:rsidR="0028589E" w:rsidRDefault="0028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17"/>
  </w:num>
  <w:num w:numId="6">
    <w:abstractNumId w:val="14"/>
  </w:num>
  <w:num w:numId="7">
    <w:abstractNumId w:val="12"/>
  </w:num>
  <w:num w:numId="8">
    <w:abstractNumId w:val="4"/>
  </w:num>
  <w:num w:numId="9">
    <w:abstractNumId w:val="6"/>
  </w:num>
  <w:num w:numId="10">
    <w:abstractNumId w:val="8"/>
  </w:num>
  <w:num w:numId="11">
    <w:abstractNumId w:val="18"/>
  </w:num>
  <w:num w:numId="12">
    <w:abstractNumId w:val="15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1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30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131914"/>
    <w:rsid w:val="0015725F"/>
    <w:rsid w:val="001730D2"/>
    <w:rsid w:val="00191130"/>
    <w:rsid w:val="001C3157"/>
    <w:rsid w:val="001E0408"/>
    <w:rsid w:val="001E4CB6"/>
    <w:rsid w:val="001F01B0"/>
    <w:rsid w:val="001F3458"/>
    <w:rsid w:val="001F4E93"/>
    <w:rsid w:val="00203B45"/>
    <w:rsid w:val="00214949"/>
    <w:rsid w:val="002430B6"/>
    <w:rsid w:val="00265F68"/>
    <w:rsid w:val="00276722"/>
    <w:rsid w:val="0028589E"/>
    <w:rsid w:val="002E4A14"/>
    <w:rsid w:val="002F5E8B"/>
    <w:rsid w:val="00300A08"/>
    <w:rsid w:val="0030682E"/>
    <w:rsid w:val="00330FBC"/>
    <w:rsid w:val="00356D30"/>
    <w:rsid w:val="00384694"/>
    <w:rsid w:val="00387FA4"/>
    <w:rsid w:val="003977CE"/>
    <w:rsid w:val="003D4947"/>
    <w:rsid w:val="003D5790"/>
    <w:rsid w:val="003E2C26"/>
    <w:rsid w:val="003E44C4"/>
    <w:rsid w:val="00434720"/>
    <w:rsid w:val="004464A3"/>
    <w:rsid w:val="0047689B"/>
    <w:rsid w:val="004C6CD9"/>
    <w:rsid w:val="004E306F"/>
    <w:rsid w:val="00515D42"/>
    <w:rsid w:val="00562675"/>
    <w:rsid w:val="00575A73"/>
    <w:rsid w:val="005951FB"/>
    <w:rsid w:val="005E1CC1"/>
    <w:rsid w:val="005E29A7"/>
    <w:rsid w:val="006255C8"/>
    <w:rsid w:val="00667808"/>
    <w:rsid w:val="006A0B03"/>
    <w:rsid w:val="006B763A"/>
    <w:rsid w:val="006D0971"/>
    <w:rsid w:val="006D287E"/>
    <w:rsid w:val="006F3B8E"/>
    <w:rsid w:val="006F63F0"/>
    <w:rsid w:val="0073648A"/>
    <w:rsid w:val="00742F33"/>
    <w:rsid w:val="00744CF0"/>
    <w:rsid w:val="00751A3D"/>
    <w:rsid w:val="00765028"/>
    <w:rsid w:val="007712FF"/>
    <w:rsid w:val="007F030D"/>
    <w:rsid w:val="008079BA"/>
    <w:rsid w:val="008157E8"/>
    <w:rsid w:val="008247D2"/>
    <w:rsid w:val="00843555"/>
    <w:rsid w:val="00894EE3"/>
    <w:rsid w:val="00896E30"/>
    <w:rsid w:val="008E3D4A"/>
    <w:rsid w:val="008F7629"/>
    <w:rsid w:val="009327E0"/>
    <w:rsid w:val="0093329B"/>
    <w:rsid w:val="009441B9"/>
    <w:rsid w:val="0099420A"/>
    <w:rsid w:val="009B4A90"/>
    <w:rsid w:val="009C1C55"/>
    <w:rsid w:val="009C5AE2"/>
    <w:rsid w:val="009E28D3"/>
    <w:rsid w:val="009F774F"/>
    <w:rsid w:val="00A56DF0"/>
    <w:rsid w:val="00A72EF8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F2324"/>
    <w:rsid w:val="00CF7723"/>
    <w:rsid w:val="00D04CF3"/>
    <w:rsid w:val="00D060BB"/>
    <w:rsid w:val="00D32E30"/>
    <w:rsid w:val="00D702CB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5507B"/>
    <w:rsid w:val="00E554C8"/>
    <w:rsid w:val="00E731EE"/>
    <w:rsid w:val="00E95434"/>
    <w:rsid w:val="00EB2FC2"/>
    <w:rsid w:val="00EC4D7A"/>
    <w:rsid w:val="00EF7E3E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ar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tarina.dvorakova@upsvr.go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CB09-8765-4BFB-A55F-AE450558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676</Words>
  <Characters>4752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mpsvr</Company>
  <LinksUpToDate>false</LinksUpToDate>
  <CharactersWithSpaces>5418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novakova</cp:lastModifiedBy>
  <cp:revision>17</cp:revision>
  <dcterms:created xsi:type="dcterms:W3CDTF">2014-05-06T07:39:00Z</dcterms:created>
  <dcterms:modified xsi:type="dcterms:W3CDTF">2014-06-13T05:14:00Z</dcterms:modified>
</cp:coreProperties>
</file>