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EE6DAE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Šanca na zamestnanie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AB7ED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Kód </w:t>
            </w:r>
            <w:r w:rsidR="00AB7ED2">
              <w:rPr>
                <w:rFonts w:ascii="Verdana" w:hAnsi="Verdana"/>
                <w:b/>
                <w:i/>
              </w:rPr>
              <w:t>vyzvania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EE6DAE" w:rsidRPr="008175F2" w:rsidTr="0082115A">
        <w:tc>
          <w:tcPr>
            <w:tcW w:w="9212" w:type="dxa"/>
          </w:tcPr>
          <w:p w:rsidR="00EE6DAE" w:rsidRPr="00E75D57" w:rsidRDefault="00EE6DAE" w:rsidP="00584FF4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</w:rPr>
              <w:t xml:space="preserve">OP ĽZ NP </w:t>
            </w:r>
            <w:r w:rsidRPr="00171C5F">
              <w:rPr>
                <w:sz w:val="22"/>
                <w:szCs w:val="22"/>
              </w:rPr>
              <w:t>2015/3.1.1/04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sz w:val="23"/>
                <w:szCs w:val="23"/>
              </w:rPr>
              <w:t xml:space="preserve">kód </w:t>
            </w:r>
            <w:r w:rsidRPr="002C4080">
              <w:rPr>
                <w:sz w:val="23"/>
                <w:szCs w:val="23"/>
              </w:rPr>
              <w:t>ITMS</w:t>
            </w:r>
            <w:r>
              <w:rPr>
                <w:sz w:val="23"/>
                <w:szCs w:val="23"/>
              </w:rPr>
              <w:t>2014+</w:t>
            </w:r>
            <w:r w:rsidRPr="002C4080">
              <w:rPr>
                <w:sz w:val="23"/>
                <w:szCs w:val="23"/>
              </w:rPr>
              <w:t xml:space="preserve">: </w:t>
            </w:r>
            <w:r w:rsidRPr="00171C5F">
              <w:rPr>
                <w:sz w:val="22"/>
                <w:szCs w:val="22"/>
              </w:rPr>
              <w:t>312031A064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EE6DAE" w:rsidRPr="008175F2" w:rsidTr="000B3196">
        <w:tc>
          <w:tcPr>
            <w:tcW w:w="9212" w:type="dxa"/>
          </w:tcPr>
          <w:p w:rsidR="00EE6DAE" w:rsidRDefault="00EE6DAE" w:rsidP="001B62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1C5F">
              <w:rPr>
                <w:sz w:val="22"/>
                <w:szCs w:val="22"/>
              </w:rPr>
              <w:t>3 Zamestnanosť</w:t>
            </w:r>
          </w:p>
          <w:p w:rsidR="00EE6DAE" w:rsidRDefault="00EE6DAE" w:rsidP="001B62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1C5F">
              <w:rPr>
                <w:sz w:val="22"/>
                <w:szCs w:val="22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EE6DAE" w:rsidRPr="00473CF6" w:rsidRDefault="00EE6DAE" w:rsidP="001B62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7BB">
              <w:rPr>
                <w:sz w:val="22"/>
                <w:szCs w:val="22"/>
              </w:rPr>
              <w:t xml:space="preserve">3.1.1 Zvýšiť zamestnanosť, </w:t>
            </w:r>
            <w:proofErr w:type="spellStart"/>
            <w:r w:rsidRPr="00E837BB">
              <w:rPr>
                <w:sz w:val="22"/>
                <w:szCs w:val="22"/>
              </w:rPr>
              <w:t>zamestnateľnosť</w:t>
            </w:r>
            <w:proofErr w:type="spellEnd"/>
            <w:r w:rsidRPr="00E837BB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E837BB">
              <w:rPr>
                <w:sz w:val="22"/>
                <w:szCs w:val="22"/>
              </w:rPr>
              <w:t>znížiť</w:t>
            </w:r>
            <w:r>
              <w:rPr>
                <w:sz w:val="22"/>
                <w:szCs w:val="22"/>
              </w:rPr>
              <w:t xml:space="preserve"> </w:t>
            </w:r>
            <w:r w:rsidRPr="00E837BB">
              <w:rPr>
                <w:sz w:val="22"/>
                <w:szCs w:val="22"/>
              </w:rPr>
              <w:t>nezamestnanosť s osobitným dôrazom na dlhodobo</w:t>
            </w:r>
            <w:r>
              <w:rPr>
                <w:sz w:val="22"/>
                <w:szCs w:val="22"/>
              </w:rPr>
              <w:t xml:space="preserve"> </w:t>
            </w:r>
            <w:r w:rsidRPr="00E837BB">
              <w:rPr>
                <w:sz w:val="22"/>
                <w:szCs w:val="22"/>
              </w:rPr>
              <w:t>nezamestnaných, nízko kvalifikovaných, starších a</w:t>
            </w:r>
            <w:r>
              <w:rPr>
                <w:sz w:val="22"/>
                <w:szCs w:val="22"/>
              </w:rPr>
              <w:t> </w:t>
            </w:r>
            <w:r w:rsidRPr="00E837BB">
              <w:rPr>
                <w:sz w:val="22"/>
                <w:szCs w:val="22"/>
              </w:rPr>
              <w:t>zdravotne</w:t>
            </w:r>
            <w:r>
              <w:rPr>
                <w:sz w:val="22"/>
                <w:szCs w:val="22"/>
              </w:rPr>
              <w:t xml:space="preserve"> </w:t>
            </w:r>
            <w:r w:rsidRPr="00E837BB">
              <w:rPr>
                <w:sz w:val="22"/>
                <w:szCs w:val="22"/>
              </w:rPr>
              <w:t>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EE6DAE" w:rsidRPr="008175F2" w:rsidTr="00C86B54">
        <w:tc>
          <w:tcPr>
            <w:tcW w:w="9212" w:type="dxa"/>
          </w:tcPr>
          <w:p w:rsidR="00EE6DAE" w:rsidRPr="00473CF6" w:rsidRDefault="00EE6DAE" w:rsidP="001B62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EE6DAE" w:rsidRPr="005E1CC1" w:rsidRDefault="00EE6DAE" w:rsidP="001B620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EE6DAE" w:rsidRPr="008175F2" w:rsidTr="003333BB">
        <w:tc>
          <w:tcPr>
            <w:tcW w:w="9212" w:type="dxa"/>
          </w:tcPr>
          <w:p w:rsidR="00EE6DAE" w:rsidRPr="0030682E" w:rsidRDefault="00EE6DAE" w:rsidP="001B620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>
              <w:rPr>
                <w:color w:val="000000"/>
                <w:sz w:val="23"/>
                <w:szCs w:val="23"/>
                <w:lang w:eastAsia="sk-SK"/>
              </w:rPr>
              <w:t>10.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09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EE6DAE" w:rsidRPr="008175F2" w:rsidTr="009C5311">
        <w:tc>
          <w:tcPr>
            <w:tcW w:w="9212" w:type="dxa"/>
          </w:tcPr>
          <w:p w:rsidR="00EE6DAE" w:rsidRPr="008175F2" w:rsidRDefault="00EE6DAE" w:rsidP="001B620B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50 000 000,00 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584FF4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</w:t>
            </w:r>
            <w:r w:rsidR="00584FF4">
              <w:rPr>
                <w:rFonts w:ascii="Verdana" w:hAnsi="Verdana"/>
                <w:b/>
                <w:i/>
              </w:rPr>
              <w:t xml:space="preserve">o kontaktnej osoby pre projekt, </w:t>
            </w:r>
            <w:r w:rsidRPr="00FA4D6D">
              <w:rPr>
                <w:rFonts w:ascii="Verdana" w:hAnsi="Verdana"/>
                <w:b/>
                <w:i/>
              </w:rPr>
              <w:t>telefón, fax, e-mail, webová stránka)</w:t>
            </w:r>
          </w:p>
        </w:tc>
      </w:tr>
      <w:tr w:rsidR="00EE6DAE" w:rsidRPr="008175F2" w:rsidTr="00843555">
        <w:tc>
          <w:tcPr>
            <w:tcW w:w="9212" w:type="dxa"/>
          </w:tcPr>
          <w:p w:rsidR="00EE6DAE" w:rsidRDefault="00EE6DAE" w:rsidP="00125C3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Ústredie práce, sociálnych vecí a</w:t>
            </w:r>
            <w:r w:rsidR="00125C3A">
              <w:rPr>
                <w:color w:val="000000"/>
                <w:sz w:val="23"/>
                <w:szCs w:val="23"/>
                <w:lang w:eastAsia="sk-SK"/>
              </w:rPr>
              <w:t> </w:t>
            </w:r>
            <w:r w:rsidRPr="00744CF0">
              <w:rPr>
                <w:color w:val="000000"/>
                <w:sz w:val="23"/>
                <w:szCs w:val="23"/>
                <w:lang w:eastAsia="sk-SK"/>
              </w:rPr>
              <w:t>rodiny</w:t>
            </w:r>
            <w:r w:rsidR="00125C3A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</w:t>
            </w:r>
            <w:r w:rsidR="00125C3A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EE6DAE" w:rsidRDefault="00EE6DAE" w:rsidP="001B620B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07DBF" w:rsidRPr="005E31F8" w:rsidRDefault="00EE6DAE" w:rsidP="001B620B">
            <w:pPr>
              <w:rPr>
                <w:color w:val="000000"/>
                <w:sz w:val="23"/>
                <w:szCs w:val="23"/>
                <w:lang w:eastAsia="sk-SK"/>
              </w:rPr>
            </w:pPr>
            <w:r w:rsidRPr="005E31F8">
              <w:rPr>
                <w:color w:val="000000"/>
                <w:sz w:val="23"/>
                <w:szCs w:val="23"/>
                <w:lang w:eastAsia="sk-SK"/>
              </w:rPr>
              <w:t xml:space="preserve">Ing. Desanka </w:t>
            </w:r>
            <w:proofErr w:type="spellStart"/>
            <w:r w:rsidRPr="005E31F8">
              <w:rPr>
                <w:color w:val="000000"/>
                <w:sz w:val="23"/>
                <w:szCs w:val="23"/>
                <w:lang w:eastAsia="sk-SK"/>
              </w:rPr>
              <w:t>Jablonická,tel</w:t>
            </w:r>
            <w:proofErr w:type="spellEnd"/>
            <w:r w:rsidRPr="005E31F8">
              <w:rPr>
                <w:color w:val="000000"/>
                <w:sz w:val="23"/>
                <w:szCs w:val="23"/>
                <w:lang w:eastAsia="sk-SK"/>
              </w:rPr>
              <w:t>.: 02/20444840</w:t>
            </w:r>
            <w:r w:rsidR="00A31527" w:rsidRPr="005E31F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EE6DAE" w:rsidRPr="005E31F8" w:rsidRDefault="00221656" w:rsidP="001B620B">
            <w:pPr>
              <w:rPr>
                <w:sz w:val="23"/>
                <w:szCs w:val="23"/>
                <w:lang w:eastAsia="sk-SK"/>
              </w:rPr>
            </w:pPr>
            <w:hyperlink r:id="rId9" w:history="1">
              <w:r w:rsidR="00EE6DAE" w:rsidRPr="005E31F8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EE6DAE" w:rsidRDefault="00221656" w:rsidP="001B620B">
            <w:pPr>
              <w:rPr>
                <w:color w:val="000000"/>
                <w:sz w:val="23"/>
                <w:szCs w:val="23"/>
                <w:lang w:eastAsia="sk-SK"/>
              </w:rPr>
            </w:pPr>
            <w:hyperlink r:id="rId10" w:history="1">
              <w:r w:rsidR="00C07DBF" w:rsidRPr="005E31F8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</w:p>
          <w:p w:rsidR="00C07DBF" w:rsidRPr="008175F2" w:rsidRDefault="00C07DBF" w:rsidP="005E31F8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A72EF8" w:rsidRPr="00C5077F" w:rsidTr="00454D61">
        <w:trPr>
          <w:trHeight w:val="201"/>
        </w:trPr>
        <w:tc>
          <w:tcPr>
            <w:tcW w:w="918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EE6DAE" w:rsidRPr="00C5077F" w:rsidTr="00454D61">
        <w:trPr>
          <w:trHeight w:val="155"/>
        </w:trPr>
        <w:tc>
          <w:tcPr>
            <w:tcW w:w="9182" w:type="dxa"/>
          </w:tcPr>
          <w:p w:rsidR="00EE6DAE" w:rsidRPr="00867ACC" w:rsidRDefault="00EE6DAE" w:rsidP="001B620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lepšenie postavenia 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na trhu práce, zvýšenie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a  zamestnanosti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, zníženie dlhodobej nezamestnanosti, podpora rozvoja miestnej a regionálnej zamestnanosti.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454D61">
        <w:trPr>
          <w:trHeight w:val="201"/>
        </w:trPr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EE6DAE" w:rsidRPr="00C5077F" w:rsidTr="00454D61">
        <w:trPr>
          <w:trHeight w:val="119"/>
        </w:trPr>
        <w:tc>
          <w:tcPr>
            <w:tcW w:w="9212" w:type="dxa"/>
          </w:tcPr>
          <w:p w:rsidR="00EE6DAE" w:rsidRPr="00171C5F" w:rsidRDefault="00EE6DAE" w:rsidP="001B620B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dlhodobo nezamestnané osoby</w:t>
            </w:r>
          </w:p>
          <w:p w:rsidR="00EE6DAE" w:rsidRPr="00171C5F" w:rsidRDefault="00EE6DAE" w:rsidP="001B620B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nezamestnané osoby vrátane dlhodobo nezamestnaných</w:t>
            </w:r>
          </w:p>
          <w:p w:rsidR="00EE6DAE" w:rsidRPr="00171C5F" w:rsidRDefault="00EE6DAE" w:rsidP="001B620B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osoby so základným (ISCED 1) alebo nižším sekundárnym (ISCED 2) vzdelaním</w:t>
            </w:r>
          </w:p>
          <w:p w:rsidR="00EE6DAE" w:rsidRPr="00171C5F" w:rsidRDefault="00EE6DAE" w:rsidP="001B620B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osoby vo veku nad 54 rokov</w:t>
            </w:r>
          </w:p>
          <w:p w:rsidR="00EE6DAE" w:rsidRPr="00532FE5" w:rsidRDefault="00EE6DAE" w:rsidP="00532FE5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171C5F">
              <w:rPr>
                <w:sz w:val="23"/>
                <w:szCs w:val="23"/>
              </w:rPr>
              <w:t>účastníci so zdravotným postihnutím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EE6DAE" w:rsidRPr="00C5077F" w:rsidTr="00C231C7">
        <w:trPr>
          <w:trHeight w:val="267"/>
        </w:trPr>
        <w:tc>
          <w:tcPr>
            <w:tcW w:w="9212" w:type="dxa"/>
          </w:tcPr>
          <w:p w:rsidR="00912D9A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zlepšenie postavenia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na trhu práce, zvýšenie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, zníženie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dlhodobej nezamestnanosti, podpora rozvoja miestnej a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regionálnej zamestnanosti. </w:t>
            </w:r>
          </w:p>
          <w:p w:rsidR="00912D9A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2D9A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Splnenie stanoveného cieľa sa zabezpečuje realizáciou hlavnej aktivity,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poskytovaním finančných príspevkov užívateľom</w:t>
            </w:r>
            <w:r w:rsidRPr="005649D9">
              <w:rPr>
                <w:rFonts w:ascii="Times New Roman" w:hAnsi="Times New Roman" w:cs="Times New Roman"/>
                <w:sz w:val="23"/>
                <w:szCs w:val="23"/>
              </w:rPr>
              <w:t>, ktorými sú zamestnávatelia vo vymedzenej oblasti zamestnávania najmä obec alebo samosprávny kraj, rozpočtová alebo príspevková organizácia, ktorej zakladateľom alebo zriaďovateľom je obec alebo samosprávny kraj</w:t>
            </w:r>
            <w:r w:rsidR="00532F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na vytvorené pracovné miesto pre znevýhodneného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na dobu min.3 - max.9 mesiacov.</w:t>
            </w:r>
          </w:p>
          <w:p w:rsidR="00912D9A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2D9A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Realizácia projektu prisp</w:t>
            </w:r>
            <w:r w:rsidR="00532FE5">
              <w:rPr>
                <w:rFonts w:ascii="Times New Roman" w:hAnsi="Times New Roman" w:cs="Times New Roman"/>
                <w:sz w:val="23"/>
                <w:szCs w:val="23"/>
              </w:rPr>
              <w:t>ieva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k lepšiemu uplatneniu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znevýhodnených uchádzačov o zamestnanie na otvorenom trhu práce. 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rínosom je zároveň podpora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rozvoj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miestnej zamestnanosti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zníženi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regionálnych disparít na trhu práce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m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otiv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ácia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F5594">
              <w:rPr>
                <w:rFonts w:ascii="Times New Roman" w:hAnsi="Times New Roman" w:cs="Times New Roman"/>
                <w:sz w:val="23"/>
                <w:szCs w:val="23"/>
              </w:rPr>
              <w:t>zamestnávateľov vytvárať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pracovné miesta pre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znevýhodnených </w:t>
            </w:r>
            <w:proofErr w:type="spellStart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 vo vybraných oblastiach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zamestnávania.</w:t>
            </w:r>
          </w:p>
          <w:p w:rsidR="00912D9A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2D9A" w:rsidRPr="00231AA1" w:rsidRDefault="00912D9A" w:rsidP="00912D9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Projekt podľa §54 ods. 1 písm. a) zákona č. 5/2004 Z. z. o službách zamestnanosti a o zmene a doplnení niektorých zákonov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 xml:space="preserve">v znení neskorších predpisov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realizuje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Ústredie práce, sociálnych vecí a rodiny a 43 úradov práce, sociálnych vecí a rodiny v rámci SR 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výnimkou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1AA1">
              <w:rPr>
                <w:rFonts w:ascii="Times New Roman" w:hAnsi="Times New Roman" w:cs="Times New Roman"/>
                <w:sz w:val="23"/>
                <w:szCs w:val="23"/>
              </w:rPr>
              <w:t>Bratislavského samosprávneho kraja.</w:t>
            </w:r>
          </w:p>
          <w:p w:rsidR="00EE6DAE" w:rsidRPr="00733DF2" w:rsidRDefault="00EE6DAE" w:rsidP="00125C3A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6DAE" w:rsidRPr="00C5077F" w:rsidTr="00FA4D6D">
        <w:trPr>
          <w:trHeight w:val="336"/>
        </w:trPr>
        <w:tc>
          <w:tcPr>
            <w:tcW w:w="9212" w:type="dxa"/>
          </w:tcPr>
          <w:p w:rsidR="00EE6DAE" w:rsidRPr="00B56C6E" w:rsidRDefault="00EE6DAE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EE6DAE" w:rsidRPr="00C5077F" w:rsidTr="00843555">
        <w:tc>
          <w:tcPr>
            <w:tcW w:w="9212" w:type="dxa"/>
          </w:tcPr>
          <w:p w:rsidR="00912D9A" w:rsidRDefault="00912D9A" w:rsidP="001B620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912D9A" w:rsidRPr="003C632E" w:rsidRDefault="00EE6DAE" w:rsidP="001B620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u w:val="single"/>
                <w:lang w:eastAsia="sk-SK"/>
              </w:rPr>
            </w:pPr>
            <w:r w:rsidRPr="003C632E">
              <w:rPr>
                <w:sz w:val="23"/>
                <w:szCs w:val="23"/>
                <w:u w:val="single"/>
                <w:lang w:eastAsia="sk-SK"/>
              </w:rPr>
              <w:t>Hlavná aktivit</w:t>
            </w:r>
            <w:r w:rsidR="00912D9A" w:rsidRPr="003C632E">
              <w:rPr>
                <w:sz w:val="23"/>
                <w:szCs w:val="23"/>
                <w:u w:val="single"/>
                <w:lang w:eastAsia="sk-SK"/>
              </w:rPr>
              <w:t>a:</w:t>
            </w:r>
          </w:p>
          <w:p w:rsidR="00EE6DAE" w:rsidRDefault="00EE6DAE" w:rsidP="001B620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31AA1">
              <w:rPr>
                <w:sz w:val="23"/>
                <w:szCs w:val="23"/>
                <w:lang w:eastAsia="sk-SK"/>
              </w:rPr>
              <w:t xml:space="preserve">Poskytovanie finančného príspevku na podporu vytvorenia pracovného miesta pre znevýhodnených </w:t>
            </w:r>
            <w:proofErr w:type="spellStart"/>
            <w:r w:rsidRPr="00231AA1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231AA1">
              <w:rPr>
                <w:sz w:val="23"/>
                <w:szCs w:val="23"/>
                <w:lang w:eastAsia="sk-SK"/>
              </w:rPr>
              <w:t xml:space="preserve"> prostredníctvom AOTP podľa § 54 zákona o službách zamestnanosti</w:t>
            </w:r>
          </w:p>
          <w:p w:rsidR="00EE6DAE" w:rsidRDefault="00EE6DAE" w:rsidP="001B620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912D9A" w:rsidRDefault="00532FE5" w:rsidP="00912D9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Podporné aktivity</w:t>
            </w:r>
          </w:p>
          <w:p w:rsidR="00532FE5" w:rsidRPr="00896E30" w:rsidRDefault="00532FE5" w:rsidP="00912D9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EE6DAE" w:rsidRPr="00C5077F" w:rsidTr="00843555">
        <w:tc>
          <w:tcPr>
            <w:tcW w:w="9212" w:type="dxa"/>
          </w:tcPr>
          <w:p w:rsidR="00EE6DAE" w:rsidRPr="00B56C6E" w:rsidRDefault="00EE6DAE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EE6DAE" w:rsidRPr="00C5077F" w:rsidTr="00843555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86"/>
            </w:tblGrid>
            <w:tr w:rsidR="00EE6DAE" w:rsidTr="002372E5">
              <w:trPr>
                <w:trHeight w:val="4725"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DAE" w:rsidRPr="002372E5" w:rsidRDefault="00EE6DAE">
                  <w:pPr>
                    <w:jc w:val="both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 w:rsidRPr="00912D9A">
                    <w:rPr>
                      <w:b/>
                      <w:bCs/>
                      <w:iCs/>
                      <w:sz w:val="23"/>
                      <w:szCs w:val="23"/>
                    </w:rPr>
                    <w:t>Hodnoty merateľných ukazovateľov so stav</w:t>
                  </w:r>
                  <w:r w:rsidRPr="002372E5">
                    <w:rPr>
                      <w:b/>
                      <w:bCs/>
                      <w:iCs/>
                      <w:sz w:val="23"/>
                      <w:szCs w:val="23"/>
                    </w:rPr>
                    <w:t>o</w:t>
                  </w:r>
                  <w:r w:rsidRPr="00912D9A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m </w:t>
                  </w:r>
                  <w:r w:rsidRPr="002372E5">
                    <w:rPr>
                      <w:b/>
                      <w:bCs/>
                      <w:iCs/>
                      <w:sz w:val="23"/>
                      <w:szCs w:val="23"/>
                    </w:rPr>
                    <w:t>k</w:t>
                  </w:r>
                  <w:r w:rsidR="00912D9A" w:rsidRPr="002372E5">
                    <w:rPr>
                      <w:b/>
                      <w:bCs/>
                      <w:iCs/>
                      <w:sz w:val="23"/>
                      <w:szCs w:val="23"/>
                    </w:rPr>
                    <w:t> 30.6.2018</w:t>
                  </w:r>
                  <w:r w:rsidR="00E544C2" w:rsidRPr="002372E5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</w:t>
                  </w:r>
                </w:p>
                <w:p w:rsidR="002372E5" w:rsidRPr="00912D9A" w:rsidRDefault="002372E5">
                  <w:pPr>
                    <w:jc w:val="both"/>
                    <w:rPr>
                      <w:b/>
                      <w:i/>
                      <w:sz w:val="23"/>
                      <w:szCs w:val="23"/>
                      <w:lang w:eastAsia="sk-SK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"/>
                    <w:gridCol w:w="4456"/>
                    <w:gridCol w:w="1028"/>
                    <w:gridCol w:w="1134"/>
                    <w:gridCol w:w="1414"/>
                  </w:tblGrid>
                  <w:tr w:rsidR="00EE6DAE" w:rsidRPr="00912D9A">
                    <w:trPr>
                      <w:trHeight w:val="283"/>
                    </w:trPr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rPr>
                            <w:b/>
                            <w:bCs/>
                          </w:rPr>
                          <w:t>Kód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rPr>
                            <w:b/>
                            <w:bCs/>
                          </w:rPr>
                          <w:t>Názov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rPr>
                            <w:b/>
                            <w:bCs/>
                          </w:rPr>
                          <w:t>Merná jednotka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rPr>
                            <w:b/>
                            <w:bCs/>
                          </w:rPr>
                          <w:t>Plánovaná hodnota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rPr>
                            <w:b/>
                            <w:bCs/>
                          </w:rPr>
                          <w:t>Dosiahnutá hodnota</w:t>
                        </w:r>
                      </w:p>
                    </w:tc>
                  </w:tr>
                  <w:tr w:rsidR="00EE6DAE" w:rsidRPr="00912D9A" w:rsidTr="00EE6DAE">
                    <w:trPr>
                      <w:trHeight w:val="76"/>
                    </w:trPr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Cs/>
                          </w:rPr>
                        </w:pPr>
                        <w:r w:rsidRPr="00912D9A">
                          <w:rPr>
                            <w:bCs/>
                          </w:rPr>
                          <w:t>P0097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t>Nezamestnané osoby vrátane dlhodobo nezamestnaných</w:t>
                        </w:r>
                        <w:r w:rsidRPr="00912D9A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pPr>
                          <w:rPr>
                            <w:b/>
                            <w:bCs/>
                          </w:rPr>
                        </w:pPr>
                        <w:r w:rsidRPr="00912D9A">
                          <w:t>Počet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912D9A" w:rsidRDefault="00EE6DAE">
                        <w:pPr>
                          <w:jc w:val="right"/>
                          <w:rPr>
                            <w:bCs/>
                          </w:rPr>
                        </w:pPr>
                        <w:r w:rsidRPr="00912D9A">
                          <w:rPr>
                            <w:bCs/>
                          </w:rPr>
                          <w:t>10 200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2372E5" w:rsidRDefault="00912D9A">
                        <w:pPr>
                          <w:rPr>
                            <w:bCs/>
                          </w:rPr>
                        </w:pPr>
                        <w:r w:rsidRPr="002372E5">
                          <w:rPr>
                            <w:bCs/>
                          </w:rPr>
                          <w:t>12</w:t>
                        </w:r>
                        <w:r w:rsidR="00E544C2" w:rsidRPr="002372E5">
                          <w:rPr>
                            <w:bCs/>
                          </w:rPr>
                          <w:t> </w:t>
                        </w:r>
                        <w:r w:rsidRPr="002372E5">
                          <w:rPr>
                            <w:bCs/>
                          </w:rPr>
                          <w:t>262</w:t>
                        </w:r>
                      </w:p>
                      <w:p w:rsidR="00E544C2" w:rsidRPr="002372E5" w:rsidRDefault="00E544C2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EE6DAE" w:rsidRPr="00912D9A" w:rsidTr="00EE6DAE">
                    <w:trPr>
                      <w:trHeight w:val="76"/>
                    </w:trPr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P0037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Dlhodobo nezamestnané osoby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Počet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912D9A" w:rsidRDefault="00EE6DAE">
                        <w:pPr>
                          <w:jc w:val="right"/>
                        </w:pPr>
                        <w:r w:rsidRPr="00912D9A">
                          <w:t>5 610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2372E5" w:rsidRDefault="003C632E">
                        <w:r w:rsidRPr="002372E5">
                          <w:t xml:space="preserve"> </w:t>
                        </w:r>
                        <w:r w:rsidR="00912D9A" w:rsidRPr="002372E5">
                          <w:t>6</w:t>
                        </w:r>
                        <w:r w:rsidR="00546138" w:rsidRPr="002372E5">
                          <w:t> </w:t>
                        </w:r>
                        <w:r w:rsidR="00912D9A" w:rsidRPr="002372E5">
                          <w:t>449</w:t>
                        </w:r>
                      </w:p>
                      <w:p w:rsidR="00546138" w:rsidRPr="002372E5" w:rsidRDefault="00E544C2" w:rsidP="002372E5">
                        <w:r w:rsidRPr="002372E5">
                          <w:t xml:space="preserve"> </w:t>
                        </w:r>
                      </w:p>
                    </w:tc>
                  </w:tr>
                  <w:tr w:rsidR="00EE6DAE" w:rsidRPr="00912D9A" w:rsidTr="00EE6DAE">
                    <w:trPr>
                      <w:trHeight w:val="76"/>
                    </w:trPr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P0109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Osoby vo veku nad 50 rokov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Počet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912D9A" w:rsidRDefault="00125C3A">
                        <w:pPr>
                          <w:jc w:val="right"/>
                        </w:pPr>
                        <w:r w:rsidRPr="00912D9A">
                          <w:t>2 550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2372E5" w:rsidRDefault="003C632E">
                        <w:r w:rsidRPr="002372E5">
                          <w:t xml:space="preserve"> </w:t>
                        </w:r>
                        <w:r w:rsidR="00912D9A" w:rsidRPr="002372E5">
                          <w:t>5</w:t>
                        </w:r>
                        <w:r w:rsidR="00546138" w:rsidRPr="002372E5">
                          <w:t> </w:t>
                        </w:r>
                        <w:r w:rsidR="00912D9A" w:rsidRPr="002372E5">
                          <w:t>492</w:t>
                        </w:r>
                      </w:p>
                      <w:p w:rsidR="00546138" w:rsidRPr="002372E5" w:rsidRDefault="00546138" w:rsidP="00E544C2"/>
                    </w:tc>
                  </w:tr>
                  <w:tr w:rsidR="00EE6DAE" w:rsidRPr="00912D9A" w:rsidTr="00EE6DAE">
                    <w:trPr>
                      <w:trHeight w:val="76"/>
                    </w:trPr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P0107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Osoby so základným (ISCED 1) alebo nižším sekundárnym (ISCED 2)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Počet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912D9A" w:rsidRDefault="00EE6DAE">
                        <w:pPr>
                          <w:jc w:val="right"/>
                        </w:pPr>
                        <w:r w:rsidRPr="00912D9A">
                          <w:t>3 060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2372E5" w:rsidRDefault="003C632E">
                        <w:r w:rsidRPr="002372E5">
                          <w:t xml:space="preserve"> </w:t>
                        </w:r>
                        <w:r w:rsidR="00912D9A" w:rsidRPr="002372E5">
                          <w:t>4</w:t>
                        </w:r>
                        <w:r w:rsidR="00546138" w:rsidRPr="002372E5">
                          <w:t> </w:t>
                        </w:r>
                        <w:r w:rsidR="00912D9A" w:rsidRPr="002372E5">
                          <w:t>259</w:t>
                        </w:r>
                      </w:p>
                      <w:p w:rsidR="00546138" w:rsidRPr="002372E5" w:rsidRDefault="00E544C2" w:rsidP="002372E5">
                        <w:r w:rsidRPr="002372E5">
                          <w:t xml:space="preserve"> </w:t>
                        </w:r>
                      </w:p>
                    </w:tc>
                  </w:tr>
                  <w:tr w:rsidR="00EE6DAE" w:rsidTr="00EE6DAE">
                    <w:trPr>
                      <w:trHeight w:val="76"/>
                    </w:trPr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P0638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Účastníci, ktorí sú v čase odchodu zamestnaní, a to aj samostatne zárobkovo činní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E6DAE" w:rsidRPr="00912D9A" w:rsidRDefault="00EE6DAE">
                        <w:r w:rsidRPr="00912D9A">
                          <w:t>Počet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912D9A" w:rsidRDefault="00125C3A">
                        <w:pPr>
                          <w:jc w:val="right"/>
                        </w:pPr>
                        <w:r w:rsidRPr="00912D9A">
                          <w:t>510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E6DAE" w:rsidRPr="002372E5" w:rsidRDefault="00B0595F">
                        <w:r w:rsidRPr="002372E5">
                          <w:t xml:space="preserve"> </w:t>
                        </w:r>
                        <w:r w:rsidR="00912D9A" w:rsidRPr="002372E5">
                          <w:t>3</w:t>
                        </w:r>
                        <w:r w:rsidR="00546138" w:rsidRPr="002372E5">
                          <w:t> </w:t>
                        </w:r>
                        <w:r w:rsidR="00912D9A" w:rsidRPr="002372E5">
                          <w:t>802</w:t>
                        </w:r>
                      </w:p>
                      <w:p w:rsidR="00546138" w:rsidRPr="002372E5" w:rsidRDefault="00546138"/>
                    </w:tc>
                  </w:tr>
                </w:tbl>
                <w:p w:rsidR="00EE6DAE" w:rsidRDefault="00EE6DAE">
                  <w:pPr>
                    <w:jc w:val="both"/>
                    <w:rPr>
                      <w:b/>
                      <w:i/>
                      <w:sz w:val="23"/>
                      <w:szCs w:val="23"/>
                      <w:lang w:eastAsia="sk-SK"/>
                    </w:rPr>
                  </w:pPr>
                </w:p>
                <w:p w:rsidR="00EE6DAE" w:rsidRDefault="00890651" w:rsidP="002372E5">
                  <w:pPr>
                    <w:jc w:val="both"/>
                    <w:rPr>
                      <w:b/>
                      <w:i/>
                      <w:sz w:val="23"/>
                      <w:szCs w:val="23"/>
                      <w:lang w:eastAsia="sk-SK"/>
                    </w:rPr>
                  </w:pPr>
                  <w:r w:rsidRPr="00135E54">
                    <w:rPr>
                      <w:sz w:val="22"/>
                      <w:szCs w:val="22"/>
                    </w:rPr>
                    <w:t xml:space="preserve">Národný projekt </w:t>
                  </w:r>
                  <w:r w:rsidR="00B0595F">
                    <w:rPr>
                      <w:sz w:val="22"/>
                      <w:szCs w:val="22"/>
                    </w:rPr>
                    <w:t xml:space="preserve">,,Šanca na zamestnanie“ </w:t>
                  </w:r>
                  <w:r w:rsidRPr="00135E54">
                    <w:rPr>
                      <w:sz w:val="22"/>
                      <w:szCs w:val="22"/>
                    </w:rPr>
                    <w:t xml:space="preserve">sa </w:t>
                  </w:r>
                  <w:r w:rsidR="00B0595F">
                    <w:rPr>
                      <w:sz w:val="22"/>
                      <w:szCs w:val="22"/>
                    </w:rPr>
                    <w:t xml:space="preserve">realizoval </w:t>
                  </w:r>
                  <w:r w:rsidRPr="00135E54">
                    <w:rPr>
                      <w:sz w:val="22"/>
                      <w:szCs w:val="22"/>
                    </w:rPr>
                    <w:t xml:space="preserve">v zmysle časového harmonogramu. Implementácia projektu bola úspešná aj z hľadiska napĺňania plánovaných hodnôt merateľných ukazovateľov. </w:t>
                  </w:r>
                  <w:r w:rsidR="00532FE5">
                    <w:rPr>
                      <w:sz w:val="22"/>
                      <w:szCs w:val="22"/>
                    </w:rPr>
                    <w:t xml:space="preserve"> </w:t>
                  </w:r>
                  <w:r w:rsidRPr="00135E54">
                    <w:rPr>
                      <w:sz w:val="22"/>
                      <w:szCs w:val="22"/>
                    </w:rPr>
                    <w:t>Počet zapojených osôb do projektu, aj podľa štruktúry týchto osôb, presiahli všetky plánované hodnoty.</w:t>
                  </w:r>
                </w:p>
              </w:tc>
            </w:tr>
          </w:tbl>
          <w:p w:rsidR="00EE6DAE" w:rsidRPr="00B56C6E" w:rsidRDefault="00EE6DAE" w:rsidP="00B576EF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EE6DAE" w:rsidRPr="00C5077F" w:rsidTr="00843555">
        <w:tc>
          <w:tcPr>
            <w:tcW w:w="9212" w:type="dxa"/>
          </w:tcPr>
          <w:p w:rsidR="00EE6DAE" w:rsidRPr="00B56C6E" w:rsidRDefault="00EE6DA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EE6DAE" w:rsidRPr="00C5077F" w:rsidTr="00843555">
        <w:tc>
          <w:tcPr>
            <w:tcW w:w="9212" w:type="dxa"/>
          </w:tcPr>
          <w:p w:rsidR="000558F5" w:rsidRDefault="000558F5" w:rsidP="000558F5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Realizáciou tohto národného projektu sa prispieva k:  </w:t>
            </w:r>
          </w:p>
          <w:p w:rsidR="000558F5" w:rsidRDefault="000558F5" w:rsidP="000558F5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  <w:lang w:eastAsia="sk-SK"/>
              </w:rPr>
            </w:pPr>
            <w:r w:rsidRPr="000B10D0">
              <w:rPr>
                <w:sz w:val="23"/>
                <w:szCs w:val="23"/>
                <w:lang w:eastAsia="sk-SK"/>
              </w:rPr>
              <w:t xml:space="preserve">zvýšeniu zamestnanosti, </w:t>
            </w:r>
            <w:proofErr w:type="spellStart"/>
            <w:r w:rsidRPr="000B10D0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 w:rsidR="003C632E">
              <w:rPr>
                <w:sz w:val="23"/>
                <w:szCs w:val="23"/>
                <w:lang w:eastAsia="sk-SK"/>
              </w:rPr>
              <w:t xml:space="preserve"> a tým</w:t>
            </w:r>
            <w:r w:rsidRPr="000B10D0">
              <w:rPr>
                <w:sz w:val="23"/>
                <w:szCs w:val="23"/>
                <w:lang w:eastAsia="sk-SK"/>
              </w:rPr>
              <w:t xml:space="preserve"> zníženiu nezamestnanosti s osobitným dôra</w:t>
            </w:r>
            <w:r w:rsidR="003C632E">
              <w:rPr>
                <w:sz w:val="23"/>
                <w:szCs w:val="23"/>
                <w:lang w:eastAsia="sk-SK"/>
              </w:rPr>
              <w:t xml:space="preserve">zom na dlhodobo nezamestnané, </w:t>
            </w:r>
            <w:r w:rsidRPr="000B10D0">
              <w:rPr>
                <w:sz w:val="23"/>
                <w:szCs w:val="23"/>
                <w:lang w:eastAsia="sk-SK"/>
              </w:rPr>
              <w:t>nízko kvalifikovan</w:t>
            </w:r>
            <w:r w:rsidR="003C632E">
              <w:rPr>
                <w:sz w:val="23"/>
                <w:szCs w:val="23"/>
                <w:lang w:eastAsia="sk-SK"/>
              </w:rPr>
              <w:t>é</w:t>
            </w:r>
            <w:r w:rsidRPr="000B10D0">
              <w:rPr>
                <w:sz w:val="23"/>
                <w:szCs w:val="23"/>
                <w:lang w:eastAsia="sk-SK"/>
              </w:rPr>
              <w:t xml:space="preserve"> os</w:t>
            </w:r>
            <w:r w:rsidR="003C632E">
              <w:rPr>
                <w:sz w:val="23"/>
                <w:szCs w:val="23"/>
                <w:lang w:eastAsia="sk-SK"/>
              </w:rPr>
              <w:t>oby</w:t>
            </w:r>
            <w:r w:rsidRPr="000B10D0">
              <w:rPr>
                <w:sz w:val="23"/>
                <w:szCs w:val="23"/>
                <w:lang w:eastAsia="sk-SK"/>
              </w:rPr>
              <w:t>, os</w:t>
            </w:r>
            <w:r w:rsidR="003C632E">
              <w:rPr>
                <w:sz w:val="23"/>
                <w:szCs w:val="23"/>
                <w:lang w:eastAsia="sk-SK"/>
              </w:rPr>
              <w:t>oby so zdravotným postihnutím a osoby</w:t>
            </w:r>
            <w:r w:rsidRPr="000B10D0">
              <w:rPr>
                <w:sz w:val="23"/>
                <w:szCs w:val="23"/>
                <w:lang w:eastAsia="sk-SK"/>
              </w:rPr>
              <w:t xml:space="preserve"> vo veku nad 50 rokov</w:t>
            </w:r>
            <w:r w:rsidR="003C632E">
              <w:rPr>
                <w:sz w:val="23"/>
                <w:szCs w:val="23"/>
                <w:lang w:eastAsia="sk-SK"/>
              </w:rPr>
              <w:t>,</w:t>
            </w:r>
          </w:p>
          <w:p w:rsidR="00A15FD9" w:rsidRDefault="000B10D0" w:rsidP="000558F5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  <w:lang w:eastAsia="sk-SK"/>
              </w:rPr>
            </w:pPr>
            <w:r w:rsidRPr="00A15FD9">
              <w:rPr>
                <w:sz w:val="23"/>
                <w:szCs w:val="23"/>
                <w:lang w:eastAsia="sk-SK"/>
              </w:rPr>
              <w:t xml:space="preserve">začleneniu znevýhodnených </w:t>
            </w:r>
            <w:proofErr w:type="spellStart"/>
            <w:r w:rsidRPr="00A15FD9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A15FD9">
              <w:rPr>
                <w:sz w:val="23"/>
                <w:szCs w:val="23"/>
                <w:lang w:eastAsia="sk-SK"/>
              </w:rPr>
              <w:t xml:space="preserve"> na trh práce, aby získali nové znalosti a</w:t>
            </w:r>
            <w:r w:rsidR="007F6571" w:rsidRPr="00A15FD9">
              <w:rPr>
                <w:sz w:val="23"/>
                <w:szCs w:val="23"/>
                <w:lang w:eastAsia="sk-SK"/>
              </w:rPr>
              <w:t> </w:t>
            </w:r>
            <w:r w:rsidRPr="00A15FD9">
              <w:rPr>
                <w:sz w:val="23"/>
                <w:szCs w:val="23"/>
                <w:lang w:eastAsia="sk-SK"/>
              </w:rPr>
              <w:t>skúsenosti</w:t>
            </w:r>
            <w:r w:rsidR="007F6571" w:rsidRPr="00A15FD9">
              <w:rPr>
                <w:sz w:val="23"/>
                <w:szCs w:val="23"/>
                <w:lang w:eastAsia="sk-SK"/>
              </w:rPr>
              <w:t>,</w:t>
            </w:r>
            <w:r w:rsidR="003C632E" w:rsidRPr="00A15FD9">
              <w:rPr>
                <w:sz w:val="23"/>
                <w:szCs w:val="23"/>
                <w:lang w:eastAsia="sk-SK"/>
              </w:rPr>
              <w:t xml:space="preserve"> </w:t>
            </w:r>
            <w:r w:rsidRPr="00A15FD9">
              <w:rPr>
                <w:sz w:val="23"/>
                <w:szCs w:val="23"/>
                <w:lang w:eastAsia="sk-SK"/>
              </w:rPr>
              <w:t>obnovili</w:t>
            </w:r>
            <w:r w:rsidR="003C632E" w:rsidRPr="00A15FD9">
              <w:rPr>
                <w:sz w:val="23"/>
                <w:szCs w:val="23"/>
                <w:lang w:eastAsia="sk-SK"/>
              </w:rPr>
              <w:t xml:space="preserve"> </w:t>
            </w:r>
            <w:r w:rsidR="00FF3B75">
              <w:rPr>
                <w:sz w:val="23"/>
                <w:szCs w:val="23"/>
                <w:lang w:eastAsia="sk-SK"/>
              </w:rPr>
              <w:t xml:space="preserve"> </w:t>
            </w:r>
            <w:r w:rsidR="003C632E" w:rsidRPr="00A15FD9">
              <w:rPr>
                <w:sz w:val="23"/>
                <w:szCs w:val="23"/>
                <w:lang w:eastAsia="sk-SK"/>
              </w:rPr>
              <w:t>resp. získali</w:t>
            </w:r>
            <w:r w:rsidRPr="00A15FD9">
              <w:rPr>
                <w:sz w:val="23"/>
                <w:szCs w:val="23"/>
                <w:lang w:eastAsia="sk-SK"/>
              </w:rPr>
              <w:t xml:space="preserve"> pracovné návyky a rozšírili </w:t>
            </w:r>
            <w:r w:rsidR="007F6571" w:rsidRPr="00A15FD9">
              <w:rPr>
                <w:sz w:val="23"/>
                <w:szCs w:val="23"/>
                <w:lang w:eastAsia="sk-SK"/>
              </w:rPr>
              <w:t>svoje zručnosti,</w:t>
            </w:r>
            <w:r w:rsidR="00A15FD9" w:rsidRPr="00A15FD9">
              <w:rPr>
                <w:sz w:val="23"/>
                <w:szCs w:val="23"/>
                <w:lang w:eastAsia="sk-SK"/>
              </w:rPr>
              <w:t xml:space="preserve"> čo vedie k zvýšeniu ich kvalifikácie a</w:t>
            </w:r>
            <w:r w:rsidR="00A15FD9">
              <w:rPr>
                <w:sz w:val="23"/>
                <w:szCs w:val="23"/>
                <w:lang w:eastAsia="sk-SK"/>
              </w:rPr>
              <w:t xml:space="preserve"> tým </w:t>
            </w:r>
            <w:r w:rsidR="00A15FD9" w:rsidRPr="00A15FD9">
              <w:rPr>
                <w:sz w:val="23"/>
                <w:szCs w:val="23"/>
                <w:lang w:eastAsia="sk-SK"/>
              </w:rPr>
              <w:t>zlepšeniu ich postavenia na trhu práce</w:t>
            </w:r>
            <w:r w:rsidR="00A15FD9">
              <w:rPr>
                <w:sz w:val="23"/>
                <w:szCs w:val="23"/>
                <w:lang w:eastAsia="sk-SK"/>
              </w:rPr>
              <w:t>,</w:t>
            </w:r>
          </w:p>
          <w:p w:rsidR="00B0595F" w:rsidRDefault="007F6571" w:rsidP="000558F5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  <w:lang w:eastAsia="sk-SK"/>
              </w:rPr>
            </w:pPr>
            <w:r w:rsidRPr="00A15FD9">
              <w:rPr>
                <w:sz w:val="23"/>
                <w:szCs w:val="23"/>
                <w:lang w:eastAsia="sk-SK"/>
              </w:rPr>
              <w:lastRenderedPageBreak/>
              <w:t>aktivizácií znevýhodnených</w:t>
            </w:r>
            <w:r w:rsidR="003C632E" w:rsidRPr="00A15FD9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="003C632E" w:rsidRPr="00A15FD9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="00A15FD9">
              <w:rPr>
                <w:sz w:val="23"/>
                <w:szCs w:val="23"/>
                <w:lang w:eastAsia="sk-SK"/>
              </w:rPr>
              <w:t xml:space="preserve"> s osobitným zreteľom na dlhodobo evidovaných </w:t>
            </w:r>
            <w:proofErr w:type="spellStart"/>
            <w:r w:rsidR="00A15FD9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="00A15FD9">
              <w:rPr>
                <w:sz w:val="23"/>
                <w:szCs w:val="23"/>
                <w:lang w:eastAsia="sk-SK"/>
              </w:rPr>
              <w:t xml:space="preserve"> prostredníctvom </w:t>
            </w:r>
            <w:r w:rsidR="00FF3B75">
              <w:rPr>
                <w:sz w:val="23"/>
                <w:szCs w:val="23"/>
                <w:lang w:eastAsia="sk-SK"/>
              </w:rPr>
              <w:t xml:space="preserve">ich </w:t>
            </w:r>
            <w:r w:rsidR="00A15FD9">
              <w:rPr>
                <w:sz w:val="23"/>
                <w:szCs w:val="23"/>
                <w:lang w:eastAsia="sk-SK"/>
              </w:rPr>
              <w:t>krátkodobej</w:t>
            </w:r>
            <w:r w:rsidR="001E052C">
              <w:rPr>
                <w:sz w:val="23"/>
                <w:szCs w:val="23"/>
                <w:lang w:eastAsia="sk-SK"/>
              </w:rPr>
              <w:t xml:space="preserve"> zamestnanosti</w:t>
            </w:r>
          </w:p>
          <w:p w:rsidR="007F6571" w:rsidRPr="00A15FD9" w:rsidRDefault="00A15FD9" w:rsidP="000558F5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podpor</w:t>
            </w:r>
            <w:r w:rsidR="00532FE5">
              <w:rPr>
                <w:sz w:val="23"/>
                <w:szCs w:val="23"/>
                <w:lang w:eastAsia="sk-SK"/>
              </w:rPr>
              <w:t>e</w:t>
            </w:r>
            <w:r>
              <w:rPr>
                <w:sz w:val="23"/>
                <w:szCs w:val="23"/>
                <w:lang w:eastAsia="sk-SK"/>
              </w:rPr>
              <w:t xml:space="preserve"> vytvorenia pracovných </w:t>
            </w:r>
            <w:r w:rsidR="00532FE5">
              <w:rPr>
                <w:sz w:val="23"/>
                <w:szCs w:val="23"/>
                <w:lang w:eastAsia="sk-SK"/>
              </w:rPr>
              <w:t>m</w:t>
            </w:r>
            <w:r>
              <w:rPr>
                <w:sz w:val="23"/>
                <w:szCs w:val="23"/>
                <w:lang w:eastAsia="sk-SK"/>
              </w:rPr>
              <w:t>iest</w:t>
            </w:r>
            <w:r w:rsidR="00532FE5">
              <w:rPr>
                <w:sz w:val="23"/>
                <w:szCs w:val="23"/>
                <w:lang w:eastAsia="sk-SK"/>
              </w:rPr>
              <w:t xml:space="preserve">  a tým predchádzaniu</w:t>
            </w:r>
            <w:r>
              <w:rPr>
                <w:sz w:val="23"/>
                <w:szCs w:val="23"/>
                <w:lang w:eastAsia="sk-SK"/>
              </w:rPr>
              <w:t xml:space="preserve"> dlhodobej nezamestnanosti</w:t>
            </w:r>
          </w:p>
          <w:p w:rsidR="001E052C" w:rsidRDefault="00532FE5" w:rsidP="001E052C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podpor</w:t>
            </w:r>
            <w:r w:rsidR="001E052C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 </w:t>
            </w:r>
            <w:r w:rsidRPr="00231AA1">
              <w:rPr>
                <w:sz w:val="23"/>
                <w:szCs w:val="23"/>
              </w:rPr>
              <w:t>rozvoj</w:t>
            </w:r>
            <w:r>
              <w:rPr>
                <w:sz w:val="23"/>
                <w:szCs w:val="23"/>
              </w:rPr>
              <w:t>a</w:t>
            </w:r>
            <w:r w:rsidRPr="00231AA1">
              <w:rPr>
                <w:sz w:val="23"/>
                <w:szCs w:val="23"/>
              </w:rPr>
              <w:t xml:space="preserve"> miestnej </w:t>
            </w:r>
            <w:r w:rsidR="00D51BA5">
              <w:rPr>
                <w:sz w:val="23"/>
                <w:szCs w:val="23"/>
              </w:rPr>
              <w:t xml:space="preserve"> a regionálnej </w:t>
            </w:r>
            <w:r w:rsidRPr="00231AA1">
              <w:rPr>
                <w:sz w:val="23"/>
                <w:szCs w:val="23"/>
              </w:rPr>
              <w:t>zamestnanosti</w:t>
            </w:r>
            <w:r>
              <w:rPr>
                <w:sz w:val="23"/>
                <w:szCs w:val="23"/>
              </w:rPr>
              <w:t xml:space="preserve">, </w:t>
            </w:r>
          </w:p>
          <w:p w:rsidR="00660338" w:rsidRPr="00546138" w:rsidRDefault="00532FE5" w:rsidP="001E052C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</w:rPr>
            </w:pPr>
            <w:r w:rsidRPr="00546138">
              <w:rPr>
                <w:sz w:val="23"/>
                <w:szCs w:val="23"/>
              </w:rPr>
              <w:t>zníženi</w:t>
            </w:r>
            <w:r w:rsidR="001E052C" w:rsidRPr="00546138">
              <w:rPr>
                <w:sz w:val="23"/>
                <w:szCs w:val="23"/>
              </w:rPr>
              <w:t>u</w:t>
            </w:r>
            <w:r w:rsidRPr="00546138">
              <w:rPr>
                <w:sz w:val="23"/>
                <w:szCs w:val="23"/>
              </w:rPr>
              <w:t xml:space="preserve"> regionálnych disparít na trhu práce, </w:t>
            </w:r>
          </w:p>
          <w:p w:rsidR="00532FE5" w:rsidRPr="00FF3B75" w:rsidRDefault="00532FE5" w:rsidP="001E052C">
            <w:pPr>
              <w:pStyle w:val="Odsekzoznamu"/>
              <w:numPr>
                <w:ilvl w:val="0"/>
                <w:numId w:val="41"/>
              </w:numPr>
              <w:jc w:val="both"/>
              <w:rPr>
                <w:sz w:val="23"/>
                <w:szCs w:val="23"/>
              </w:rPr>
            </w:pPr>
            <w:r w:rsidRPr="00FF3B75">
              <w:rPr>
                <w:sz w:val="23"/>
                <w:szCs w:val="23"/>
              </w:rPr>
              <w:t>motiv</w:t>
            </w:r>
            <w:r w:rsidR="001E052C" w:rsidRPr="00FF3B75">
              <w:rPr>
                <w:sz w:val="23"/>
                <w:szCs w:val="23"/>
              </w:rPr>
              <w:t>ácií</w:t>
            </w:r>
            <w:r w:rsidRPr="00FF3B75">
              <w:rPr>
                <w:sz w:val="23"/>
                <w:szCs w:val="23"/>
              </w:rPr>
              <w:t xml:space="preserve"> zamestnávateľov vytvárať pracovné miesta pre </w:t>
            </w:r>
            <w:proofErr w:type="spellStart"/>
            <w:r w:rsidR="001E052C" w:rsidRPr="00FF3B75">
              <w:rPr>
                <w:sz w:val="23"/>
                <w:szCs w:val="23"/>
              </w:rPr>
              <w:t>Z</w:t>
            </w:r>
            <w:r w:rsidRPr="00FF3B75">
              <w:rPr>
                <w:sz w:val="23"/>
                <w:szCs w:val="23"/>
              </w:rPr>
              <w:t>UoZ</w:t>
            </w:r>
            <w:proofErr w:type="spellEnd"/>
            <w:r w:rsidRPr="00FF3B75">
              <w:rPr>
                <w:sz w:val="23"/>
                <w:szCs w:val="23"/>
              </w:rPr>
              <w:t xml:space="preserve"> vo vybraných oblastiach zamestnávania.</w:t>
            </w:r>
          </w:p>
          <w:p w:rsidR="000558F5" w:rsidRDefault="000558F5" w:rsidP="000558F5">
            <w:pPr>
              <w:jc w:val="both"/>
              <w:rPr>
                <w:sz w:val="23"/>
                <w:szCs w:val="23"/>
                <w:lang w:eastAsia="sk-SK"/>
              </w:rPr>
            </w:pPr>
          </w:p>
          <w:p w:rsidR="000558F5" w:rsidRPr="000558F5" w:rsidRDefault="000558F5" w:rsidP="000558F5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Počas obdobia realizácie tohto projektu (3 roky) </w:t>
            </w:r>
            <w:r w:rsidR="000B10D0">
              <w:rPr>
                <w:sz w:val="23"/>
                <w:szCs w:val="23"/>
                <w:lang w:eastAsia="sk-SK"/>
              </w:rPr>
              <w:t xml:space="preserve">sa </w:t>
            </w:r>
            <w:r>
              <w:rPr>
                <w:sz w:val="23"/>
                <w:szCs w:val="23"/>
                <w:lang w:eastAsia="sk-SK"/>
              </w:rPr>
              <w:t>zapojilo do pracovného procesu</w:t>
            </w:r>
            <w:r w:rsidR="003C632E">
              <w:rPr>
                <w:sz w:val="23"/>
                <w:szCs w:val="23"/>
                <w:lang w:eastAsia="sk-SK"/>
              </w:rPr>
              <w:t xml:space="preserve"> cca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="000B10D0" w:rsidRPr="003C632E">
              <w:rPr>
                <w:sz w:val="23"/>
                <w:szCs w:val="23"/>
                <w:lang w:eastAsia="sk-SK"/>
              </w:rPr>
              <w:t>12 tis.</w:t>
            </w:r>
            <w:r>
              <w:rPr>
                <w:sz w:val="23"/>
                <w:szCs w:val="23"/>
                <w:lang w:eastAsia="sk-SK"/>
              </w:rPr>
              <w:t xml:space="preserve"> znevýhodnených </w:t>
            </w:r>
            <w:proofErr w:type="spellStart"/>
            <w:r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="000B10D0">
              <w:rPr>
                <w:sz w:val="23"/>
                <w:szCs w:val="23"/>
                <w:lang w:eastAsia="sk-SK"/>
              </w:rPr>
              <w:t>.</w:t>
            </w:r>
          </w:p>
          <w:p w:rsidR="00EE6DAE" w:rsidRPr="00BB4785" w:rsidRDefault="000558F5" w:rsidP="000558F5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  <w:tr w:rsidR="00EE6DAE" w:rsidRPr="00C5077F" w:rsidTr="00843555">
        <w:tc>
          <w:tcPr>
            <w:tcW w:w="9212" w:type="dxa"/>
          </w:tcPr>
          <w:p w:rsidR="00EE6DAE" w:rsidRPr="00B56C6E" w:rsidRDefault="00EE6DA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lastRenderedPageBreak/>
              <w:t>Fakultatívne položky:</w:t>
            </w:r>
          </w:p>
        </w:tc>
      </w:tr>
      <w:tr w:rsidR="00EE6DAE" w:rsidRPr="00C5077F" w:rsidTr="00843555">
        <w:tc>
          <w:tcPr>
            <w:tcW w:w="9212" w:type="dxa"/>
          </w:tcPr>
          <w:p w:rsidR="00EE6DAE" w:rsidRPr="00B56C6E" w:rsidRDefault="00EE6DA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EE6DAE" w:rsidRPr="00C5077F" w:rsidTr="00843555">
        <w:tc>
          <w:tcPr>
            <w:tcW w:w="9212" w:type="dxa"/>
          </w:tcPr>
          <w:p w:rsidR="00EE6DAE" w:rsidRDefault="00EE6DAE" w:rsidP="00EE6DAE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  <w:p w:rsidR="00D6085C" w:rsidRPr="00D6085C" w:rsidRDefault="00AB28D1" w:rsidP="00890651">
            <w:pPr>
              <w:jc w:val="both"/>
              <w:rPr>
                <w:sz w:val="23"/>
                <w:szCs w:val="23"/>
                <w:lang w:eastAsia="sk-SK"/>
              </w:rPr>
            </w:pPr>
            <w:r w:rsidRPr="00AB28D1">
              <w:rPr>
                <w:sz w:val="23"/>
                <w:szCs w:val="23"/>
                <w:lang w:eastAsia="sk-SK"/>
              </w:rPr>
              <w:t xml:space="preserve">V priebehu realizácie neboli identifikované žiadne špecifické problémy, ktoré by negatívne ovplyvnili priebeh aktivít projektu. </w:t>
            </w:r>
          </w:p>
          <w:p w:rsidR="00EE6DAE" w:rsidRPr="00B56C6E" w:rsidRDefault="00EE6DA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</w:tc>
      </w:tr>
      <w:tr w:rsidR="00EE6DAE" w:rsidRPr="00C5077F" w:rsidTr="00843555">
        <w:tc>
          <w:tcPr>
            <w:tcW w:w="9212" w:type="dxa"/>
          </w:tcPr>
          <w:p w:rsidR="00EE6DAE" w:rsidRPr="00B56C6E" w:rsidRDefault="00EE6DA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EE6DAE" w:rsidRPr="00C5077F" w:rsidTr="00843555">
        <w:tc>
          <w:tcPr>
            <w:tcW w:w="9212" w:type="dxa"/>
          </w:tcPr>
          <w:p w:rsidR="007529A6" w:rsidRPr="00BB4785" w:rsidRDefault="007529A6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EE6DAE" w:rsidRDefault="00EE6DAE" w:rsidP="00EE6D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EE6DAE" w:rsidRDefault="00EE6DAE" w:rsidP="00EE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Aktivity realizované v rámci publicity:</w:t>
            </w:r>
          </w:p>
          <w:p w:rsidR="00EE6DAE" w:rsidRPr="00C07DBF" w:rsidRDefault="00EE6DAE" w:rsidP="00EE6DAE">
            <w:pPr>
              <w:numPr>
                <w:ilvl w:val="0"/>
                <w:numId w:val="32"/>
              </w:num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zaslanie Formulára príkladov dobrej praxe a</w:t>
            </w:r>
            <w:r w:rsidRPr="00C07DBF">
              <w:rPr>
                <w:sz w:val="22"/>
                <w:szCs w:val="22"/>
              </w:rPr>
              <w:t>)</w:t>
            </w:r>
            <w:r w:rsidR="001A530E" w:rsidRPr="00C07DBF">
              <w:rPr>
                <w:sz w:val="22"/>
                <w:szCs w:val="22"/>
              </w:rPr>
              <w:t>, b)</w:t>
            </w:r>
            <w:r w:rsidRPr="00C07DBF">
              <w:rPr>
                <w:sz w:val="22"/>
                <w:szCs w:val="22"/>
              </w:rPr>
              <w:t xml:space="preserve"> na </w:t>
            </w:r>
            <w:hyperlink r:id="rId11" w:history="1">
              <w:r w:rsidRPr="00C07DBF"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 w:rsidRPr="00C07DBF">
              <w:rPr>
                <w:sz w:val="22"/>
                <w:szCs w:val="22"/>
              </w:rPr>
              <w:t xml:space="preserve"> </w:t>
            </w:r>
          </w:p>
          <w:p w:rsidR="00EE6DAE" w:rsidRPr="00C07DBF" w:rsidRDefault="00EE6DAE" w:rsidP="00EE6DAE">
            <w:pPr>
              <w:numPr>
                <w:ilvl w:val="0"/>
                <w:numId w:val="32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C07DBF">
              <w:rPr>
                <w:sz w:val="22"/>
                <w:szCs w:val="22"/>
              </w:rPr>
              <w:t xml:space="preserve">príklady dobrej praxe </w:t>
            </w:r>
          </w:p>
          <w:p w:rsidR="00EE6DAE" w:rsidRPr="00C07DBF" w:rsidRDefault="00EE6DAE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 w:rsidRPr="00C07DBF">
              <w:rPr>
                <w:sz w:val="22"/>
                <w:szCs w:val="22"/>
              </w:rPr>
              <w:t>zverejnenie formulára príkladov dobrej praxe a)</w:t>
            </w:r>
            <w:r w:rsidR="001A530E" w:rsidRPr="00C07DBF">
              <w:rPr>
                <w:sz w:val="22"/>
                <w:szCs w:val="22"/>
              </w:rPr>
              <w:t>, b)</w:t>
            </w:r>
            <w:r w:rsidRPr="00C07DBF">
              <w:rPr>
                <w:sz w:val="22"/>
                <w:szCs w:val="22"/>
              </w:rPr>
              <w:t xml:space="preserve"> na </w:t>
            </w:r>
            <w:hyperlink r:id="rId12" w:history="1">
              <w:r w:rsidRPr="00C07DBF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EE6DAE" w:rsidRDefault="00EE6DAE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 w:rsidRPr="00C07DBF">
              <w:rPr>
                <w:sz w:val="22"/>
                <w:szCs w:val="22"/>
              </w:rPr>
              <w:t>zverejnenie opisu národného projektu na webovej stránke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EE6DAE" w:rsidRPr="002034E3" w:rsidRDefault="00EE6DAE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zverejnenie tlačovej správy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2034E3" w:rsidRPr="00C24E30" w:rsidRDefault="002034E3" w:rsidP="002034E3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Style w:val="Hypertextovprepojenie"/>
                <w:sz w:val="22"/>
                <w:szCs w:val="22"/>
              </w:rPr>
            </w:pPr>
            <w:r w:rsidRPr="002034E3">
              <w:rPr>
                <w:sz w:val="22"/>
                <w:szCs w:val="22"/>
              </w:rPr>
              <w:t xml:space="preserve">plagáty A3 zverejnené na </w:t>
            </w:r>
            <w:hyperlink r:id="rId15" w:history="1">
              <w:r w:rsidRPr="00C24E30">
                <w:rPr>
                  <w:rStyle w:val="Hypertextovprepojenie"/>
                  <w:sz w:val="22"/>
                  <w:szCs w:val="22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EE6DAE" w:rsidRPr="002034E3" w:rsidRDefault="00EE6DAE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monitoring médií</w:t>
            </w:r>
          </w:p>
          <w:p w:rsidR="002034E3" w:rsidRPr="00C24E30" w:rsidRDefault="002034E3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Style w:val="Hypertextovprepojenie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oznámenia o možnosti predkladania žiadostí o poskytnutie finančného príspevku na podporu vytvorenia pracovného miesta pre znevýhodnených </w:t>
            </w:r>
            <w:proofErr w:type="spellStart"/>
            <w:r>
              <w:rPr>
                <w:sz w:val="22"/>
                <w:szCs w:val="22"/>
              </w:rPr>
              <w:t>UoZ</w:t>
            </w:r>
            <w:proofErr w:type="spellEnd"/>
            <w:r>
              <w:rPr>
                <w:sz w:val="22"/>
                <w:szCs w:val="22"/>
              </w:rPr>
              <w:t xml:space="preserve"> vo vymedzených oblastiach verejného zamestnávania zverejnené na: </w:t>
            </w:r>
            <w:hyperlink r:id="rId16" w:history="1">
              <w:r w:rsidRPr="00C24E30">
                <w:rPr>
                  <w:rStyle w:val="Hypertextovprepojenie"/>
                  <w:sz w:val="22"/>
                  <w:szCs w:val="22"/>
                </w:rPr>
                <w:t>http://www.upsvar.sk/narodne-projekty-oznamenia-o-moznosti-predkladania-ziadosti-o-poskytnutie-financneho-prispevku/narodny-projekt-sanca-na-zamestnanie.html?page_id=570861</w:t>
              </w:r>
            </w:hyperlink>
          </w:p>
          <w:p w:rsidR="002034E3" w:rsidRPr="009D0D9F" w:rsidRDefault="002034E3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autobusová mediálna kampaň v zmysle Rámcovej dohody č. 460/KGR/2016 </w:t>
            </w:r>
            <w:r w:rsidR="009D0D9F">
              <w:rPr>
                <w:sz w:val="22"/>
                <w:szCs w:val="22"/>
              </w:rPr>
              <w:t>(účinná od 5.11.2016)</w:t>
            </w:r>
          </w:p>
          <w:p w:rsidR="009D0D9F" w:rsidRPr="009D0D9F" w:rsidRDefault="009D0D9F" w:rsidP="00EE6DAE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on-line </w:t>
            </w:r>
            <w:proofErr w:type="spellStart"/>
            <w:r>
              <w:rPr>
                <w:sz w:val="22"/>
                <w:szCs w:val="22"/>
              </w:rPr>
              <w:t>bannerová</w:t>
            </w:r>
            <w:proofErr w:type="spellEnd"/>
            <w:r>
              <w:rPr>
                <w:sz w:val="22"/>
                <w:szCs w:val="22"/>
              </w:rPr>
              <w:t xml:space="preserve"> kampaň v zmysle Rámcovej dohody č. 461/KGR/2016 (účinná od 8.11.2016)</w:t>
            </w:r>
          </w:p>
          <w:p w:rsidR="002034E3" w:rsidRPr="009D0D9F" w:rsidRDefault="00EE6DAE" w:rsidP="009D0D9F">
            <w:pPr>
              <w:pStyle w:val="Odsekzoznamu"/>
              <w:numPr>
                <w:ilvl w:val="0"/>
                <w:numId w:val="33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 w:rsidRPr="009D0D9F">
              <w:rPr>
                <w:sz w:val="22"/>
                <w:szCs w:val="22"/>
              </w:rPr>
              <w:t>žiadosti o poskytnut</w:t>
            </w:r>
            <w:r w:rsidR="009D0D9F">
              <w:rPr>
                <w:sz w:val="22"/>
                <w:szCs w:val="22"/>
              </w:rPr>
              <w:t>ie</w:t>
            </w:r>
            <w:r w:rsidRPr="009D0D9F">
              <w:rPr>
                <w:sz w:val="22"/>
                <w:szCs w:val="22"/>
              </w:rPr>
              <w:t xml:space="preserve">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7" w:history="1">
              <w:r w:rsidRPr="009D0D9F"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 w:rsidRPr="009D0D9F">
              <w:rPr>
                <w:sz w:val="22"/>
                <w:szCs w:val="22"/>
              </w:rPr>
              <w:t xml:space="preserve">, </w:t>
            </w:r>
            <w:hyperlink r:id="rId18" w:history="1">
              <w:r w:rsidRPr="009D0D9F"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  <w:r w:rsidRPr="009D0D9F">
              <w:rPr>
                <w:sz w:val="22"/>
                <w:szCs w:val="22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1A4BA8" w:rsidRDefault="00C07DBF" w:rsidP="00C07DBF">
      <w:pPr>
        <w:tabs>
          <w:tab w:val="left" w:pos="2490"/>
        </w:tabs>
        <w:rPr>
          <w:rFonts w:ascii="Verdana" w:hAnsi="Verdana" w:cs="Bookman Old Style"/>
          <w:b/>
          <w:bCs/>
        </w:rPr>
      </w:pPr>
      <w:r>
        <w:tab/>
      </w:r>
    </w:p>
    <w:sectPr w:rsidR="001A4BA8" w:rsidSect="00454D61">
      <w:headerReference w:type="default" r:id="rId19"/>
      <w:footerReference w:type="default" r:id="rId20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5B" w:rsidRDefault="00533F5B">
      <w:r>
        <w:separator/>
      </w:r>
    </w:p>
  </w:endnote>
  <w:endnote w:type="continuationSeparator" w:id="0">
    <w:p w:rsidR="00533F5B" w:rsidRDefault="0053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E8" w:rsidRPr="00065897" w:rsidRDefault="007E0F00">
    <w:pPr>
      <w:pStyle w:val="Pta"/>
      <w:rPr>
        <w:sz w:val="20"/>
      </w:rPr>
    </w:pPr>
    <w:r w:rsidRPr="00065897">
      <w:rPr>
        <w:sz w:val="20"/>
      </w:rPr>
      <w:t xml:space="preserve">Príručka pre prijímateľa </w:t>
    </w:r>
    <w:r w:rsidR="00E43BE8" w:rsidRPr="00065897">
      <w:rPr>
        <w:sz w:val="20"/>
      </w:rPr>
      <w:t>pre národné projekty</w:t>
    </w:r>
  </w:p>
  <w:p w:rsidR="007E0F00" w:rsidRPr="00065897" w:rsidRDefault="00E43BE8">
    <w:pPr>
      <w:pStyle w:val="Pta"/>
      <w:rPr>
        <w:sz w:val="20"/>
      </w:rPr>
    </w:pPr>
    <w:r w:rsidRPr="00065897">
      <w:rPr>
        <w:sz w:val="20"/>
      </w:rPr>
      <w:t>V</w:t>
    </w:r>
    <w:r w:rsidR="00CE5520" w:rsidRPr="00065897">
      <w:rPr>
        <w:sz w:val="20"/>
      </w:rPr>
      <w:t>erzia 2.1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5B" w:rsidRDefault="00533F5B">
      <w:r>
        <w:separator/>
      </w:r>
    </w:p>
  </w:footnote>
  <w:footnote w:type="continuationSeparator" w:id="0">
    <w:p w:rsidR="00533F5B" w:rsidRDefault="0053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42891659" wp14:editId="202B1B37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D3D7CF1"/>
    <w:multiLevelType w:val="hybridMultilevel"/>
    <w:tmpl w:val="0860CF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DA074AC"/>
    <w:multiLevelType w:val="hybridMultilevel"/>
    <w:tmpl w:val="7840D2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A433FA1"/>
    <w:multiLevelType w:val="hybridMultilevel"/>
    <w:tmpl w:val="7FD23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A79BE"/>
    <w:multiLevelType w:val="hybridMultilevel"/>
    <w:tmpl w:val="CF88458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D20F3D"/>
    <w:multiLevelType w:val="hybridMultilevel"/>
    <w:tmpl w:val="C1D24D88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8"/>
  </w:num>
  <w:num w:numId="5">
    <w:abstractNumId w:val="36"/>
  </w:num>
  <w:num w:numId="6">
    <w:abstractNumId w:val="29"/>
  </w:num>
  <w:num w:numId="7">
    <w:abstractNumId w:val="20"/>
  </w:num>
  <w:num w:numId="8">
    <w:abstractNumId w:val="7"/>
  </w:num>
  <w:num w:numId="9">
    <w:abstractNumId w:val="10"/>
  </w:num>
  <w:num w:numId="10">
    <w:abstractNumId w:val="14"/>
  </w:num>
  <w:num w:numId="11">
    <w:abstractNumId w:val="37"/>
  </w:num>
  <w:num w:numId="12">
    <w:abstractNumId w:val="31"/>
  </w:num>
  <w:num w:numId="13">
    <w:abstractNumId w:val="4"/>
  </w:num>
  <w:num w:numId="14">
    <w:abstractNumId w:val="32"/>
  </w:num>
  <w:num w:numId="15">
    <w:abstractNumId w:val="16"/>
  </w:num>
  <w:num w:numId="16">
    <w:abstractNumId w:val="11"/>
  </w:num>
  <w:num w:numId="17">
    <w:abstractNumId w:val="3"/>
  </w:num>
  <w:num w:numId="18">
    <w:abstractNumId w:val="21"/>
  </w:num>
  <w:num w:numId="19">
    <w:abstractNumId w:val="6"/>
  </w:num>
  <w:num w:numId="20">
    <w:abstractNumId w:val="27"/>
  </w:num>
  <w:num w:numId="21">
    <w:abstractNumId w:val="19"/>
  </w:num>
  <w:num w:numId="22">
    <w:abstractNumId w:val="28"/>
  </w:num>
  <w:num w:numId="23">
    <w:abstractNumId w:val="5"/>
  </w:num>
  <w:num w:numId="24">
    <w:abstractNumId w:val="13"/>
  </w:num>
  <w:num w:numId="25">
    <w:abstractNumId w:val="9"/>
  </w:num>
  <w:num w:numId="26">
    <w:abstractNumId w:val="2"/>
  </w:num>
  <w:num w:numId="27">
    <w:abstractNumId w:val="12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22"/>
  </w:num>
  <w:num w:numId="33">
    <w:abstractNumId w:val="23"/>
  </w:num>
  <w:num w:numId="34">
    <w:abstractNumId w:val="23"/>
  </w:num>
  <w:num w:numId="35">
    <w:abstractNumId w:val="22"/>
  </w:num>
  <w:num w:numId="36">
    <w:abstractNumId w:val="35"/>
  </w:num>
  <w:num w:numId="37">
    <w:abstractNumId w:val="18"/>
  </w:num>
  <w:num w:numId="38">
    <w:abstractNumId w:val="34"/>
  </w:num>
  <w:num w:numId="39">
    <w:abstractNumId w:val="34"/>
  </w:num>
  <w:num w:numId="40">
    <w:abstractNumId w:val="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58F5"/>
    <w:rsid w:val="00056E82"/>
    <w:rsid w:val="00065897"/>
    <w:rsid w:val="00090568"/>
    <w:rsid w:val="00091ADC"/>
    <w:rsid w:val="000962CF"/>
    <w:rsid w:val="000B10D0"/>
    <w:rsid w:val="000B3E63"/>
    <w:rsid w:val="000B61C1"/>
    <w:rsid w:val="000C603E"/>
    <w:rsid w:val="000C61E7"/>
    <w:rsid w:val="000D3582"/>
    <w:rsid w:val="000E1F1B"/>
    <w:rsid w:val="000E3D55"/>
    <w:rsid w:val="000E3EEF"/>
    <w:rsid w:val="001226DA"/>
    <w:rsid w:val="00125C3A"/>
    <w:rsid w:val="00125FB1"/>
    <w:rsid w:val="00131914"/>
    <w:rsid w:val="0015057E"/>
    <w:rsid w:val="001546BC"/>
    <w:rsid w:val="0015725F"/>
    <w:rsid w:val="001730D2"/>
    <w:rsid w:val="00174A11"/>
    <w:rsid w:val="00191130"/>
    <w:rsid w:val="00195CE6"/>
    <w:rsid w:val="001979DB"/>
    <w:rsid w:val="001A4BA8"/>
    <w:rsid w:val="001A530E"/>
    <w:rsid w:val="001A6B2D"/>
    <w:rsid w:val="001B62F6"/>
    <w:rsid w:val="001C164B"/>
    <w:rsid w:val="001C3157"/>
    <w:rsid w:val="001E0408"/>
    <w:rsid w:val="001E052C"/>
    <w:rsid w:val="001E4CB6"/>
    <w:rsid w:val="001E55A4"/>
    <w:rsid w:val="001E74BA"/>
    <w:rsid w:val="001F01B0"/>
    <w:rsid w:val="001F3458"/>
    <w:rsid w:val="001F4E93"/>
    <w:rsid w:val="00200463"/>
    <w:rsid w:val="00202A97"/>
    <w:rsid w:val="002034E3"/>
    <w:rsid w:val="00203B45"/>
    <w:rsid w:val="00214949"/>
    <w:rsid w:val="00221656"/>
    <w:rsid w:val="002372E5"/>
    <w:rsid w:val="002430B6"/>
    <w:rsid w:val="002474BC"/>
    <w:rsid w:val="002510DF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C632E"/>
    <w:rsid w:val="003D4947"/>
    <w:rsid w:val="003D5790"/>
    <w:rsid w:val="003E2C26"/>
    <w:rsid w:val="003E44C4"/>
    <w:rsid w:val="003F3DBB"/>
    <w:rsid w:val="00430C89"/>
    <w:rsid w:val="00434720"/>
    <w:rsid w:val="004464A3"/>
    <w:rsid w:val="00451EF0"/>
    <w:rsid w:val="00453233"/>
    <w:rsid w:val="00454D61"/>
    <w:rsid w:val="0047103E"/>
    <w:rsid w:val="00473CF6"/>
    <w:rsid w:val="0047689B"/>
    <w:rsid w:val="00482C6D"/>
    <w:rsid w:val="004A3F83"/>
    <w:rsid w:val="004C6CD9"/>
    <w:rsid w:val="004E306F"/>
    <w:rsid w:val="00515D42"/>
    <w:rsid w:val="00532FE5"/>
    <w:rsid w:val="00533F5B"/>
    <w:rsid w:val="00546138"/>
    <w:rsid w:val="00562675"/>
    <w:rsid w:val="0057107A"/>
    <w:rsid w:val="005753D4"/>
    <w:rsid w:val="00575A73"/>
    <w:rsid w:val="00583F49"/>
    <w:rsid w:val="00584FF4"/>
    <w:rsid w:val="005951FB"/>
    <w:rsid w:val="00597102"/>
    <w:rsid w:val="005A448B"/>
    <w:rsid w:val="005B2BEA"/>
    <w:rsid w:val="005C36AC"/>
    <w:rsid w:val="005E1C19"/>
    <w:rsid w:val="005E1CC1"/>
    <w:rsid w:val="005E29A7"/>
    <w:rsid w:val="005E31F8"/>
    <w:rsid w:val="005F5594"/>
    <w:rsid w:val="006255C8"/>
    <w:rsid w:val="00637A8E"/>
    <w:rsid w:val="00660338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3C79"/>
    <w:rsid w:val="006F63F0"/>
    <w:rsid w:val="00725A32"/>
    <w:rsid w:val="00733DF2"/>
    <w:rsid w:val="0073648A"/>
    <w:rsid w:val="007413BB"/>
    <w:rsid w:val="00742F33"/>
    <w:rsid w:val="00744CF0"/>
    <w:rsid w:val="00751A3D"/>
    <w:rsid w:val="007529A6"/>
    <w:rsid w:val="0076034F"/>
    <w:rsid w:val="00765028"/>
    <w:rsid w:val="007712FF"/>
    <w:rsid w:val="007A76D8"/>
    <w:rsid w:val="007C2616"/>
    <w:rsid w:val="007D1317"/>
    <w:rsid w:val="007E0F00"/>
    <w:rsid w:val="007E3546"/>
    <w:rsid w:val="007F030D"/>
    <w:rsid w:val="007F6571"/>
    <w:rsid w:val="008079BA"/>
    <w:rsid w:val="00813EED"/>
    <w:rsid w:val="008157E8"/>
    <w:rsid w:val="008160CF"/>
    <w:rsid w:val="00822D6B"/>
    <w:rsid w:val="00824623"/>
    <w:rsid w:val="008247D2"/>
    <w:rsid w:val="00843555"/>
    <w:rsid w:val="00862156"/>
    <w:rsid w:val="00890651"/>
    <w:rsid w:val="008915F1"/>
    <w:rsid w:val="0089479E"/>
    <w:rsid w:val="00894EE3"/>
    <w:rsid w:val="00896E30"/>
    <w:rsid w:val="008B13FB"/>
    <w:rsid w:val="008E3D4A"/>
    <w:rsid w:val="008F7629"/>
    <w:rsid w:val="00912D9A"/>
    <w:rsid w:val="009327E0"/>
    <w:rsid w:val="0093329B"/>
    <w:rsid w:val="009441B9"/>
    <w:rsid w:val="00982A63"/>
    <w:rsid w:val="00983F19"/>
    <w:rsid w:val="00990D40"/>
    <w:rsid w:val="0099420A"/>
    <w:rsid w:val="009A5261"/>
    <w:rsid w:val="009B4A90"/>
    <w:rsid w:val="009C1C55"/>
    <w:rsid w:val="009C5AE2"/>
    <w:rsid w:val="009D0D9F"/>
    <w:rsid w:val="009E28D3"/>
    <w:rsid w:val="009F774F"/>
    <w:rsid w:val="00A01BF5"/>
    <w:rsid w:val="00A15FD9"/>
    <w:rsid w:val="00A16570"/>
    <w:rsid w:val="00A1771B"/>
    <w:rsid w:val="00A218AA"/>
    <w:rsid w:val="00A219E3"/>
    <w:rsid w:val="00A26778"/>
    <w:rsid w:val="00A31527"/>
    <w:rsid w:val="00A5491E"/>
    <w:rsid w:val="00A56DF0"/>
    <w:rsid w:val="00A62C7C"/>
    <w:rsid w:val="00A72EF8"/>
    <w:rsid w:val="00A75B41"/>
    <w:rsid w:val="00A8125B"/>
    <w:rsid w:val="00A83DC2"/>
    <w:rsid w:val="00A928F7"/>
    <w:rsid w:val="00A94013"/>
    <w:rsid w:val="00A94A6B"/>
    <w:rsid w:val="00A96FA9"/>
    <w:rsid w:val="00AB0EE4"/>
    <w:rsid w:val="00AB28D1"/>
    <w:rsid w:val="00AB32AF"/>
    <w:rsid w:val="00AB7ED2"/>
    <w:rsid w:val="00AC1C61"/>
    <w:rsid w:val="00AC32DD"/>
    <w:rsid w:val="00AE0F7E"/>
    <w:rsid w:val="00AF0F2D"/>
    <w:rsid w:val="00B0595F"/>
    <w:rsid w:val="00B23C82"/>
    <w:rsid w:val="00B372CA"/>
    <w:rsid w:val="00B56C6E"/>
    <w:rsid w:val="00B576EF"/>
    <w:rsid w:val="00B61A58"/>
    <w:rsid w:val="00B74EA6"/>
    <w:rsid w:val="00B82821"/>
    <w:rsid w:val="00BA7D29"/>
    <w:rsid w:val="00BB4785"/>
    <w:rsid w:val="00BD15A8"/>
    <w:rsid w:val="00BD4A8B"/>
    <w:rsid w:val="00C0714F"/>
    <w:rsid w:val="00C07DBF"/>
    <w:rsid w:val="00C231C7"/>
    <w:rsid w:val="00C24E30"/>
    <w:rsid w:val="00C32AA7"/>
    <w:rsid w:val="00C34C2A"/>
    <w:rsid w:val="00C414A1"/>
    <w:rsid w:val="00C45C76"/>
    <w:rsid w:val="00C52723"/>
    <w:rsid w:val="00C52793"/>
    <w:rsid w:val="00C80EDE"/>
    <w:rsid w:val="00C84AAC"/>
    <w:rsid w:val="00C8594A"/>
    <w:rsid w:val="00C90426"/>
    <w:rsid w:val="00C93B00"/>
    <w:rsid w:val="00C93D91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1BA5"/>
    <w:rsid w:val="00D578E7"/>
    <w:rsid w:val="00D6085C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40C0A"/>
    <w:rsid w:val="00E43BE8"/>
    <w:rsid w:val="00E544C2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E6DAE"/>
    <w:rsid w:val="00EF1D3A"/>
    <w:rsid w:val="00EF7E3E"/>
    <w:rsid w:val="00F53A6B"/>
    <w:rsid w:val="00F55EEA"/>
    <w:rsid w:val="00F57F9C"/>
    <w:rsid w:val="00F60943"/>
    <w:rsid w:val="00F74728"/>
    <w:rsid w:val="00F77CB7"/>
    <w:rsid w:val="00FA4D6D"/>
    <w:rsid w:val="00FC718B"/>
    <w:rsid w:val="00FD3804"/>
    <w:rsid w:val="00FD5257"/>
    <w:rsid w:val="00FD64EC"/>
    <w:rsid w:val="00FF3B75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rsid w:val="002034E3"/>
    <w:rPr>
      <w:color w:val="800080" w:themeColor="followedHyperlink"/>
      <w:u w:val="single"/>
    </w:rPr>
  </w:style>
  <w:style w:type="paragraph" w:customStyle="1" w:styleId="Style20">
    <w:name w:val="Style20"/>
    <w:rsid w:val="001A4BA8"/>
    <w:rPr>
      <w:rFonts w:ascii="Arial" w:hAnsi="Arial"/>
      <w:sz w:val="24"/>
      <w:lang w:val="cs-CZ"/>
    </w:rPr>
  </w:style>
  <w:style w:type="paragraph" w:styleId="Normlnywebov">
    <w:name w:val="Normal (Web)"/>
    <w:basedOn w:val="Normlny"/>
    <w:uiPriority w:val="99"/>
    <w:unhideWhenUsed/>
    <w:rsid w:val="001A4BA8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rsid w:val="002034E3"/>
    <w:rPr>
      <w:color w:val="800080" w:themeColor="followedHyperlink"/>
      <w:u w:val="single"/>
    </w:rPr>
  </w:style>
  <w:style w:type="paragraph" w:customStyle="1" w:styleId="Style20">
    <w:name w:val="Style20"/>
    <w:rsid w:val="001A4BA8"/>
    <w:rPr>
      <w:rFonts w:ascii="Arial" w:hAnsi="Arial"/>
      <w:sz w:val="24"/>
      <w:lang w:val="cs-CZ"/>
    </w:rPr>
  </w:style>
  <w:style w:type="paragraph" w:styleId="Normlnywebov">
    <w:name w:val="Normal (Web)"/>
    <w:basedOn w:val="Normlny"/>
    <w:uiPriority w:val="99"/>
    <w:unhideWhenUsed/>
    <w:rsid w:val="001A4BA8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hyperlink" Target="http://www.esf.gov.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yperlink" Target="http://www.employment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svar.sk/narodne-projekty-oznamenia-o-moznosti-predkladania-ziadosti-o-poskytnutie-financneho-prispevku/narodny-projekt-sanca-na-zamestnanie.html?page_id=57086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ita@employment.gov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10" Type="http://schemas.openxmlformats.org/officeDocument/2006/relationships/hyperlink" Target="http://www.upsvar.s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sanka.jablonicka@upsvr.gov.sk" TargetMode="External"/><Relationship Id="rId14" Type="http://schemas.openxmlformats.org/officeDocument/2006/relationships/hyperlink" Target="http://www.upsvar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FE0B-381A-4BBD-B285-862584F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7438</Characters>
  <Application>Microsoft Office Word</Application>
  <DocSecurity>4</DocSecurity>
  <Lines>61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8372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</cp:revision>
  <cp:lastPrinted>2018-08-23T08:01:00Z</cp:lastPrinted>
  <dcterms:created xsi:type="dcterms:W3CDTF">2018-08-24T04:58:00Z</dcterms:created>
  <dcterms:modified xsi:type="dcterms:W3CDTF">2018-08-24T04:58:00Z</dcterms:modified>
</cp:coreProperties>
</file>