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D5" w:rsidRPr="00321189" w:rsidRDefault="00B4710D" w:rsidP="00BB5DD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7D0DF0" wp14:editId="028C786C">
            <wp:simplePos x="0" y="0"/>
            <wp:positionH relativeFrom="column">
              <wp:posOffset>4500245</wp:posOffset>
            </wp:positionH>
            <wp:positionV relativeFrom="paragraph">
              <wp:posOffset>-178435</wp:posOffset>
            </wp:positionV>
            <wp:extent cx="1250950" cy="760730"/>
            <wp:effectExtent l="19050" t="0" r="6350" b="0"/>
            <wp:wrapTight wrapText="bothSides">
              <wp:wrapPolygon edited="0">
                <wp:start x="-329" y="0"/>
                <wp:lineTo x="-329" y="21095"/>
                <wp:lineTo x="21710" y="21095"/>
                <wp:lineTo x="21710" y="0"/>
                <wp:lineTo x="-329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1F47E9B" wp14:editId="7BA9E310">
            <wp:simplePos x="0" y="0"/>
            <wp:positionH relativeFrom="column">
              <wp:posOffset>-139700</wp:posOffset>
            </wp:positionH>
            <wp:positionV relativeFrom="paragraph">
              <wp:posOffset>2540</wp:posOffset>
            </wp:positionV>
            <wp:extent cx="1943100" cy="426720"/>
            <wp:effectExtent l="19050" t="0" r="0" b="0"/>
            <wp:wrapTight wrapText="bothSides">
              <wp:wrapPolygon edited="0">
                <wp:start x="-212" y="0"/>
                <wp:lineTo x="-212" y="20250"/>
                <wp:lineTo x="21600" y="20250"/>
                <wp:lineTo x="21600" y="0"/>
                <wp:lineTo x="-212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DD5" w:rsidRPr="00321189" w:rsidRDefault="00B4710D" w:rsidP="00BB5DD5">
      <w:pPr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F78DD17" wp14:editId="1AC69400">
            <wp:simplePos x="0" y="0"/>
            <wp:positionH relativeFrom="column">
              <wp:posOffset>343535</wp:posOffset>
            </wp:positionH>
            <wp:positionV relativeFrom="paragraph">
              <wp:posOffset>-466090</wp:posOffset>
            </wp:positionV>
            <wp:extent cx="1156970" cy="1072515"/>
            <wp:effectExtent l="19050" t="0" r="508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BB5DD5" w:rsidRPr="00321189" w:rsidTr="00235DFE">
        <w:tc>
          <w:tcPr>
            <w:tcW w:w="9212" w:type="dxa"/>
          </w:tcPr>
          <w:p w:rsidR="00BB5DD5" w:rsidRPr="00321189" w:rsidRDefault="00BB5DD5" w:rsidP="00235DFE">
            <w:pPr>
              <w:jc w:val="center"/>
              <w:rPr>
                <w:sz w:val="44"/>
                <w:szCs w:val="44"/>
              </w:rPr>
            </w:pPr>
          </w:p>
          <w:p w:rsidR="00BB5DD5" w:rsidRPr="00321189" w:rsidRDefault="00BB5DD5" w:rsidP="00B57782">
            <w:pPr>
              <w:jc w:val="center"/>
              <w:rPr>
                <w:b/>
                <w:caps/>
                <w:color w:val="0000FF"/>
                <w:sz w:val="36"/>
                <w:szCs w:val="36"/>
              </w:rPr>
            </w:pPr>
            <w:r w:rsidRPr="00321189">
              <w:rPr>
                <w:b/>
                <w:caps/>
                <w:sz w:val="44"/>
                <w:szCs w:val="44"/>
              </w:rPr>
              <w:t>Opis projektu</w:t>
            </w:r>
          </w:p>
        </w:tc>
      </w:tr>
    </w:tbl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tbl>
      <w:tblPr>
        <w:tblW w:w="0" w:type="auto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5060"/>
      </w:tblGrid>
      <w:tr w:rsidR="00BB5DD5" w:rsidRPr="00321189" w:rsidTr="00FB3D54">
        <w:trPr>
          <w:trHeight w:val="397"/>
          <w:jc w:val="center"/>
        </w:trPr>
        <w:tc>
          <w:tcPr>
            <w:tcW w:w="4478" w:type="dxa"/>
          </w:tcPr>
          <w:p w:rsidR="00BB5DD5" w:rsidRPr="00321189" w:rsidRDefault="00BB5DD5" w:rsidP="00235DFE">
            <w:pPr>
              <w:jc w:val="both"/>
              <w:rPr>
                <w:b/>
                <w:bCs/>
                <w:szCs w:val="24"/>
              </w:rPr>
            </w:pPr>
            <w:r w:rsidRPr="00321189">
              <w:rPr>
                <w:b/>
                <w:szCs w:val="24"/>
              </w:rPr>
              <w:t>Názov projektu:</w:t>
            </w:r>
          </w:p>
        </w:tc>
        <w:tc>
          <w:tcPr>
            <w:tcW w:w="5060" w:type="dxa"/>
            <w:vAlign w:val="center"/>
          </w:tcPr>
          <w:p w:rsidR="00BB5DD5" w:rsidRPr="00B57782" w:rsidRDefault="007210E0" w:rsidP="00FB3D54">
            <w:pPr>
              <w:rPr>
                <w:b/>
                <w:bCs/>
                <w:color w:val="000000" w:themeColor="text1"/>
                <w:szCs w:val="24"/>
                <w:highlight w:val="yellow"/>
              </w:rPr>
            </w:pPr>
            <w:r w:rsidRPr="00B57782">
              <w:rPr>
                <w:b/>
                <w:color w:val="000000" w:themeColor="text1"/>
                <w:szCs w:val="24"/>
              </w:rPr>
              <w:t xml:space="preserve">Zapojenie nezamestnaných do obnovy kultúrneho dedičstva - </w:t>
            </w:r>
            <w:r w:rsidR="009F64E3" w:rsidRPr="00B57782">
              <w:rPr>
                <w:b/>
                <w:color w:val="000000" w:themeColor="text1"/>
                <w:szCs w:val="24"/>
              </w:rPr>
              <w:t>3</w:t>
            </w:r>
          </w:p>
        </w:tc>
      </w:tr>
      <w:tr w:rsidR="00BB5DD5" w:rsidRPr="00321189" w:rsidTr="00FB3D54">
        <w:trPr>
          <w:trHeight w:val="397"/>
          <w:jc w:val="center"/>
        </w:trPr>
        <w:tc>
          <w:tcPr>
            <w:tcW w:w="4478" w:type="dxa"/>
          </w:tcPr>
          <w:p w:rsidR="00BB5DD5" w:rsidRPr="00321189" w:rsidRDefault="00BB5DD5" w:rsidP="00235DFE">
            <w:pPr>
              <w:jc w:val="both"/>
              <w:rPr>
                <w:b/>
                <w:bCs/>
                <w:szCs w:val="24"/>
              </w:rPr>
            </w:pPr>
            <w:r w:rsidRPr="00321189">
              <w:rPr>
                <w:b/>
                <w:szCs w:val="24"/>
              </w:rPr>
              <w:t>Žiadateľ</w:t>
            </w:r>
            <w:r w:rsidR="00E42CD5">
              <w:rPr>
                <w:b/>
                <w:szCs w:val="24"/>
              </w:rPr>
              <w:t xml:space="preserve"> o NFP</w:t>
            </w:r>
            <w:r w:rsidRPr="00321189">
              <w:rPr>
                <w:b/>
                <w:szCs w:val="24"/>
              </w:rPr>
              <w:t>:</w:t>
            </w:r>
          </w:p>
        </w:tc>
        <w:tc>
          <w:tcPr>
            <w:tcW w:w="5060" w:type="dxa"/>
            <w:vAlign w:val="center"/>
          </w:tcPr>
          <w:p w:rsidR="00BB5DD5" w:rsidRPr="00321189" w:rsidRDefault="00CA3D77" w:rsidP="00FB3D54">
            <w:pPr>
              <w:rPr>
                <w:b/>
                <w:bCs/>
                <w:szCs w:val="24"/>
              </w:rPr>
            </w:pPr>
            <w:r w:rsidRPr="008F35A7">
              <w:rPr>
                <w:b/>
                <w:bCs/>
                <w:szCs w:val="24"/>
              </w:rPr>
              <w:t>Ústredie práce, sociálnych vecí a rodiny</w:t>
            </w:r>
          </w:p>
        </w:tc>
      </w:tr>
      <w:tr w:rsidR="00BB5DD5" w:rsidRPr="00321189" w:rsidTr="00FB3D54">
        <w:trPr>
          <w:trHeight w:val="397"/>
          <w:jc w:val="center"/>
        </w:trPr>
        <w:tc>
          <w:tcPr>
            <w:tcW w:w="4478" w:type="dxa"/>
          </w:tcPr>
          <w:p w:rsidR="004F5711" w:rsidRPr="005106B3" w:rsidRDefault="00BB5DD5" w:rsidP="00235DFE">
            <w:pPr>
              <w:jc w:val="both"/>
              <w:rPr>
                <w:b/>
                <w:szCs w:val="24"/>
              </w:rPr>
            </w:pPr>
            <w:r w:rsidRPr="005106B3">
              <w:rPr>
                <w:b/>
                <w:szCs w:val="24"/>
              </w:rPr>
              <w:t>Dĺžka realizácie aktivít projektu</w:t>
            </w:r>
          </w:p>
          <w:p w:rsidR="00BB5DD5" w:rsidRPr="005106B3" w:rsidRDefault="00BB5DD5" w:rsidP="00B57782">
            <w:pPr>
              <w:jc w:val="both"/>
              <w:rPr>
                <w:b/>
                <w:szCs w:val="24"/>
              </w:rPr>
            </w:pPr>
            <w:r w:rsidRPr="005106B3">
              <w:rPr>
                <w:b/>
                <w:szCs w:val="24"/>
              </w:rPr>
              <w:t>(od</w:t>
            </w:r>
            <w:r w:rsidR="004F5711" w:rsidRPr="005106B3">
              <w:rPr>
                <w:b/>
                <w:szCs w:val="24"/>
              </w:rPr>
              <w:t xml:space="preserve"> </w:t>
            </w:r>
            <w:r w:rsidRPr="005106B3">
              <w:rPr>
                <w:b/>
                <w:szCs w:val="24"/>
              </w:rPr>
              <w:t>-</w:t>
            </w:r>
            <w:r w:rsidR="004F5711" w:rsidRPr="005106B3">
              <w:rPr>
                <w:b/>
                <w:szCs w:val="24"/>
              </w:rPr>
              <w:t xml:space="preserve"> </w:t>
            </w:r>
            <w:r w:rsidRPr="005106B3">
              <w:rPr>
                <w:b/>
                <w:szCs w:val="24"/>
              </w:rPr>
              <w:t>do):</w:t>
            </w:r>
          </w:p>
        </w:tc>
        <w:tc>
          <w:tcPr>
            <w:tcW w:w="5060" w:type="dxa"/>
            <w:vAlign w:val="center"/>
          </w:tcPr>
          <w:p w:rsidR="00BB5DD5" w:rsidRPr="005106B3" w:rsidRDefault="000A7100" w:rsidP="00FB3D54">
            <w:pPr>
              <w:rPr>
                <w:b/>
                <w:bCs/>
                <w:color w:val="000000" w:themeColor="text1"/>
                <w:szCs w:val="24"/>
              </w:rPr>
            </w:pPr>
            <w:r w:rsidRPr="000A7100">
              <w:rPr>
                <w:b/>
                <w:bCs/>
                <w:color w:val="000000" w:themeColor="text1"/>
                <w:szCs w:val="24"/>
              </w:rPr>
              <w:t>0</w:t>
            </w:r>
            <w:r w:rsidR="00750923">
              <w:rPr>
                <w:b/>
                <w:bCs/>
                <w:color w:val="000000" w:themeColor="text1"/>
                <w:szCs w:val="24"/>
              </w:rPr>
              <w:t>2</w:t>
            </w:r>
            <w:r w:rsidRPr="000A7100">
              <w:rPr>
                <w:b/>
                <w:bCs/>
                <w:color w:val="000000" w:themeColor="text1"/>
                <w:szCs w:val="24"/>
              </w:rPr>
              <w:t>/201</w:t>
            </w:r>
            <w:r w:rsidR="009F64E3">
              <w:rPr>
                <w:b/>
                <w:bCs/>
                <w:color w:val="000000" w:themeColor="text1"/>
                <w:szCs w:val="24"/>
              </w:rPr>
              <w:t>5</w:t>
            </w:r>
            <w:r w:rsidRPr="000A7100">
              <w:rPr>
                <w:b/>
                <w:bCs/>
                <w:color w:val="000000" w:themeColor="text1"/>
                <w:szCs w:val="24"/>
              </w:rPr>
              <w:t xml:space="preserve"> - </w:t>
            </w:r>
            <w:r w:rsidR="00750923">
              <w:rPr>
                <w:b/>
                <w:bCs/>
                <w:color w:val="000000" w:themeColor="text1"/>
                <w:szCs w:val="24"/>
              </w:rPr>
              <w:t>11</w:t>
            </w:r>
            <w:r w:rsidRPr="000A7100">
              <w:rPr>
                <w:b/>
                <w:bCs/>
                <w:color w:val="000000" w:themeColor="text1"/>
                <w:szCs w:val="24"/>
              </w:rPr>
              <w:t>/2015</w:t>
            </w:r>
          </w:p>
        </w:tc>
      </w:tr>
    </w:tbl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D1706" w:rsidP="00BB5DD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2872E8" wp14:editId="5DCCFCE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53285" cy="1243965"/>
                <wp:effectExtent l="9525" t="10160" r="8890" b="5715"/>
                <wp:wrapTight wrapText="bothSides">
                  <wp:wrapPolygon edited="0">
                    <wp:start x="-96" y="-165"/>
                    <wp:lineTo x="-96" y="21435"/>
                    <wp:lineTo x="21696" y="21435"/>
                    <wp:lineTo x="21696" y="-165"/>
                    <wp:lineTo x="-96" y="-165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B02" w:rsidRPr="00BD1706" w:rsidRDefault="00A64B02" w:rsidP="00BB5DD5">
                            <w:pPr>
                              <w:jc w:val="center"/>
                              <w:rPr>
                                <w:smallCaps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D1706">
                              <w:rPr>
                                <w:smallCaps/>
                                <w:outline/>
                                <w:noProof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22E3607" wp14:editId="21DB87C2">
                                  <wp:extent cx="1266825" cy="1143000"/>
                                  <wp:effectExtent l="19050" t="0" r="9525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169.55pt;height:97.9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">
                <v:textbox style="mso-fit-shape-to-text:t">
                  <w:txbxContent>
                    <w:p w:rsidR="00A64B02" w:rsidRPr="00BD1706" w:rsidRDefault="00A64B02" w:rsidP="00BB5DD5">
                      <w:pPr>
                        <w:jc w:val="center"/>
                        <w:rPr>
                          <w:smallCaps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D1706">
                        <w:rPr>
                          <w:smallCaps/>
                          <w:outline/>
                          <w:noProof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656B3D1" wp14:editId="273D5289">
                            <wp:extent cx="1266825" cy="1143000"/>
                            <wp:effectExtent l="19050" t="0" r="9525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321189" w:rsidRDefault="00BB5DD5" w:rsidP="00BB5DD5">
      <w:pPr>
        <w:jc w:val="both"/>
      </w:pPr>
    </w:p>
    <w:p w:rsidR="00BB5DD5" w:rsidRPr="00E37395" w:rsidRDefault="00BB5DD5" w:rsidP="00E37395">
      <w:pPr>
        <w:jc w:val="center"/>
        <w:rPr>
          <w:sz w:val="28"/>
          <w:szCs w:val="28"/>
        </w:rPr>
        <w:sectPr w:rsidR="00BB5DD5" w:rsidRPr="00E37395" w:rsidSect="00EC3158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Toc185408052"/>
      <w:r w:rsidRPr="00321189">
        <w:rPr>
          <w:sz w:val="28"/>
          <w:szCs w:val="28"/>
        </w:rPr>
        <w:t>Programové obdobie 2007 – 2013</w:t>
      </w:r>
      <w:bookmarkEnd w:id="0"/>
    </w:p>
    <w:p w:rsidR="001538A1" w:rsidRDefault="00BB5DD5" w:rsidP="00E37395">
      <w:pPr>
        <w:spacing w:before="120"/>
        <w:jc w:val="both"/>
        <w:rPr>
          <w:b/>
          <w:szCs w:val="24"/>
          <w:u w:val="single"/>
        </w:rPr>
      </w:pPr>
      <w:r w:rsidRPr="00105311">
        <w:rPr>
          <w:b/>
          <w:szCs w:val="24"/>
          <w:u w:val="single"/>
        </w:rPr>
        <w:lastRenderedPageBreak/>
        <w:t>Matica projektu</w:t>
      </w:r>
    </w:p>
    <w:p w:rsidR="00105311" w:rsidRPr="00711D3E" w:rsidRDefault="00105311" w:rsidP="00FB3D54">
      <w:pPr>
        <w:spacing w:before="120"/>
        <w:ind w:left="720"/>
        <w:jc w:val="both"/>
        <w:rPr>
          <w:b/>
          <w:szCs w:val="24"/>
          <w:u w:val="single"/>
        </w:rPr>
      </w:pPr>
    </w:p>
    <w:tbl>
      <w:tblPr>
        <w:tblW w:w="15100" w:type="dxa"/>
        <w:tblInd w:w="-4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1"/>
        <w:gridCol w:w="3260"/>
        <w:gridCol w:w="2268"/>
        <w:gridCol w:w="4111"/>
      </w:tblGrid>
      <w:tr w:rsidR="00A86503" w:rsidRPr="001538A1" w:rsidTr="00FB3D54">
        <w:trPr>
          <w:cantSplit/>
        </w:trPr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40A9" w:rsidRPr="001538A1" w:rsidRDefault="00BB5DD5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Celkový cieľ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CDE" w:rsidRPr="001538A1" w:rsidRDefault="00BB5DD5" w:rsidP="00FB3D54">
            <w:pPr>
              <w:pStyle w:val="Pta"/>
              <w:tabs>
                <w:tab w:val="left" w:pos="-70"/>
              </w:tabs>
              <w:rPr>
                <w:sz w:val="20"/>
              </w:rPr>
            </w:pPr>
            <w:r w:rsidRPr="001538A1">
              <w:rPr>
                <w:sz w:val="20"/>
              </w:rPr>
              <w:t>Objektívne overiteľn</w:t>
            </w:r>
            <w:r w:rsidR="00F65CDE" w:rsidRPr="001538A1">
              <w:rPr>
                <w:sz w:val="20"/>
              </w:rPr>
              <w:t>ý</w:t>
            </w:r>
            <w:r w:rsidRPr="001538A1">
              <w:rPr>
                <w:sz w:val="20"/>
              </w:rPr>
              <w:t xml:space="preserve"> ukazovate</w:t>
            </w:r>
            <w:r w:rsidR="00F65CDE" w:rsidRPr="001538A1">
              <w:rPr>
                <w:sz w:val="20"/>
              </w:rPr>
              <w:t>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38A1" w:rsidRPr="001538A1" w:rsidRDefault="001538A1" w:rsidP="00FB3D54">
            <w:pPr>
              <w:pStyle w:val="Pta"/>
              <w:jc w:val="center"/>
              <w:rPr>
                <w:sz w:val="20"/>
              </w:rPr>
            </w:pPr>
          </w:p>
          <w:p w:rsidR="00B3787A" w:rsidRPr="001538A1" w:rsidRDefault="00BB5DD5" w:rsidP="00FB3D54">
            <w:pPr>
              <w:pStyle w:val="Pta"/>
              <w:jc w:val="center"/>
              <w:rPr>
                <w:sz w:val="20"/>
              </w:rPr>
            </w:pPr>
            <w:r w:rsidRPr="001538A1">
              <w:rPr>
                <w:sz w:val="20"/>
              </w:rPr>
              <w:t>Zdroje overenia</w:t>
            </w:r>
          </w:p>
          <w:p w:rsidR="00C15A2A" w:rsidRPr="001538A1" w:rsidRDefault="00C15A2A" w:rsidP="00FB3D54">
            <w:pPr>
              <w:pStyle w:val="Pta"/>
              <w:jc w:val="center"/>
              <w:rPr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BB5DD5" w:rsidRPr="001538A1" w:rsidRDefault="00BB5DD5" w:rsidP="00FB3D54">
            <w:pPr>
              <w:pStyle w:val="Pta"/>
              <w:tabs>
                <w:tab w:val="left" w:pos="53"/>
              </w:tabs>
              <w:rPr>
                <w:sz w:val="20"/>
              </w:rPr>
            </w:pPr>
          </w:p>
        </w:tc>
      </w:tr>
      <w:tr w:rsidR="00A86503" w:rsidRPr="001538A1" w:rsidTr="00FB3D54">
        <w:trPr>
          <w:cantSplit/>
          <w:trHeight w:val="866"/>
        </w:trPr>
        <w:tc>
          <w:tcPr>
            <w:tcW w:w="54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6CD7" w:rsidRPr="00FB3D54" w:rsidRDefault="00FB3D54" w:rsidP="00FB3D54">
            <w:pPr>
              <w:pStyle w:val="Nadpis3"/>
              <w:numPr>
                <w:ilvl w:val="0"/>
                <w:numId w:val="0"/>
              </w:numPr>
              <w:spacing w:before="0" w:after="0"/>
              <w:ind w:left="3"/>
              <w:outlineLvl w:val="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lang w:val="sk-SK"/>
              </w:rPr>
              <w:t>z</w:t>
            </w:r>
            <w:r w:rsidR="00675C52" w:rsidRPr="001538A1">
              <w:rPr>
                <w:rFonts w:ascii="Times New Roman" w:hAnsi="Times New Roman"/>
                <w:b w:val="0"/>
                <w:color w:val="000000" w:themeColor="text1"/>
                <w:lang w:val="sk-SK"/>
              </w:rPr>
              <w:t>výšiť zamestnateľnosť uchádzačov o zamestnanie (</w:t>
            </w:r>
            <w:proofErr w:type="spellStart"/>
            <w:r w:rsidR="00675C52" w:rsidRPr="001538A1">
              <w:rPr>
                <w:rFonts w:ascii="Times New Roman" w:hAnsi="Times New Roman"/>
                <w:b w:val="0"/>
                <w:color w:val="000000" w:themeColor="text1"/>
                <w:lang w:val="sk-SK"/>
              </w:rPr>
              <w:t>UoZ</w:t>
            </w:r>
            <w:proofErr w:type="spellEnd"/>
            <w:r w:rsidR="00675C52" w:rsidRPr="001538A1">
              <w:rPr>
                <w:rFonts w:ascii="Times New Roman" w:hAnsi="Times New Roman"/>
                <w:b w:val="0"/>
                <w:color w:val="000000" w:themeColor="text1"/>
                <w:lang w:val="sk-SK"/>
              </w:rPr>
              <w:t>) a znevýhodnených uchádzačov o zamestnanie (</w:t>
            </w:r>
            <w:proofErr w:type="spellStart"/>
            <w:r w:rsidR="00675C52" w:rsidRPr="001538A1">
              <w:rPr>
                <w:rFonts w:ascii="Times New Roman" w:hAnsi="Times New Roman"/>
                <w:b w:val="0"/>
                <w:color w:val="000000" w:themeColor="text1"/>
                <w:lang w:val="sk-SK"/>
              </w:rPr>
              <w:t>ZUoZ</w:t>
            </w:r>
            <w:proofErr w:type="spellEnd"/>
            <w:r w:rsidR="00675C52" w:rsidRPr="001538A1">
              <w:rPr>
                <w:rFonts w:ascii="Times New Roman" w:hAnsi="Times New Roman"/>
                <w:b w:val="0"/>
                <w:color w:val="000000" w:themeColor="text1"/>
                <w:lang w:val="sk-SK"/>
              </w:rPr>
              <w:t>) na trhu práce formou získavania špecifických zručností v oblasti obnovy kultúrnej pamiatky,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3D77" w:rsidRPr="001538A1" w:rsidRDefault="00E83E09" w:rsidP="00FB3D54">
            <w:pPr>
              <w:tabs>
                <w:tab w:val="left" w:pos="-70"/>
              </w:tabs>
              <w:rPr>
                <w:color w:val="000000" w:themeColor="text1"/>
                <w:sz w:val="20"/>
              </w:rPr>
            </w:pPr>
            <w:r w:rsidRPr="001538A1">
              <w:rPr>
                <w:color w:val="000000" w:themeColor="text1"/>
                <w:sz w:val="20"/>
              </w:rPr>
              <w:t>P</w:t>
            </w:r>
            <w:r w:rsidR="007210E0" w:rsidRPr="001538A1">
              <w:rPr>
                <w:color w:val="000000" w:themeColor="text1"/>
                <w:sz w:val="20"/>
              </w:rPr>
              <w:t xml:space="preserve">očet osôb cieľovej skupiny zapojených do projektu  </w:t>
            </w:r>
            <w:r w:rsidR="00E45D96" w:rsidRPr="001538A1">
              <w:rPr>
                <w:color w:val="000000" w:themeColor="text1"/>
                <w:sz w:val="20"/>
              </w:rPr>
              <w:t>- spolu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1A27" w:rsidRPr="001538A1" w:rsidRDefault="00675C52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záverečná</w:t>
            </w:r>
            <w:r w:rsidR="00CA3D77" w:rsidRPr="001538A1">
              <w:rPr>
                <w:sz w:val="20"/>
              </w:rPr>
              <w:t xml:space="preserve"> monitorovacia správa</w:t>
            </w:r>
            <w:r w:rsidR="00BF608D" w:rsidRPr="001538A1">
              <w:rPr>
                <w:sz w:val="20"/>
              </w:rPr>
              <w:t>,</w:t>
            </w:r>
          </w:p>
          <w:p w:rsidR="00CA3D77" w:rsidRPr="001538A1" w:rsidRDefault="00BF608D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v</w:t>
            </w:r>
            <w:r w:rsidR="00CA3D77" w:rsidRPr="001538A1">
              <w:rPr>
                <w:sz w:val="20"/>
              </w:rPr>
              <w:t>ýstupy ITMS</w:t>
            </w:r>
            <w:r w:rsidR="006C3F5E" w:rsidRPr="001538A1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CA3D77" w:rsidRPr="001538A1" w:rsidRDefault="00CA3D77" w:rsidP="00FB3D54">
            <w:pPr>
              <w:tabs>
                <w:tab w:val="left" w:pos="53"/>
              </w:tabs>
              <w:rPr>
                <w:sz w:val="20"/>
              </w:rPr>
            </w:pPr>
          </w:p>
        </w:tc>
      </w:tr>
      <w:tr w:rsidR="00A86503" w:rsidRPr="001538A1" w:rsidTr="00FB3D54">
        <w:trPr>
          <w:cantSplit/>
          <w:trHeight w:val="363"/>
        </w:trPr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40A9" w:rsidRPr="001538A1" w:rsidRDefault="00BB5DD5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Špecifick</w:t>
            </w:r>
            <w:r w:rsidR="00F65CDE" w:rsidRPr="001538A1">
              <w:rPr>
                <w:sz w:val="20"/>
              </w:rPr>
              <w:t>ý</w:t>
            </w:r>
            <w:r w:rsidRPr="001538A1">
              <w:rPr>
                <w:sz w:val="20"/>
              </w:rPr>
              <w:t xml:space="preserve"> cie</w:t>
            </w:r>
            <w:r w:rsidR="00F65CDE" w:rsidRPr="001538A1">
              <w:rPr>
                <w:sz w:val="20"/>
              </w:rPr>
              <w:t>ľ resp. ciele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40A9" w:rsidRPr="001538A1" w:rsidRDefault="007210E0" w:rsidP="00C217A1">
            <w:pPr>
              <w:pStyle w:val="Nadpis4"/>
              <w:tabs>
                <w:tab w:val="left" w:pos="-70"/>
              </w:tabs>
              <w:spacing w:before="0" w:after="0"/>
            </w:pPr>
            <w:r w:rsidRPr="001538A1">
              <w:rPr>
                <w:b w:val="0"/>
                <w:bCs w:val="0"/>
                <w:sz w:val="20"/>
              </w:rPr>
              <w:t>Objektívne overiteľné ukazovatele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15A2A" w:rsidRPr="001538A1" w:rsidRDefault="00BB5DD5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Zdroje overenia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024FA" w:rsidRPr="001538A1" w:rsidRDefault="00BB5DD5" w:rsidP="00FB3D54">
            <w:pPr>
              <w:tabs>
                <w:tab w:val="left" w:pos="53"/>
              </w:tabs>
              <w:rPr>
                <w:sz w:val="20"/>
              </w:rPr>
            </w:pPr>
            <w:r w:rsidRPr="001538A1">
              <w:rPr>
                <w:sz w:val="20"/>
              </w:rPr>
              <w:t>Predpoklady</w:t>
            </w:r>
          </w:p>
        </w:tc>
      </w:tr>
      <w:tr w:rsidR="00A86503" w:rsidRPr="001538A1" w:rsidTr="00FB3D54">
        <w:trPr>
          <w:cantSplit/>
          <w:trHeight w:val="1758"/>
        </w:trPr>
        <w:tc>
          <w:tcPr>
            <w:tcW w:w="5461" w:type="dxa"/>
            <w:tcBorders>
              <w:left w:val="single" w:sz="6" w:space="0" w:color="auto"/>
              <w:right w:val="single" w:sz="6" w:space="0" w:color="auto"/>
            </w:tcBorders>
          </w:tcPr>
          <w:p w:rsidR="006C3F5E" w:rsidRPr="001538A1" w:rsidRDefault="006C3F5E" w:rsidP="00FB3D54">
            <w:pPr>
              <w:rPr>
                <w:sz w:val="20"/>
                <w:szCs w:val="22"/>
              </w:rPr>
            </w:pPr>
          </w:p>
          <w:p w:rsidR="005701D9" w:rsidRDefault="005701D9" w:rsidP="005701D9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701D9">
              <w:rPr>
                <w:sz w:val="20"/>
              </w:rPr>
              <w:t>vytvoriť krátkodobé pracovné</w:t>
            </w:r>
            <w:r w:rsidR="00E665F0">
              <w:rPr>
                <w:sz w:val="20"/>
              </w:rPr>
              <w:t xml:space="preserve"> miesta pre nezamestnaných </w:t>
            </w:r>
            <w:r w:rsidRPr="005701D9">
              <w:rPr>
                <w:sz w:val="20"/>
              </w:rPr>
              <w:t>v širšej oblasti obnovy kultúrneho dedičstva,</w:t>
            </w:r>
          </w:p>
          <w:p w:rsidR="005701D9" w:rsidRDefault="005701D9" w:rsidP="005701D9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701D9">
              <w:rPr>
                <w:sz w:val="20"/>
              </w:rPr>
              <w:t xml:space="preserve">vytvoriť užšiu spoluprácu medzi miestnymi úradmi PSVR a obcami/zamestnávateľskými subjektmi  pri vytváraní spoločných projektov s cieľom vytvárania nových pracovných príležitostí a posilnenia </w:t>
            </w:r>
            <w:proofErr w:type="spellStart"/>
            <w:r w:rsidRPr="005701D9">
              <w:rPr>
                <w:sz w:val="20"/>
              </w:rPr>
              <w:t>sociálno</w:t>
            </w:r>
            <w:proofErr w:type="spellEnd"/>
            <w:r w:rsidRPr="005701D9">
              <w:rPr>
                <w:sz w:val="20"/>
              </w:rPr>
              <w:t xml:space="preserve"> –  e</w:t>
            </w:r>
            <w:r>
              <w:rPr>
                <w:sz w:val="20"/>
              </w:rPr>
              <w:t>konomickej súdržnosti v regióne,</w:t>
            </w:r>
          </w:p>
          <w:p w:rsidR="005701D9" w:rsidRDefault="005701D9" w:rsidP="00FB3D54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701D9">
              <w:rPr>
                <w:sz w:val="20"/>
              </w:rPr>
              <w:t xml:space="preserve">zvýšiť uplatnenie </w:t>
            </w:r>
            <w:proofErr w:type="spellStart"/>
            <w:r w:rsidRPr="005701D9">
              <w:rPr>
                <w:sz w:val="20"/>
              </w:rPr>
              <w:t>UoZ</w:t>
            </w:r>
            <w:proofErr w:type="spellEnd"/>
            <w:r w:rsidRPr="005701D9">
              <w:rPr>
                <w:sz w:val="20"/>
              </w:rPr>
              <w:t xml:space="preserve"> a </w:t>
            </w:r>
            <w:proofErr w:type="spellStart"/>
            <w:r w:rsidR="00113F67">
              <w:rPr>
                <w:sz w:val="20"/>
              </w:rPr>
              <w:t>Z</w:t>
            </w:r>
            <w:r w:rsidRPr="005701D9">
              <w:rPr>
                <w:sz w:val="20"/>
              </w:rPr>
              <w:t>UoZ</w:t>
            </w:r>
            <w:proofErr w:type="spellEnd"/>
            <w:r w:rsidRPr="005701D9">
              <w:rPr>
                <w:sz w:val="20"/>
              </w:rPr>
              <w:t xml:space="preserve"> na TP formou získavania špecifických zručností </w:t>
            </w:r>
            <w:proofErr w:type="spellStart"/>
            <w:r w:rsidRPr="005701D9">
              <w:rPr>
                <w:sz w:val="20"/>
              </w:rPr>
              <w:t>UoZ</w:t>
            </w:r>
            <w:proofErr w:type="spellEnd"/>
            <w:r w:rsidRPr="005701D9">
              <w:rPr>
                <w:sz w:val="20"/>
              </w:rPr>
              <w:t xml:space="preserve"> a </w:t>
            </w:r>
            <w:proofErr w:type="spellStart"/>
            <w:r w:rsidR="00113F67">
              <w:rPr>
                <w:sz w:val="20"/>
              </w:rPr>
              <w:t>Z</w:t>
            </w:r>
            <w:r w:rsidRPr="005701D9">
              <w:rPr>
                <w:sz w:val="20"/>
              </w:rPr>
              <w:t>UoZ</w:t>
            </w:r>
            <w:proofErr w:type="spellEnd"/>
            <w:r w:rsidRPr="005701D9">
              <w:rPr>
                <w:sz w:val="20"/>
              </w:rPr>
              <w:t xml:space="preserve"> z ob</w:t>
            </w:r>
            <w:r>
              <w:rPr>
                <w:sz w:val="20"/>
              </w:rPr>
              <w:t>lasti obnovy kultúrnej pamiatky,</w:t>
            </w:r>
          </w:p>
          <w:p w:rsidR="00AC0047" w:rsidRPr="001538A1" w:rsidRDefault="005701D9" w:rsidP="00FB3D54">
            <w:r>
              <w:rPr>
                <w:sz w:val="20"/>
              </w:rPr>
              <w:t>- oživiť cestovný</w:t>
            </w:r>
            <w:r w:rsidR="005A29AA">
              <w:rPr>
                <w:sz w:val="20"/>
              </w:rPr>
              <w:t xml:space="preserve"> ruch</w:t>
            </w:r>
            <w:r w:rsidRPr="005701D9">
              <w:rPr>
                <w:sz w:val="20"/>
              </w:rPr>
              <w:t xml:space="preserve">  a</w:t>
            </w:r>
            <w:r w:rsidR="005A29AA">
              <w:rPr>
                <w:sz w:val="20"/>
              </w:rPr>
              <w:t> </w:t>
            </w:r>
            <w:proofErr w:type="spellStart"/>
            <w:r w:rsidRPr="005701D9">
              <w:rPr>
                <w:sz w:val="20"/>
              </w:rPr>
              <w:t>multiplikačné</w:t>
            </w:r>
            <w:proofErr w:type="spellEnd"/>
            <w:r w:rsidRPr="005701D9">
              <w:rPr>
                <w:sz w:val="20"/>
              </w:rPr>
              <w:t xml:space="preserve"> efekty na rozvoj služieb.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6C3F5E" w:rsidRPr="001538A1" w:rsidRDefault="006C3F5E" w:rsidP="00C217A1">
            <w:pPr>
              <w:rPr>
                <w:sz w:val="20"/>
              </w:rPr>
            </w:pPr>
          </w:p>
          <w:p w:rsidR="0096510B" w:rsidRPr="001538A1" w:rsidRDefault="0096510B" w:rsidP="00990D61">
            <w:pPr>
              <w:rPr>
                <w:sz w:val="20"/>
              </w:rPr>
            </w:pPr>
            <w:r w:rsidRPr="001538A1">
              <w:rPr>
                <w:sz w:val="20"/>
              </w:rPr>
              <w:t xml:space="preserve">Počet úspešne umiestnených </w:t>
            </w:r>
            <w:proofErr w:type="spellStart"/>
            <w:r w:rsidRPr="001538A1">
              <w:rPr>
                <w:sz w:val="20"/>
              </w:rPr>
              <w:t>UoZ</w:t>
            </w:r>
            <w:proofErr w:type="spellEnd"/>
            <w:r w:rsidRPr="001538A1">
              <w:rPr>
                <w:sz w:val="20"/>
              </w:rPr>
              <w:t xml:space="preserve"> -  muži </w:t>
            </w:r>
          </w:p>
          <w:p w:rsidR="00B3787A" w:rsidRPr="001538A1" w:rsidRDefault="0096510B" w:rsidP="00FB3D5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538A1">
              <w:rPr>
                <w:sz w:val="20"/>
              </w:rPr>
              <w:t xml:space="preserve">Počet úspešne umiestnených </w:t>
            </w:r>
            <w:proofErr w:type="spellStart"/>
            <w:r w:rsidRPr="001538A1">
              <w:rPr>
                <w:sz w:val="20"/>
              </w:rPr>
              <w:t>UoZ</w:t>
            </w:r>
            <w:proofErr w:type="spellEnd"/>
            <w:r w:rsidRPr="001538A1">
              <w:rPr>
                <w:sz w:val="20"/>
              </w:rPr>
              <w:t xml:space="preserve"> -  ženy</w:t>
            </w:r>
            <w:r w:rsidRPr="001538A1" w:rsidDel="006C3F5E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83E09" w:rsidRPr="001538A1" w:rsidRDefault="00E83E09" w:rsidP="00FB3D54">
            <w:pPr>
              <w:rPr>
                <w:sz w:val="20"/>
              </w:rPr>
            </w:pPr>
          </w:p>
          <w:p w:rsidR="008A1A27" w:rsidRPr="001538A1" w:rsidRDefault="006C3F5E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s</w:t>
            </w:r>
            <w:r w:rsidR="00B3787A" w:rsidRPr="001538A1">
              <w:rPr>
                <w:sz w:val="20"/>
              </w:rPr>
              <w:t>právy z vykonanej kontroly</w:t>
            </w:r>
            <w:r w:rsidRPr="001538A1">
              <w:rPr>
                <w:sz w:val="20"/>
              </w:rPr>
              <w:t>,</w:t>
            </w:r>
          </w:p>
          <w:p w:rsidR="00A64B02" w:rsidRDefault="00675C52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následná</w:t>
            </w:r>
            <w:r w:rsidR="00B3787A" w:rsidRPr="001538A1">
              <w:rPr>
                <w:sz w:val="20"/>
              </w:rPr>
              <w:t xml:space="preserve"> monitorovacia správa po ukončení realizácie aktivít projektu</w:t>
            </w:r>
            <w:r w:rsidR="00A64B02">
              <w:rPr>
                <w:sz w:val="20"/>
              </w:rPr>
              <w:t>,</w:t>
            </w:r>
          </w:p>
          <w:p w:rsidR="00961293" w:rsidRPr="001538A1" w:rsidRDefault="00A64B02" w:rsidP="00FB3D54">
            <w:pPr>
              <w:rPr>
                <w:sz w:val="20"/>
              </w:rPr>
            </w:pPr>
            <w:r>
              <w:rPr>
                <w:sz w:val="20"/>
              </w:rPr>
              <w:t>záverečná monitorovacia správa</w:t>
            </w:r>
            <w:r w:rsidR="006C3F5E" w:rsidRPr="001538A1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E83E09" w:rsidRPr="001538A1" w:rsidRDefault="00E83E09" w:rsidP="00FB3D54">
            <w:pPr>
              <w:rPr>
                <w:sz w:val="20"/>
              </w:rPr>
            </w:pPr>
          </w:p>
          <w:p w:rsidR="00B3787A" w:rsidRPr="001538A1" w:rsidRDefault="0096510B" w:rsidP="00FB3D54">
            <w:r w:rsidRPr="001538A1">
              <w:rPr>
                <w:sz w:val="20"/>
              </w:rPr>
              <w:t xml:space="preserve">- </w:t>
            </w:r>
            <w:r w:rsidR="006C3F5E" w:rsidRPr="00FB3D54">
              <w:rPr>
                <w:sz w:val="20"/>
              </w:rPr>
              <w:t>l</w:t>
            </w:r>
            <w:r w:rsidR="00B3787A" w:rsidRPr="00FB3D54">
              <w:rPr>
                <w:sz w:val="20"/>
              </w:rPr>
              <w:t xml:space="preserve">egislatívne prostredie </w:t>
            </w:r>
            <w:r w:rsidR="00675C52" w:rsidRPr="001538A1">
              <w:rPr>
                <w:sz w:val="20"/>
              </w:rPr>
              <w:t xml:space="preserve">podporujúce zvýšenie </w:t>
            </w:r>
            <w:proofErr w:type="spellStart"/>
            <w:r w:rsidR="00675C52" w:rsidRPr="001538A1">
              <w:rPr>
                <w:sz w:val="20"/>
              </w:rPr>
              <w:t>zamestnateľnosti</w:t>
            </w:r>
            <w:proofErr w:type="spellEnd"/>
            <w:r w:rsidR="00675C52" w:rsidRPr="001538A1">
              <w:rPr>
                <w:sz w:val="20"/>
              </w:rPr>
              <w:t xml:space="preserve"> </w:t>
            </w:r>
            <w:proofErr w:type="spellStart"/>
            <w:r w:rsidR="00675C52" w:rsidRPr="001538A1">
              <w:rPr>
                <w:sz w:val="20"/>
              </w:rPr>
              <w:t>Uoz</w:t>
            </w:r>
            <w:proofErr w:type="spellEnd"/>
            <w:r w:rsidR="00675C52" w:rsidRPr="001538A1">
              <w:rPr>
                <w:sz w:val="20"/>
              </w:rPr>
              <w:t xml:space="preserve"> a </w:t>
            </w:r>
            <w:proofErr w:type="spellStart"/>
            <w:r w:rsidR="00675C52" w:rsidRPr="001538A1">
              <w:rPr>
                <w:sz w:val="20"/>
              </w:rPr>
              <w:t>ZUoZ</w:t>
            </w:r>
            <w:proofErr w:type="spellEnd"/>
          </w:p>
        </w:tc>
      </w:tr>
      <w:tr w:rsidR="00A86503" w:rsidRPr="001538A1" w:rsidTr="00FB3D54">
        <w:trPr>
          <w:cantSplit/>
          <w:trHeight w:val="340"/>
        </w:trPr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5DD5" w:rsidRPr="001538A1" w:rsidRDefault="00BB5DD5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Výsledky projektu</w:t>
            </w:r>
            <w:r w:rsidR="006203DF" w:rsidRPr="001538A1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0047" w:rsidRPr="001538A1" w:rsidRDefault="00BB5DD5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Objektívne overiteľné ukazovatele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5DD5" w:rsidRPr="001538A1" w:rsidRDefault="00BB5DD5" w:rsidP="00FB3D54">
            <w:pPr>
              <w:rPr>
                <w:sz w:val="20"/>
              </w:rPr>
            </w:pPr>
            <w:r w:rsidRPr="001538A1">
              <w:rPr>
                <w:sz w:val="20"/>
              </w:rPr>
              <w:t>Zdroje overenia</w:t>
            </w:r>
          </w:p>
          <w:p w:rsidR="00C15A2A" w:rsidRPr="001538A1" w:rsidRDefault="00C15A2A" w:rsidP="00FB3D54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5DD5" w:rsidRPr="001538A1" w:rsidRDefault="00BB5DD5" w:rsidP="00FB3D54">
            <w:pPr>
              <w:tabs>
                <w:tab w:val="left" w:pos="53"/>
              </w:tabs>
              <w:rPr>
                <w:sz w:val="20"/>
              </w:rPr>
            </w:pPr>
            <w:r w:rsidRPr="001538A1">
              <w:rPr>
                <w:sz w:val="20"/>
              </w:rPr>
              <w:t>Predpoklady</w:t>
            </w:r>
          </w:p>
          <w:p w:rsidR="002024FA" w:rsidRPr="001538A1" w:rsidRDefault="002024FA" w:rsidP="00FB3D54">
            <w:pPr>
              <w:tabs>
                <w:tab w:val="left" w:pos="53"/>
              </w:tabs>
              <w:rPr>
                <w:sz w:val="20"/>
              </w:rPr>
            </w:pPr>
          </w:p>
        </w:tc>
      </w:tr>
      <w:tr w:rsidR="0008396C" w:rsidRPr="001538A1" w:rsidTr="00FB3D54">
        <w:trPr>
          <w:cantSplit/>
          <w:trHeight w:val="2383"/>
        </w:trPr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52" w:rsidRPr="001538A1" w:rsidRDefault="006C3F5E" w:rsidP="00675C52">
            <w:pPr>
              <w:rPr>
                <w:sz w:val="20"/>
              </w:rPr>
            </w:pPr>
            <w:r w:rsidRPr="001538A1">
              <w:rPr>
                <w:sz w:val="20"/>
              </w:rPr>
              <w:t xml:space="preserve">- </w:t>
            </w:r>
            <w:r w:rsidR="00675C52" w:rsidRPr="001538A1">
              <w:rPr>
                <w:sz w:val="20"/>
              </w:rPr>
              <w:t xml:space="preserve">dočasné umiestnenie </w:t>
            </w:r>
            <w:proofErr w:type="spellStart"/>
            <w:r w:rsidR="00675C52" w:rsidRPr="001538A1">
              <w:rPr>
                <w:sz w:val="20"/>
              </w:rPr>
              <w:t>UoZ</w:t>
            </w:r>
            <w:proofErr w:type="spellEnd"/>
            <w:r w:rsidR="00675C52" w:rsidRPr="001538A1">
              <w:rPr>
                <w:sz w:val="20"/>
              </w:rPr>
              <w:t xml:space="preserve"> a </w:t>
            </w:r>
            <w:proofErr w:type="spellStart"/>
            <w:r w:rsidR="00675C52" w:rsidRPr="001538A1">
              <w:rPr>
                <w:sz w:val="20"/>
              </w:rPr>
              <w:t>ZUoZ</w:t>
            </w:r>
            <w:proofErr w:type="spellEnd"/>
            <w:r w:rsidR="00675C52" w:rsidRPr="001538A1">
              <w:rPr>
                <w:sz w:val="20"/>
              </w:rPr>
              <w:t xml:space="preserve"> na trhu práce,</w:t>
            </w:r>
          </w:p>
          <w:p w:rsidR="00675C52" w:rsidRPr="001538A1" w:rsidRDefault="00675C52" w:rsidP="00675C52">
            <w:pPr>
              <w:rPr>
                <w:sz w:val="20"/>
              </w:rPr>
            </w:pPr>
            <w:r w:rsidRPr="001538A1">
              <w:rPr>
                <w:sz w:val="20"/>
              </w:rPr>
              <w:t xml:space="preserve">- osvojenie pracovných návykov </w:t>
            </w:r>
            <w:proofErr w:type="spellStart"/>
            <w:r w:rsidRPr="001538A1">
              <w:rPr>
                <w:sz w:val="20"/>
              </w:rPr>
              <w:t>UoZ</w:t>
            </w:r>
            <w:proofErr w:type="spellEnd"/>
            <w:r w:rsidRPr="001538A1">
              <w:rPr>
                <w:sz w:val="20"/>
              </w:rPr>
              <w:t xml:space="preserve"> a </w:t>
            </w:r>
            <w:proofErr w:type="spellStart"/>
            <w:r w:rsidRPr="001538A1">
              <w:rPr>
                <w:sz w:val="20"/>
              </w:rPr>
              <w:t>ZUoZ</w:t>
            </w:r>
            <w:proofErr w:type="spellEnd"/>
            <w:r w:rsidRPr="001538A1">
              <w:rPr>
                <w:sz w:val="20"/>
              </w:rPr>
              <w:t>,</w:t>
            </w:r>
          </w:p>
          <w:p w:rsidR="0008396C" w:rsidRDefault="00675C52" w:rsidP="00FB3D54">
            <w:pPr>
              <w:rPr>
                <w:sz w:val="20"/>
              </w:rPr>
            </w:pPr>
            <w:r w:rsidRPr="00A664A2">
              <w:rPr>
                <w:sz w:val="20"/>
              </w:rPr>
              <w:t xml:space="preserve">- osvojenie si špeciálnych zručností, (ovládanie historických murárskych techník, kamenárskych prác, tesárskych prác a pod.), ktoré zvýšia ich zamestnateľnosť, </w:t>
            </w:r>
          </w:p>
          <w:p w:rsidR="00381380" w:rsidRPr="001538A1" w:rsidRDefault="005701D9" w:rsidP="00FB3D54">
            <w:pPr>
              <w:rPr>
                <w:sz w:val="20"/>
              </w:rPr>
            </w:pPr>
            <w:r>
              <w:rPr>
                <w:sz w:val="20"/>
              </w:rPr>
              <w:t>- oživený cestovný ruch</w:t>
            </w:r>
            <w:r w:rsidR="00381380" w:rsidRPr="00381380">
              <w:rPr>
                <w:sz w:val="20"/>
              </w:rPr>
              <w:t xml:space="preserve">  a </w:t>
            </w:r>
            <w:proofErr w:type="spellStart"/>
            <w:r w:rsidR="00381380" w:rsidRPr="00381380">
              <w:rPr>
                <w:sz w:val="20"/>
              </w:rPr>
              <w:t>multiplikačné</w:t>
            </w:r>
            <w:proofErr w:type="spellEnd"/>
            <w:r w:rsidR="00381380" w:rsidRPr="00381380">
              <w:rPr>
                <w:sz w:val="20"/>
              </w:rPr>
              <w:t xml:space="preserve"> efekty na rozvoj služieb.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0B" w:rsidRPr="001538A1" w:rsidRDefault="0096510B" w:rsidP="00FB3D54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 xml:space="preserve">Počet osôb cieľovej skupiny zapojených do podporených projektov – spolu </w:t>
            </w:r>
          </w:p>
          <w:p w:rsidR="0096510B" w:rsidRPr="001538A1" w:rsidRDefault="0096510B" w:rsidP="00FB3D54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 xml:space="preserve">Počet osôb cieľovej skupiny zapojených do podporených projektov – muži </w:t>
            </w:r>
          </w:p>
          <w:p w:rsidR="0096510B" w:rsidRPr="001538A1" w:rsidRDefault="0096510B" w:rsidP="00FB3D54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 xml:space="preserve">Počet osôb cieľovej skupiny zapojených do podporených projektov –ženy </w:t>
            </w:r>
          </w:p>
          <w:p w:rsidR="0008396C" w:rsidRDefault="009651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538A1">
              <w:rPr>
                <w:sz w:val="20"/>
              </w:rPr>
              <w:t xml:space="preserve">Počet úspešne umiestnených </w:t>
            </w:r>
            <w:proofErr w:type="spellStart"/>
            <w:r w:rsidRPr="001538A1">
              <w:rPr>
                <w:sz w:val="20"/>
              </w:rPr>
              <w:t>UoZ</w:t>
            </w:r>
            <w:proofErr w:type="spellEnd"/>
          </w:p>
          <w:p w:rsidR="00E37395" w:rsidRDefault="00E3739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37395" w:rsidRDefault="00E3739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37395" w:rsidRDefault="00E3739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37395" w:rsidRDefault="00E37395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37395" w:rsidRPr="001538A1" w:rsidRDefault="00E373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6C" w:rsidRPr="001538A1" w:rsidRDefault="00E83E09" w:rsidP="00FB3D54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>p</w:t>
            </w:r>
            <w:r w:rsidR="0008396C" w:rsidRPr="001538A1">
              <w:rPr>
                <w:sz w:val="20"/>
              </w:rPr>
              <w:t>riebežná monitorovacia správa</w:t>
            </w:r>
            <w:r w:rsidRPr="001538A1">
              <w:rPr>
                <w:sz w:val="20"/>
              </w:rPr>
              <w:t>,</w:t>
            </w:r>
          </w:p>
          <w:p w:rsidR="0008396C" w:rsidRPr="001538A1" w:rsidRDefault="00E83E09" w:rsidP="00FB3D54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>v</w:t>
            </w:r>
            <w:r w:rsidR="0008396C" w:rsidRPr="001538A1">
              <w:rPr>
                <w:sz w:val="20"/>
              </w:rPr>
              <w:t>ýstupy ITMS</w:t>
            </w:r>
            <w:r w:rsidRPr="001538A1">
              <w:rPr>
                <w:sz w:val="20"/>
              </w:rPr>
              <w:t>,</w:t>
            </w:r>
          </w:p>
          <w:p w:rsidR="0008396C" w:rsidRPr="001538A1" w:rsidRDefault="00E83E09" w:rsidP="00FB3D54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>s</w:t>
            </w:r>
            <w:r w:rsidR="0008396C" w:rsidRPr="001538A1">
              <w:rPr>
                <w:sz w:val="20"/>
              </w:rPr>
              <w:t>právy z vykonanej kontroly</w:t>
            </w:r>
            <w:r w:rsidRPr="001538A1">
              <w:rPr>
                <w:sz w:val="20"/>
              </w:rPr>
              <w:t>,</w:t>
            </w:r>
          </w:p>
          <w:p w:rsidR="0008396C" w:rsidRPr="001538A1" w:rsidRDefault="00E83E09" w:rsidP="00FB3D54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>z</w:t>
            </w:r>
            <w:r w:rsidR="0008396C" w:rsidRPr="001538A1">
              <w:rPr>
                <w:sz w:val="20"/>
              </w:rPr>
              <w:t>áverečná monitorovacia správa po ukončení realizácie aktivít projektu</w:t>
            </w:r>
            <w:r w:rsidRPr="001538A1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09" w:rsidRPr="001538A1" w:rsidRDefault="00E83E09" w:rsidP="00FB3D54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 xml:space="preserve">- </w:t>
            </w:r>
            <w:r w:rsidR="0008396C" w:rsidRPr="001538A1">
              <w:rPr>
                <w:sz w:val="20"/>
              </w:rPr>
              <w:t xml:space="preserve">spolupráca úradov </w:t>
            </w:r>
            <w:r w:rsidR="00E665F0">
              <w:rPr>
                <w:sz w:val="20"/>
              </w:rPr>
              <w:t xml:space="preserve">PSVR </w:t>
            </w:r>
            <w:r w:rsidR="0008396C" w:rsidRPr="001538A1">
              <w:rPr>
                <w:sz w:val="20"/>
              </w:rPr>
              <w:t>so zamestnávateľskými subjektmi, ktoré budú realizovať projekty na obnovu kultúrnych pamiatok</w:t>
            </w:r>
            <w:r w:rsidRPr="001538A1">
              <w:rPr>
                <w:sz w:val="20"/>
              </w:rPr>
              <w:t>,</w:t>
            </w:r>
          </w:p>
          <w:p w:rsidR="0008396C" w:rsidRPr="001538A1" w:rsidRDefault="00E83E09" w:rsidP="00FB3D54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 xml:space="preserve">- </w:t>
            </w:r>
            <w:r w:rsidR="0008396C" w:rsidRPr="001538A1">
              <w:rPr>
                <w:sz w:val="20"/>
              </w:rPr>
              <w:t xml:space="preserve">zrealizované výberové konania </w:t>
            </w:r>
            <w:proofErr w:type="spellStart"/>
            <w:r w:rsidR="0008396C" w:rsidRPr="001538A1">
              <w:rPr>
                <w:sz w:val="20"/>
              </w:rPr>
              <w:t>UoZ</w:t>
            </w:r>
            <w:proofErr w:type="spellEnd"/>
            <w:r w:rsidR="0008396C" w:rsidRPr="001538A1">
              <w:rPr>
                <w:sz w:val="20"/>
              </w:rPr>
              <w:t xml:space="preserve"> a </w:t>
            </w:r>
            <w:proofErr w:type="spellStart"/>
            <w:r w:rsidR="0096510B" w:rsidRPr="001538A1">
              <w:rPr>
                <w:sz w:val="20"/>
              </w:rPr>
              <w:t>Z</w:t>
            </w:r>
            <w:r w:rsidR="0008396C" w:rsidRPr="001538A1">
              <w:rPr>
                <w:sz w:val="20"/>
              </w:rPr>
              <w:t>UoZ</w:t>
            </w:r>
            <w:proofErr w:type="spellEnd"/>
            <w:r w:rsidR="0008396C" w:rsidRPr="001538A1">
              <w:rPr>
                <w:sz w:val="20"/>
              </w:rPr>
              <w:t xml:space="preserve"> pre zamestnávateľské subjekty, ktoré budú realizovať projekty na obnovu kultúrnych pamiatok</w:t>
            </w:r>
            <w:r w:rsidRPr="001538A1">
              <w:rPr>
                <w:sz w:val="20"/>
              </w:rPr>
              <w:t>.</w:t>
            </w:r>
          </w:p>
        </w:tc>
      </w:tr>
      <w:tr w:rsidR="00A86503" w:rsidRPr="001538A1" w:rsidTr="00FB3D54">
        <w:trPr>
          <w:cantSplit/>
          <w:trHeight w:val="265"/>
        </w:trPr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5DD5" w:rsidRPr="001538A1" w:rsidRDefault="00BB5DD5" w:rsidP="00C217A1">
            <w:pPr>
              <w:rPr>
                <w:sz w:val="20"/>
              </w:rPr>
            </w:pPr>
            <w:r w:rsidRPr="001538A1">
              <w:rPr>
                <w:sz w:val="20"/>
              </w:rPr>
              <w:lastRenderedPageBreak/>
              <w:t>Aktivity</w:t>
            </w:r>
            <w:r w:rsidR="00C15A2A" w:rsidRPr="001538A1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15A2A" w:rsidRPr="001538A1" w:rsidRDefault="00BB5DD5" w:rsidP="00FB3D54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>Prostriedky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024FA" w:rsidRPr="001538A1" w:rsidRDefault="00BB5DD5" w:rsidP="00FB3D54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>Náklady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024FA" w:rsidRPr="002A7E3B" w:rsidRDefault="00BB5DD5" w:rsidP="00FB3D54">
            <w:pPr>
              <w:pStyle w:val="Nadpis4"/>
              <w:spacing w:before="0" w:after="0"/>
              <w:rPr>
                <w:b w:val="0"/>
              </w:rPr>
            </w:pPr>
            <w:r w:rsidRPr="002A7E3B">
              <w:rPr>
                <w:b w:val="0"/>
                <w:sz w:val="20"/>
              </w:rPr>
              <w:t>Predpoklady</w:t>
            </w:r>
          </w:p>
        </w:tc>
      </w:tr>
      <w:tr w:rsidR="00E83E09" w:rsidRPr="001538A1" w:rsidTr="00FB3D54">
        <w:trPr>
          <w:cantSplit/>
          <w:trHeight w:val="660"/>
        </w:trPr>
        <w:tc>
          <w:tcPr>
            <w:tcW w:w="5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09" w:rsidRPr="001538A1" w:rsidRDefault="00716C8D" w:rsidP="00FB3D54">
            <w:pPr>
              <w:rPr>
                <w:color w:val="000000" w:themeColor="text1"/>
                <w:sz w:val="20"/>
              </w:rPr>
            </w:pPr>
            <w:r w:rsidRPr="001538A1">
              <w:rPr>
                <w:color w:val="000000" w:themeColor="text1"/>
                <w:sz w:val="20"/>
              </w:rPr>
              <w:t xml:space="preserve">1. </w:t>
            </w:r>
            <w:r w:rsidR="0096510B" w:rsidRPr="00FB3D54">
              <w:rPr>
                <w:rFonts w:eastAsia="Calibri"/>
                <w:sz w:val="20"/>
                <w:shd w:val="clear" w:color="auto" w:fill="FFFFFF" w:themeFill="background1"/>
                <w:lang w:eastAsia="en-US"/>
              </w:rPr>
              <w:t xml:space="preserve">Poskytovanie príspevkov na podporu zamestnanosti </w:t>
            </w:r>
            <w:proofErr w:type="spellStart"/>
            <w:r w:rsidR="0096510B" w:rsidRPr="00FB3D54">
              <w:rPr>
                <w:rFonts w:eastAsia="Calibri"/>
                <w:sz w:val="20"/>
                <w:shd w:val="clear" w:color="auto" w:fill="FFFFFF" w:themeFill="background1"/>
                <w:lang w:eastAsia="en-US"/>
              </w:rPr>
              <w:t>UoZ</w:t>
            </w:r>
            <w:proofErr w:type="spellEnd"/>
            <w:r w:rsidR="0096510B" w:rsidRPr="00FB3D54">
              <w:rPr>
                <w:rFonts w:eastAsia="Calibri"/>
                <w:sz w:val="20"/>
                <w:shd w:val="clear" w:color="auto" w:fill="FFFFFF" w:themeFill="background1"/>
                <w:lang w:eastAsia="en-US"/>
              </w:rPr>
              <w:t xml:space="preserve"> a </w:t>
            </w:r>
            <w:proofErr w:type="spellStart"/>
            <w:r w:rsidR="0096510B" w:rsidRPr="00FB3D54">
              <w:rPr>
                <w:rFonts w:eastAsia="Calibri"/>
                <w:sz w:val="20"/>
                <w:shd w:val="clear" w:color="auto" w:fill="FFFFFF" w:themeFill="background1"/>
                <w:lang w:eastAsia="en-US"/>
              </w:rPr>
              <w:t>ZUoZ</w:t>
            </w:r>
            <w:proofErr w:type="spellEnd"/>
          </w:p>
          <w:p w:rsidR="00E83E09" w:rsidRPr="001538A1" w:rsidRDefault="00E83E09" w:rsidP="00FB3D54">
            <w:pPr>
              <w:tabs>
                <w:tab w:val="left" w:pos="284"/>
              </w:tabs>
              <w:spacing w:before="20" w:after="20"/>
              <w:rPr>
                <w:color w:val="000000" w:themeColor="text1"/>
                <w:sz w:val="20"/>
              </w:rPr>
            </w:pPr>
            <w:r w:rsidRPr="001538A1">
              <w:rPr>
                <w:color w:val="000000" w:themeColor="text1"/>
                <w:sz w:val="20"/>
              </w:rPr>
              <w:t>Podporné aktivity:</w:t>
            </w:r>
          </w:p>
          <w:p w:rsidR="00E83E09" w:rsidRPr="001538A1" w:rsidRDefault="00E83E09" w:rsidP="00FB3D54">
            <w:pPr>
              <w:tabs>
                <w:tab w:val="left" w:pos="284"/>
              </w:tabs>
              <w:spacing w:before="20" w:after="20"/>
              <w:rPr>
                <w:color w:val="000000" w:themeColor="text1"/>
                <w:sz w:val="20"/>
              </w:rPr>
            </w:pPr>
            <w:r w:rsidRPr="001538A1">
              <w:rPr>
                <w:color w:val="000000" w:themeColor="text1"/>
                <w:sz w:val="20"/>
              </w:rPr>
              <w:t>Riadenie projektu</w:t>
            </w:r>
          </w:p>
          <w:p w:rsidR="00E83E09" w:rsidRPr="001538A1" w:rsidRDefault="00E83E09" w:rsidP="00FB3D54">
            <w:pPr>
              <w:tabs>
                <w:tab w:val="left" w:pos="284"/>
              </w:tabs>
              <w:spacing w:before="20" w:after="20"/>
              <w:rPr>
                <w:color w:val="000000" w:themeColor="text1"/>
                <w:sz w:val="20"/>
              </w:rPr>
            </w:pPr>
            <w:r w:rsidRPr="001538A1">
              <w:rPr>
                <w:color w:val="000000" w:themeColor="text1"/>
                <w:sz w:val="20"/>
              </w:rPr>
              <w:t>Publicita a informovanosť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09" w:rsidRPr="001538A1" w:rsidRDefault="00E83E09" w:rsidP="00C217A1">
            <w:pPr>
              <w:numPr>
                <w:ilvl w:val="0"/>
                <w:numId w:val="59"/>
              </w:numPr>
              <w:ind w:left="213" w:hanging="142"/>
              <w:rPr>
                <w:sz w:val="20"/>
                <w:u w:val="single"/>
              </w:rPr>
            </w:pPr>
            <w:r w:rsidRPr="001538A1">
              <w:rPr>
                <w:sz w:val="20"/>
                <w:u w:val="single"/>
              </w:rPr>
              <w:t>podľa rozpočtu</w:t>
            </w:r>
          </w:p>
          <w:p w:rsidR="00E83E09" w:rsidRPr="001538A1" w:rsidRDefault="00E83E09" w:rsidP="00FB3D54">
            <w:pPr>
              <w:spacing w:before="20" w:after="20"/>
              <w:rPr>
                <w:color w:val="000000" w:themeColor="text1"/>
                <w:sz w:val="20"/>
              </w:rPr>
            </w:pPr>
            <w:r w:rsidRPr="001538A1">
              <w:rPr>
                <w:sz w:val="20"/>
              </w:rPr>
              <w:t xml:space="preserve">Prioritná os </w:t>
            </w:r>
            <w:r w:rsidR="005F6030" w:rsidRPr="001538A1">
              <w:rPr>
                <w:sz w:val="20"/>
              </w:rPr>
              <w:t>1</w:t>
            </w:r>
            <w:r w:rsidRPr="001538A1">
              <w:rPr>
                <w:sz w:val="20"/>
              </w:rPr>
              <w:t xml:space="preserve"> Podpora </w:t>
            </w:r>
            <w:r w:rsidR="005F6030" w:rsidRPr="001538A1">
              <w:rPr>
                <w:sz w:val="20"/>
              </w:rPr>
              <w:t>rastu zamestnanosti</w:t>
            </w:r>
            <w:r w:rsidRPr="001538A1">
              <w:rPr>
                <w:sz w:val="20"/>
              </w:rPr>
              <w:t xml:space="preserve"> –  Opatrenie </w:t>
            </w:r>
            <w:r w:rsidR="005F6030" w:rsidRPr="001538A1">
              <w:rPr>
                <w:sz w:val="20"/>
              </w:rPr>
              <w:t>1.1</w:t>
            </w:r>
            <w:r w:rsidRPr="001538A1">
              <w:rPr>
                <w:sz w:val="20"/>
              </w:rPr>
              <w:t xml:space="preserve"> Podpora </w:t>
            </w:r>
            <w:r w:rsidR="005F6030" w:rsidRPr="001538A1">
              <w:rPr>
                <w:sz w:val="20"/>
              </w:rPr>
              <w:t xml:space="preserve">programov v oblasti podpory zamestnanosti a riešenia nezamestnanosti a dlhodobej nezamestnanosti </w:t>
            </w:r>
            <w:r w:rsidRPr="001538A1">
              <w:rPr>
                <w:sz w:val="20"/>
              </w:rPr>
              <w:t xml:space="preserve">– </w:t>
            </w:r>
            <w:r w:rsidR="005F6030" w:rsidRPr="001538A1">
              <w:rPr>
                <w:sz w:val="20"/>
              </w:rPr>
              <w:t>2 600</w:t>
            </w:r>
            <w:r w:rsidR="00552F2D">
              <w:rPr>
                <w:sz w:val="20"/>
              </w:rPr>
              <w:t> </w:t>
            </w:r>
            <w:r w:rsidR="005F6030" w:rsidRPr="001538A1">
              <w:rPr>
                <w:sz w:val="20"/>
              </w:rPr>
              <w:t>000</w:t>
            </w:r>
            <w:r w:rsidR="00552F2D">
              <w:rPr>
                <w:sz w:val="20"/>
              </w:rPr>
              <w:t>,00 €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09" w:rsidRPr="001538A1" w:rsidRDefault="00E83E09" w:rsidP="00C217A1">
            <w:pPr>
              <w:numPr>
                <w:ilvl w:val="0"/>
                <w:numId w:val="59"/>
              </w:numPr>
              <w:ind w:left="134" w:hanging="134"/>
              <w:jc w:val="both"/>
              <w:rPr>
                <w:sz w:val="20"/>
              </w:rPr>
            </w:pPr>
            <w:r w:rsidRPr="001538A1">
              <w:rPr>
                <w:sz w:val="20"/>
                <w:u w:val="single"/>
              </w:rPr>
              <w:t>podľa rozpočtu</w:t>
            </w:r>
          </w:p>
          <w:p w:rsidR="00E83E09" w:rsidRPr="001538A1" w:rsidRDefault="00E83E09" w:rsidP="00FB3D54">
            <w:pPr>
              <w:shd w:val="clear" w:color="auto" w:fill="FFFFFF" w:themeFill="background1"/>
              <w:ind w:left="134" w:hanging="134"/>
              <w:jc w:val="both"/>
              <w:rPr>
                <w:sz w:val="20"/>
              </w:rPr>
            </w:pPr>
            <w:r w:rsidRPr="001538A1">
              <w:rPr>
                <w:sz w:val="20"/>
              </w:rPr>
              <w:t xml:space="preserve">Hlavná aktivita č. 1 – </w:t>
            </w:r>
            <w:r w:rsidR="005F6030" w:rsidRPr="001538A1">
              <w:rPr>
                <w:sz w:val="20"/>
              </w:rPr>
              <w:t>2 54</w:t>
            </w:r>
            <w:r w:rsidR="005A29AA">
              <w:rPr>
                <w:sz w:val="20"/>
              </w:rPr>
              <w:t>2</w:t>
            </w:r>
            <w:r w:rsidR="005F6030" w:rsidRPr="001538A1">
              <w:rPr>
                <w:sz w:val="20"/>
              </w:rPr>
              <w:t> </w:t>
            </w:r>
            <w:r w:rsidR="005A29AA">
              <w:rPr>
                <w:sz w:val="20"/>
              </w:rPr>
              <w:t>787</w:t>
            </w:r>
            <w:r w:rsidR="005F6030" w:rsidRPr="001538A1">
              <w:rPr>
                <w:sz w:val="20"/>
              </w:rPr>
              <w:t>,</w:t>
            </w:r>
            <w:r w:rsidR="00621B5B">
              <w:rPr>
                <w:sz w:val="20"/>
              </w:rPr>
              <w:t>2</w:t>
            </w:r>
            <w:r w:rsidR="00B95C32">
              <w:rPr>
                <w:sz w:val="20"/>
              </w:rPr>
              <w:t>9</w:t>
            </w:r>
            <w:r w:rsidRPr="001538A1">
              <w:rPr>
                <w:sz w:val="20"/>
              </w:rPr>
              <w:t xml:space="preserve"> €</w:t>
            </w:r>
          </w:p>
          <w:p w:rsidR="00E83E09" w:rsidRPr="001538A1" w:rsidRDefault="00E83E09" w:rsidP="00FB3D54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 xml:space="preserve">Podporné aktivity –  </w:t>
            </w:r>
            <w:r w:rsidR="005F6030" w:rsidRPr="001538A1">
              <w:rPr>
                <w:sz w:val="20"/>
              </w:rPr>
              <w:t>5</w:t>
            </w:r>
            <w:r w:rsidR="005A29AA">
              <w:rPr>
                <w:sz w:val="20"/>
              </w:rPr>
              <w:t>7</w:t>
            </w:r>
            <w:r w:rsidR="005F6030" w:rsidRPr="001538A1">
              <w:rPr>
                <w:sz w:val="20"/>
              </w:rPr>
              <w:t> </w:t>
            </w:r>
            <w:r w:rsidR="005A29AA">
              <w:rPr>
                <w:sz w:val="20"/>
              </w:rPr>
              <w:t>212</w:t>
            </w:r>
            <w:r w:rsidR="005F6030" w:rsidRPr="001538A1">
              <w:rPr>
                <w:sz w:val="20"/>
              </w:rPr>
              <w:t>,</w:t>
            </w:r>
            <w:r w:rsidR="00B95C32">
              <w:rPr>
                <w:sz w:val="20"/>
              </w:rPr>
              <w:t>71</w:t>
            </w:r>
            <w:r w:rsidRPr="001538A1">
              <w:rPr>
                <w:sz w:val="20"/>
              </w:rPr>
              <w:t xml:space="preserve"> €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675C52" w:rsidRPr="00FB3D54" w:rsidRDefault="00675C52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 xml:space="preserve">- záujem cieľovej skupiny zamestnať sa, </w:t>
            </w:r>
          </w:p>
          <w:p w:rsidR="00E83E09" w:rsidRPr="001538A1" w:rsidRDefault="00621B5B" w:rsidP="002A7E3B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675C52" w:rsidRPr="001538A1">
              <w:rPr>
                <w:sz w:val="20"/>
              </w:rPr>
              <w:t>získanie pracovných zručností cieľovej skupiny.</w:t>
            </w:r>
          </w:p>
        </w:tc>
      </w:tr>
      <w:tr w:rsidR="00A86503" w:rsidRPr="001538A1" w:rsidTr="00FB3D54">
        <w:trPr>
          <w:cantSplit/>
        </w:trPr>
        <w:tc>
          <w:tcPr>
            <w:tcW w:w="5461" w:type="dxa"/>
          </w:tcPr>
          <w:p w:rsidR="00BB5DD5" w:rsidRPr="001538A1" w:rsidRDefault="00BB5DD5" w:rsidP="00FB3D54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3260" w:type="dxa"/>
          </w:tcPr>
          <w:p w:rsidR="00BB5DD5" w:rsidRPr="001538A1" w:rsidRDefault="00BB5DD5" w:rsidP="00C217A1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BB5DD5" w:rsidRPr="001538A1" w:rsidRDefault="00BB5DD5" w:rsidP="00FB3D54">
            <w:pPr>
              <w:spacing w:before="20" w:after="20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024FA" w:rsidRPr="002A7E3B" w:rsidRDefault="00BB5DD5" w:rsidP="00FB3D54">
            <w:pPr>
              <w:pStyle w:val="Nadpis1"/>
              <w:keepNext w:val="0"/>
              <w:spacing w:before="20" w:after="20"/>
              <w:rPr>
                <w:rFonts w:ascii="Times New Roman" w:hAnsi="Times New Roman"/>
                <w:b w:val="0"/>
              </w:rPr>
            </w:pPr>
            <w:r w:rsidRPr="002A7E3B">
              <w:rPr>
                <w:rFonts w:ascii="Times New Roman" w:hAnsi="Times New Roman"/>
                <w:b w:val="0"/>
                <w:sz w:val="20"/>
              </w:rPr>
              <w:t xml:space="preserve">Celkový </w:t>
            </w:r>
            <w:r w:rsidR="002024FA" w:rsidRPr="002A7E3B">
              <w:rPr>
                <w:rFonts w:ascii="Times New Roman" w:hAnsi="Times New Roman"/>
                <w:b w:val="0"/>
                <w:sz w:val="20"/>
                <w:lang w:val="sk-SK"/>
              </w:rPr>
              <w:t>predpoklad</w:t>
            </w:r>
          </w:p>
        </w:tc>
      </w:tr>
      <w:tr w:rsidR="00A86503" w:rsidRPr="001538A1" w:rsidTr="00FB3D54">
        <w:trPr>
          <w:cantSplit/>
        </w:trPr>
        <w:tc>
          <w:tcPr>
            <w:tcW w:w="5461" w:type="dxa"/>
          </w:tcPr>
          <w:p w:rsidR="00BB5DD5" w:rsidRPr="001538A1" w:rsidRDefault="00BB5DD5" w:rsidP="00FB3D54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3260" w:type="dxa"/>
          </w:tcPr>
          <w:p w:rsidR="00BB5DD5" w:rsidRPr="001538A1" w:rsidRDefault="00BB5DD5" w:rsidP="00C217A1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BB5DD5" w:rsidRPr="001538A1" w:rsidRDefault="00BB5DD5" w:rsidP="00FB3D54">
            <w:pPr>
              <w:spacing w:before="20" w:after="20"/>
              <w:rPr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52" w:rsidRPr="001538A1" w:rsidRDefault="00675C52" w:rsidP="00675C52">
            <w:pPr>
              <w:tabs>
                <w:tab w:val="left" w:pos="213"/>
              </w:tabs>
              <w:spacing w:before="20" w:after="20"/>
              <w:ind w:left="219" w:hanging="219"/>
              <w:rPr>
                <w:sz w:val="20"/>
              </w:rPr>
            </w:pPr>
            <w:r w:rsidRPr="001538A1">
              <w:rPr>
                <w:sz w:val="20"/>
              </w:rPr>
              <w:t>- schválenie projektov na obnovu</w:t>
            </w:r>
          </w:p>
          <w:p w:rsidR="00AE4CFD" w:rsidRPr="001538A1" w:rsidRDefault="00675C52" w:rsidP="00FB3D54">
            <w:pPr>
              <w:spacing w:before="20" w:after="20"/>
              <w:rPr>
                <w:sz w:val="20"/>
              </w:rPr>
            </w:pPr>
            <w:r w:rsidRPr="001538A1">
              <w:rPr>
                <w:sz w:val="20"/>
              </w:rPr>
              <w:t xml:space="preserve">   kultúrneho dedičstva na MK SR,</w:t>
            </w:r>
          </w:p>
        </w:tc>
      </w:tr>
    </w:tbl>
    <w:p w:rsidR="00BB5DD5" w:rsidRDefault="00BB5DD5">
      <w:pPr>
        <w:sectPr w:rsidR="00BB5DD5" w:rsidSect="00A86503">
          <w:endnotePr>
            <w:numFmt w:val="decimal"/>
          </w:endnotePr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A86503" w:rsidRPr="008F35A7" w:rsidRDefault="00A86503" w:rsidP="00A86503">
      <w:pPr>
        <w:spacing w:after="120"/>
        <w:jc w:val="both"/>
        <w:rPr>
          <w:b/>
          <w:sz w:val="20"/>
        </w:rPr>
      </w:pPr>
      <w:r w:rsidRPr="008F35A7">
        <w:rPr>
          <w:b/>
          <w:sz w:val="20"/>
        </w:rPr>
        <w:lastRenderedPageBreak/>
        <w:t>Zoznam použitých skratiek</w:t>
      </w:r>
    </w:p>
    <w:p w:rsidR="00A86503" w:rsidRPr="008F35A7" w:rsidRDefault="00A86503" w:rsidP="00A86503">
      <w:pPr>
        <w:jc w:val="both"/>
        <w:rPr>
          <w:sz w:val="20"/>
        </w:rPr>
      </w:pPr>
      <w:proofErr w:type="spellStart"/>
      <w:r w:rsidRPr="008F35A7">
        <w:rPr>
          <w:sz w:val="20"/>
        </w:rPr>
        <w:t>UoZ</w:t>
      </w:r>
      <w:proofErr w:type="spellEnd"/>
      <w:r w:rsidRPr="008F35A7">
        <w:rPr>
          <w:sz w:val="20"/>
        </w:rPr>
        <w:t xml:space="preserve"> –  uchádzač o zamestnanie</w:t>
      </w:r>
    </w:p>
    <w:p w:rsidR="00A86503" w:rsidRPr="008F35A7" w:rsidRDefault="00A86503" w:rsidP="00A86503">
      <w:pPr>
        <w:jc w:val="both"/>
        <w:rPr>
          <w:sz w:val="20"/>
        </w:rPr>
      </w:pPr>
      <w:proofErr w:type="spellStart"/>
      <w:r w:rsidRPr="008F35A7">
        <w:rPr>
          <w:sz w:val="20"/>
        </w:rPr>
        <w:t>ZUoZ</w:t>
      </w:r>
      <w:proofErr w:type="spellEnd"/>
      <w:r w:rsidRPr="008F35A7">
        <w:rPr>
          <w:sz w:val="20"/>
        </w:rPr>
        <w:t xml:space="preserve"> – znevýhodnený uchádzač o zamestnanie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>ústredie – Ústredie práce, sociálnych vecí a rodiny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>úrad/úrady –  úrad/úrady práce, sociálnych vecí a rodiny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>zákon o službách zamestnanosti  - zákon č. 5/2004 Z.</w:t>
      </w:r>
      <w:r w:rsidR="00FB3D54">
        <w:rPr>
          <w:sz w:val="20"/>
        </w:rPr>
        <w:t xml:space="preserve"> </w:t>
      </w:r>
      <w:r w:rsidRPr="008F35A7">
        <w:rPr>
          <w:sz w:val="20"/>
        </w:rPr>
        <w:t>z. o službách zamestnanosti a o zmene a doplnení niektorých zákonov v znení neskorších predpisov</w:t>
      </w:r>
    </w:p>
    <w:p w:rsidR="00A86503" w:rsidRDefault="00A86503" w:rsidP="00A86503">
      <w:pPr>
        <w:jc w:val="both"/>
        <w:rPr>
          <w:sz w:val="20"/>
        </w:rPr>
      </w:pPr>
      <w:r w:rsidRPr="008F35A7">
        <w:rPr>
          <w:sz w:val="20"/>
        </w:rPr>
        <w:t>AOTP – aktívne opatrenia na trhu práce</w:t>
      </w:r>
    </w:p>
    <w:p w:rsidR="00D51BEC" w:rsidRDefault="00D51BEC" w:rsidP="00A86503">
      <w:pPr>
        <w:jc w:val="both"/>
        <w:rPr>
          <w:sz w:val="20"/>
        </w:rPr>
      </w:pPr>
      <w:r>
        <w:rPr>
          <w:sz w:val="20"/>
        </w:rPr>
        <w:t>BSK -  Bratislavský samosprávny kraj</w:t>
      </w:r>
    </w:p>
    <w:p w:rsidR="00EA5B14" w:rsidRDefault="00EA5B14" w:rsidP="00A86503">
      <w:pPr>
        <w:jc w:val="both"/>
        <w:rPr>
          <w:sz w:val="20"/>
        </w:rPr>
      </w:pPr>
      <w:r>
        <w:rPr>
          <w:sz w:val="20"/>
        </w:rPr>
        <w:t>CCP – celková cena práce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 xml:space="preserve">ESF – Európsky sociálny fond </w:t>
      </w:r>
    </w:p>
    <w:p w:rsidR="00A86503" w:rsidRDefault="00A86503" w:rsidP="00A86503">
      <w:pPr>
        <w:jc w:val="both"/>
        <w:rPr>
          <w:sz w:val="20"/>
        </w:rPr>
      </w:pPr>
      <w:r w:rsidRPr="008F35A7">
        <w:rPr>
          <w:sz w:val="20"/>
        </w:rPr>
        <w:t>EÚ – Európska únia</w:t>
      </w:r>
    </w:p>
    <w:p w:rsidR="005A29AA" w:rsidRPr="008F35A7" w:rsidRDefault="005A29AA" w:rsidP="00A86503">
      <w:pPr>
        <w:jc w:val="both"/>
        <w:rPr>
          <w:sz w:val="20"/>
        </w:rPr>
      </w:pPr>
      <w:r>
        <w:rPr>
          <w:sz w:val="20"/>
        </w:rPr>
        <w:t xml:space="preserve">ITMS </w:t>
      </w:r>
      <w:r w:rsidR="00621B5B">
        <w:rPr>
          <w:sz w:val="20"/>
        </w:rPr>
        <w:t>–</w:t>
      </w:r>
      <w:r>
        <w:rPr>
          <w:sz w:val="20"/>
        </w:rPr>
        <w:t xml:space="preserve"> </w:t>
      </w:r>
      <w:r w:rsidR="00621B5B">
        <w:rPr>
          <w:sz w:val="20"/>
        </w:rPr>
        <w:t>informačno-technologický monitorovací systém</w:t>
      </w:r>
    </w:p>
    <w:p w:rsidR="00A86503" w:rsidRPr="008F35A7" w:rsidRDefault="00A86503" w:rsidP="00A86503">
      <w:pPr>
        <w:jc w:val="both"/>
        <w:rPr>
          <w:sz w:val="20"/>
        </w:rPr>
      </w:pPr>
      <w:r w:rsidRPr="008F35A7">
        <w:rPr>
          <w:sz w:val="20"/>
        </w:rPr>
        <w:t>MPSVR SR – Ministerstvo práce, sociálnych vecí a rodiny Slovenskej republiky</w:t>
      </w:r>
    </w:p>
    <w:p w:rsidR="00A86503" w:rsidRDefault="00A86503" w:rsidP="00A86503">
      <w:pPr>
        <w:jc w:val="both"/>
        <w:rPr>
          <w:sz w:val="20"/>
        </w:rPr>
      </w:pPr>
      <w:r w:rsidRPr="008709B6">
        <w:rPr>
          <w:sz w:val="20"/>
        </w:rPr>
        <w:t>MK SR – Ministerstvo kultúry Slovenskej republiky</w:t>
      </w:r>
    </w:p>
    <w:p w:rsidR="00EA5B14" w:rsidRDefault="00EA5B14" w:rsidP="00A86503">
      <w:pPr>
        <w:jc w:val="both"/>
        <w:rPr>
          <w:sz w:val="20"/>
        </w:rPr>
      </w:pPr>
      <w:r>
        <w:rPr>
          <w:sz w:val="20"/>
        </w:rPr>
        <w:t>NFP – nenávratný finančný príspevok</w:t>
      </w:r>
    </w:p>
    <w:p w:rsidR="00D51BEC" w:rsidRDefault="00D51BEC" w:rsidP="00A86503">
      <w:pPr>
        <w:jc w:val="both"/>
        <w:rPr>
          <w:sz w:val="20"/>
        </w:rPr>
      </w:pPr>
      <w:r>
        <w:rPr>
          <w:sz w:val="20"/>
        </w:rPr>
        <w:t>NP – národný projekt</w:t>
      </w:r>
    </w:p>
    <w:p w:rsidR="005A29AA" w:rsidRDefault="005A29AA" w:rsidP="00A86503">
      <w:pPr>
        <w:jc w:val="both"/>
        <w:rPr>
          <w:sz w:val="20"/>
        </w:rPr>
      </w:pPr>
      <w:r w:rsidRPr="005A29AA">
        <w:rPr>
          <w:sz w:val="20"/>
        </w:rPr>
        <w:t>OP Z</w:t>
      </w:r>
      <w:r>
        <w:rPr>
          <w:sz w:val="20"/>
        </w:rPr>
        <w:t>aSI – Operačný program Z</w:t>
      </w:r>
      <w:r w:rsidRPr="005A29AA">
        <w:rPr>
          <w:sz w:val="20"/>
        </w:rPr>
        <w:t>amestnanosť a sociálna inklúzia</w:t>
      </w:r>
    </w:p>
    <w:p w:rsidR="00D51BEC" w:rsidRDefault="00D51BEC" w:rsidP="00D51BEC">
      <w:pPr>
        <w:jc w:val="both"/>
        <w:rPr>
          <w:sz w:val="20"/>
        </w:rPr>
      </w:pPr>
      <w:r>
        <w:rPr>
          <w:sz w:val="20"/>
        </w:rPr>
        <w:t>RO – riadiaci orgán</w:t>
      </w:r>
    </w:p>
    <w:p w:rsidR="00D51BEC" w:rsidRPr="00CC2EF4" w:rsidRDefault="00D51BEC" w:rsidP="00D51BEC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SR – Slovenská republika</w:t>
      </w:r>
    </w:p>
    <w:p w:rsidR="00D51BEC" w:rsidRDefault="00D51BEC" w:rsidP="00D51BEC">
      <w:pPr>
        <w:jc w:val="both"/>
        <w:rPr>
          <w:sz w:val="20"/>
        </w:rPr>
      </w:pPr>
    </w:p>
    <w:p w:rsidR="00BB5DD5" w:rsidRPr="00105311" w:rsidRDefault="00BB5DD5" w:rsidP="00B57782">
      <w:pPr>
        <w:spacing w:before="120"/>
        <w:jc w:val="both"/>
        <w:rPr>
          <w:b/>
          <w:szCs w:val="24"/>
          <w:u w:val="single"/>
        </w:rPr>
      </w:pPr>
      <w:r w:rsidRPr="00105311">
        <w:rPr>
          <w:b/>
          <w:szCs w:val="24"/>
          <w:u w:val="single"/>
        </w:rPr>
        <w:t>Východiskový a očakávaný stav</w:t>
      </w:r>
    </w:p>
    <w:p w:rsidR="00BB5DD5" w:rsidRPr="00105311" w:rsidRDefault="00BB5DD5" w:rsidP="00105311">
      <w:pPr>
        <w:spacing w:before="120"/>
        <w:ind w:left="113"/>
        <w:jc w:val="both"/>
        <w:rPr>
          <w:b/>
          <w:szCs w:val="24"/>
          <w:u w:val="single"/>
        </w:rPr>
      </w:pPr>
    </w:p>
    <w:p w:rsidR="00A86503" w:rsidRDefault="00A86503" w:rsidP="00A86503">
      <w:pPr>
        <w:autoSpaceDE w:val="0"/>
        <w:autoSpaceDN w:val="0"/>
        <w:adjustRightInd w:val="0"/>
        <w:spacing w:after="120"/>
        <w:jc w:val="both"/>
        <w:rPr>
          <w:sz w:val="20"/>
          <w:u w:val="single"/>
        </w:rPr>
      </w:pPr>
      <w:r w:rsidRPr="004B4DDB">
        <w:rPr>
          <w:sz w:val="20"/>
          <w:u w:val="single"/>
        </w:rPr>
        <w:t>VÝCHODISKOVÁ SITUÁCIA</w:t>
      </w:r>
    </w:p>
    <w:p w:rsidR="00C03745" w:rsidRPr="00552F2D" w:rsidRDefault="00084C43" w:rsidP="00FB3D54">
      <w:pPr>
        <w:pStyle w:val="Odsekzoznamu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3D54">
        <w:rPr>
          <w:rFonts w:ascii="Times New Roman" w:hAnsi="Times New Roman"/>
          <w:sz w:val="24"/>
          <w:szCs w:val="24"/>
        </w:rPr>
        <w:t>Slovensko patrí medzi krajiny s bohatou kultúrnou tradíciou a veľkým počtom pamiatok</w:t>
      </w:r>
      <w:r w:rsidR="008B4BCA" w:rsidRPr="00FB3D54">
        <w:rPr>
          <w:rFonts w:ascii="Times New Roman" w:hAnsi="Times New Roman"/>
          <w:sz w:val="24"/>
          <w:szCs w:val="24"/>
        </w:rPr>
        <w:t xml:space="preserve"> (</w:t>
      </w:r>
      <w:r w:rsidR="008B4BCA" w:rsidRPr="00552F2D">
        <w:rPr>
          <w:rFonts w:ascii="Times New Roman" w:hAnsi="Times New Roman"/>
          <w:sz w:val="24"/>
          <w:szCs w:val="24"/>
        </w:rPr>
        <w:t xml:space="preserve">napr. </w:t>
      </w:r>
      <w:r w:rsidR="004521C9" w:rsidRPr="00552F2D">
        <w:rPr>
          <w:rFonts w:ascii="Times New Roman" w:hAnsi="Times New Roman"/>
          <w:sz w:val="24"/>
          <w:szCs w:val="24"/>
        </w:rPr>
        <w:t xml:space="preserve">Ústredný zoznam pamiatkového fondu </w:t>
      </w:r>
      <w:r w:rsidR="008B4BCA" w:rsidRPr="00552F2D">
        <w:rPr>
          <w:rFonts w:ascii="Times New Roman" w:hAnsi="Times New Roman"/>
          <w:sz w:val="24"/>
          <w:szCs w:val="24"/>
        </w:rPr>
        <w:t xml:space="preserve">v súčasnosti eviduje v </w:t>
      </w:r>
      <w:r w:rsidR="004521C9" w:rsidRPr="00552F2D">
        <w:rPr>
          <w:rFonts w:ascii="Times New Roman" w:hAnsi="Times New Roman"/>
          <w:sz w:val="24"/>
          <w:szCs w:val="24"/>
        </w:rPr>
        <w:t>SR 9 807 nehnuteľných národných kultúrnych pamiatok</w:t>
      </w:r>
      <w:r w:rsidR="008B4BCA" w:rsidRPr="00552F2D">
        <w:rPr>
          <w:rFonts w:ascii="Times New Roman" w:hAnsi="Times New Roman"/>
          <w:sz w:val="24"/>
          <w:szCs w:val="24"/>
        </w:rPr>
        <w:t>).</w:t>
      </w:r>
      <w:r w:rsidR="004521C9" w:rsidRPr="00552F2D">
        <w:rPr>
          <w:rFonts w:ascii="Times New Roman" w:hAnsi="Times New Roman"/>
          <w:sz w:val="24"/>
          <w:szCs w:val="24"/>
        </w:rPr>
        <w:t xml:space="preserve"> </w:t>
      </w:r>
      <w:r w:rsidRPr="00FB3D54">
        <w:rPr>
          <w:rFonts w:ascii="Times New Roman" w:hAnsi="Times New Roman"/>
          <w:sz w:val="24"/>
          <w:szCs w:val="24"/>
        </w:rPr>
        <w:t xml:space="preserve">Mnohé z nich sú </w:t>
      </w:r>
      <w:r w:rsidR="004521C9" w:rsidRPr="00552F2D">
        <w:rPr>
          <w:rFonts w:ascii="Times New Roman" w:hAnsi="Times New Roman"/>
          <w:sz w:val="24"/>
          <w:szCs w:val="24"/>
        </w:rPr>
        <w:t xml:space="preserve">však </w:t>
      </w:r>
      <w:r w:rsidRPr="00FB3D54">
        <w:rPr>
          <w:rFonts w:ascii="Times New Roman" w:hAnsi="Times New Roman"/>
          <w:sz w:val="24"/>
          <w:szCs w:val="24"/>
        </w:rPr>
        <w:t xml:space="preserve">v havarijnom </w:t>
      </w:r>
      <w:r w:rsidR="00E20673" w:rsidRPr="00FB3D54">
        <w:rPr>
          <w:rFonts w:ascii="Times New Roman" w:hAnsi="Times New Roman"/>
          <w:sz w:val="24"/>
          <w:szCs w:val="24"/>
        </w:rPr>
        <w:t xml:space="preserve">stave </w:t>
      </w:r>
      <w:r w:rsidRPr="00FB3D54">
        <w:rPr>
          <w:rFonts w:ascii="Times New Roman" w:hAnsi="Times New Roman"/>
          <w:sz w:val="24"/>
          <w:szCs w:val="24"/>
        </w:rPr>
        <w:t>a vyžadujú údržbu a obnovu.</w:t>
      </w:r>
      <w:r w:rsidR="004E430D" w:rsidRPr="00552F2D">
        <w:rPr>
          <w:rFonts w:ascii="Times New Roman" w:hAnsi="Times New Roman"/>
          <w:sz w:val="24"/>
          <w:szCs w:val="24"/>
        </w:rPr>
        <w:t xml:space="preserve"> Pamiatky sú rozmiestnené vo všetkých regiónoch Slovenska, často v regiónoch s vysokým počtom nezamestnaných a s nízkou ekonomickou produkciou.</w:t>
      </w:r>
      <w:r w:rsidRPr="00FB3D54">
        <w:rPr>
          <w:rFonts w:ascii="Times New Roman" w:hAnsi="Times New Roman"/>
          <w:sz w:val="24"/>
          <w:szCs w:val="24"/>
        </w:rPr>
        <w:t xml:space="preserve"> </w:t>
      </w:r>
      <w:r w:rsidR="008B4BCA" w:rsidRPr="00552F2D">
        <w:rPr>
          <w:rFonts w:ascii="Times New Roman" w:hAnsi="Times New Roman"/>
          <w:sz w:val="24"/>
          <w:szCs w:val="24"/>
        </w:rPr>
        <w:t>Synergický efekt predkladaného NP je vo využití potenciálu nezamestnaných</w:t>
      </w:r>
      <w:r w:rsidR="00621B5B">
        <w:rPr>
          <w:rFonts w:ascii="Times New Roman" w:hAnsi="Times New Roman"/>
          <w:sz w:val="24"/>
          <w:szCs w:val="24"/>
        </w:rPr>
        <w:t xml:space="preserve"> </w:t>
      </w:r>
      <w:r w:rsidR="008B4BCA" w:rsidRPr="00552F2D">
        <w:rPr>
          <w:rFonts w:ascii="Times New Roman" w:hAnsi="Times New Roman"/>
          <w:sz w:val="24"/>
          <w:szCs w:val="24"/>
        </w:rPr>
        <w:t>na </w:t>
      </w:r>
      <w:r w:rsidRPr="00FB3D54">
        <w:rPr>
          <w:rFonts w:ascii="Times New Roman" w:hAnsi="Times New Roman"/>
          <w:sz w:val="24"/>
          <w:szCs w:val="24"/>
        </w:rPr>
        <w:t>záchran</w:t>
      </w:r>
      <w:r w:rsidR="008B4BCA" w:rsidRPr="00552F2D">
        <w:rPr>
          <w:rFonts w:ascii="Times New Roman" w:hAnsi="Times New Roman"/>
          <w:sz w:val="24"/>
          <w:szCs w:val="24"/>
        </w:rPr>
        <w:t>u, obnovu a údržbu</w:t>
      </w:r>
      <w:r w:rsidRPr="00FB3D54">
        <w:rPr>
          <w:rFonts w:ascii="Times New Roman" w:hAnsi="Times New Roman"/>
          <w:sz w:val="24"/>
          <w:szCs w:val="24"/>
        </w:rPr>
        <w:t xml:space="preserve"> kultúrnych pamiatok pre budúce generácie.</w:t>
      </w:r>
    </w:p>
    <w:p w:rsidR="00C217A1" w:rsidRPr="00552F2D" w:rsidRDefault="00185F10" w:rsidP="00FB3D54">
      <w:pPr>
        <w:pStyle w:val="Odsekzoznamu1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52F2D">
        <w:rPr>
          <w:rFonts w:ascii="Times New Roman" w:hAnsi="Times New Roman"/>
          <w:sz w:val="24"/>
          <w:szCs w:val="24"/>
        </w:rPr>
        <w:t xml:space="preserve">Projekty na obnovu kultúrnych pamiatok s pomocou nezamestnaných prebiehajú od roku 2011. „Pilotný projekt zapojenia nezamestnaných do záchrany kultúrneho dedičstva – slovenských hradov“ overil nové opatrenie trhu práce na vytváranie krátkodobých pracovných miest pre nezamestnaných na výkon prác v oblasti kultúry. Zamestnalo sa 50 </w:t>
      </w:r>
      <w:proofErr w:type="spellStart"/>
      <w:r w:rsidRPr="00552F2D">
        <w:rPr>
          <w:rFonts w:ascii="Times New Roman" w:hAnsi="Times New Roman"/>
          <w:sz w:val="24"/>
          <w:szCs w:val="24"/>
        </w:rPr>
        <w:t>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52F2D">
        <w:rPr>
          <w:rFonts w:ascii="Times New Roman" w:hAnsi="Times New Roman"/>
          <w:sz w:val="24"/>
          <w:szCs w:val="24"/>
        </w:rPr>
        <w:t>ZUoZ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 pri obn</w:t>
      </w:r>
      <w:r w:rsidR="004521C9" w:rsidRPr="00552F2D">
        <w:rPr>
          <w:rFonts w:ascii="Times New Roman" w:hAnsi="Times New Roman"/>
          <w:sz w:val="24"/>
          <w:szCs w:val="24"/>
        </w:rPr>
        <w:t>ove  dvoch kultúrnych pamiatok</w:t>
      </w:r>
      <w:r w:rsidRPr="00552F2D">
        <w:rPr>
          <w:rFonts w:ascii="Times New Roman" w:hAnsi="Times New Roman"/>
          <w:sz w:val="24"/>
          <w:szCs w:val="24"/>
        </w:rPr>
        <w:t xml:space="preserve"> -  hrad Uhrovec a hrad Šariš. Na základe úspešnej spolupráce medzi dvoma rezortmi </w:t>
      </w:r>
      <w:r w:rsidR="004521C9" w:rsidRPr="00552F2D">
        <w:rPr>
          <w:rFonts w:ascii="Times New Roman" w:hAnsi="Times New Roman"/>
          <w:sz w:val="24"/>
          <w:szCs w:val="24"/>
        </w:rPr>
        <w:t>MK SR</w:t>
      </w:r>
      <w:r w:rsidRPr="00552F2D">
        <w:rPr>
          <w:rFonts w:ascii="Times New Roman" w:hAnsi="Times New Roman"/>
          <w:sz w:val="24"/>
          <w:szCs w:val="24"/>
        </w:rPr>
        <w:t xml:space="preserve"> a </w:t>
      </w:r>
      <w:r w:rsidR="004521C9" w:rsidRPr="00552F2D">
        <w:rPr>
          <w:rFonts w:ascii="Times New Roman" w:hAnsi="Times New Roman"/>
          <w:sz w:val="24"/>
          <w:szCs w:val="24"/>
        </w:rPr>
        <w:t xml:space="preserve">MPSVR SR </w:t>
      </w:r>
      <w:r w:rsidRPr="00552F2D">
        <w:rPr>
          <w:rFonts w:ascii="Times New Roman" w:hAnsi="Times New Roman"/>
          <w:sz w:val="24"/>
          <w:szCs w:val="24"/>
        </w:rPr>
        <w:t xml:space="preserve">bola podpísaná „Dohoda o vzájomnej spolupráci medzi </w:t>
      </w:r>
      <w:r w:rsidR="00621B5B">
        <w:rPr>
          <w:rFonts w:ascii="Times New Roman" w:hAnsi="Times New Roman"/>
          <w:sz w:val="24"/>
          <w:szCs w:val="24"/>
        </w:rPr>
        <w:t>Ministerstvom kultúry Slovenskej republiky, Ministerstvom práce, sociálnych vecí a rodiny Slovenskej republiky</w:t>
      </w:r>
      <w:r w:rsidRPr="00552F2D">
        <w:rPr>
          <w:rFonts w:ascii="Times New Roman" w:hAnsi="Times New Roman"/>
          <w:sz w:val="24"/>
          <w:szCs w:val="24"/>
        </w:rPr>
        <w:t xml:space="preserve"> a Ústredím práce, sociálnych vecí a rodiny“. V roku 2012 sa začal realizovať </w:t>
      </w:r>
      <w:r w:rsidR="00E665F0">
        <w:rPr>
          <w:rFonts w:ascii="Times New Roman" w:hAnsi="Times New Roman"/>
          <w:sz w:val="24"/>
          <w:szCs w:val="24"/>
        </w:rPr>
        <w:t>NP</w:t>
      </w:r>
      <w:r w:rsidRPr="00552F2D">
        <w:rPr>
          <w:rFonts w:ascii="Times New Roman" w:hAnsi="Times New Roman"/>
          <w:sz w:val="24"/>
          <w:szCs w:val="24"/>
        </w:rPr>
        <w:t xml:space="preserve"> „Zapojenie nezamestnaných do obnovy kultúrneho dedičstva“, kde sa v rokoch 2012 a 2013 zamestnalo cca. 772 </w:t>
      </w:r>
      <w:proofErr w:type="spellStart"/>
      <w:r w:rsidRPr="00552F2D">
        <w:rPr>
          <w:rFonts w:ascii="Times New Roman" w:hAnsi="Times New Roman"/>
          <w:sz w:val="24"/>
          <w:szCs w:val="24"/>
        </w:rPr>
        <w:t>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52F2D">
        <w:rPr>
          <w:rFonts w:ascii="Times New Roman" w:hAnsi="Times New Roman"/>
          <w:sz w:val="24"/>
          <w:szCs w:val="24"/>
        </w:rPr>
        <w:t>ZUoZ</w:t>
      </w:r>
      <w:proofErr w:type="spellEnd"/>
      <w:r w:rsidRPr="00552F2D">
        <w:rPr>
          <w:rFonts w:ascii="Times New Roman" w:hAnsi="Times New Roman"/>
          <w:sz w:val="24"/>
          <w:szCs w:val="24"/>
        </w:rPr>
        <w:t>. Na základe veľkého záujmu zamestnávateľských subjektov o zames</w:t>
      </w:r>
      <w:r w:rsidR="008B4BCA" w:rsidRPr="00552F2D">
        <w:rPr>
          <w:rFonts w:ascii="Times New Roman" w:hAnsi="Times New Roman"/>
          <w:sz w:val="24"/>
          <w:szCs w:val="24"/>
        </w:rPr>
        <w:t xml:space="preserve">tnávanie nezamestnaných, zvýšených požiadaviek na počty </w:t>
      </w:r>
      <w:proofErr w:type="spellStart"/>
      <w:r w:rsidR="008B4BCA" w:rsidRPr="00552F2D">
        <w:rPr>
          <w:rFonts w:ascii="Times New Roman" w:hAnsi="Times New Roman"/>
          <w:sz w:val="24"/>
          <w:szCs w:val="24"/>
        </w:rPr>
        <w:t>UoZ</w:t>
      </w:r>
      <w:proofErr w:type="spellEnd"/>
      <w:r w:rsidR="008B4BCA" w:rsidRPr="00552F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52F2D">
        <w:rPr>
          <w:rFonts w:ascii="Times New Roman" w:hAnsi="Times New Roman"/>
          <w:sz w:val="24"/>
          <w:szCs w:val="24"/>
        </w:rPr>
        <w:t>ZUoZ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 na práce pri obnove kultúrneho dedičstva, sa v roku 2014 začal realizovať ďalší </w:t>
      </w:r>
      <w:r w:rsidR="00E665F0">
        <w:rPr>
          <w:rFonts w:ascii="Times New Roman" w:hAnsi="Times New Roman"/>
          <w:sz w:val="24"/>
          <w:szCs w:val="24"/>
        </w:rPr>
        <w:t>NP</w:t>
      </w:r>
      <w:r w:rsidRPr="00552F2D">
        <w:rPr>
          <w:rFonts w:ascii="Times New Roman" w:hAnsi="Times New Roman"/>
          <w:sz w:val="24"/>
          <w:szCs w:val="24"/>
        </w:rPr>
        <w:t xml:space="preserve"> „Zapojenie nezamestnaných do obnovy kultúrneho dedičstva - 2“. V roku 2014 </w:t>
      </w:r>
      <w:r w:rsidR="00964251">
        <w:rPr>
          <w:rFonts w:ascii="Times New Roman" w:hAnsi="Times New Roman"/>
          <w:sz w:val="24"/>
          <w:szCs w:val="24"/>
        </w:rPr>
        <w:t>bolo</w:t>
      </w:r>
      <w:r w:rsidRPr="00552F2D">
        <w:rPr>
          <w:rFonts w:ascii="Times New Roman" w:hAnsi="Times New Roman"/>
          <w:sz w:val="24"/>
          <w:szCs w:val="24"/>
        </w:rPr>
        <w:t xml:space="preserve"> zamestnaných cca</w:t>
      </w:r>
      <w:r w:rsidR="004521C9" w:rsidRPr="00552F2D">
        <w:rPr>
          <w:rFonts w:ascii="Times New Roman" w:hAnsi="Times New Roman"/>
          <w:sz w:val="24"/>
          <w:szCs w:val="24"/>
        </w:rPr>
        <w:t>.</w:t>
      </w:r>
      <w:r w:rsidR="008B4BCA" w:rsidRPr="00552F2D">
        <w:rPr>
          <w:rFonts w:ascii="Times New Roman" w:hAnsi="Times New Roman"/>
          <w:sz w:val="24"/>
          <w:szCs w:val="24"/>
        </w:rPr>
        <w:t xml:space="preserve"> 453 </w:t>
      </w:r>
      <w:proofErr w:type="spellStart"/>
      <w:r w:rsidR="008B4BCA" w:rsidRPr="00552F2D">
        <w:rPr>
          <w:rFonts w:ascii="Times New Roman" w:hAnsi="Times New Roman"/>
          <w:sz w:val="24"/>
          <w:szCs w:val="24"/>
        </w:rPr>
        <w:t>UoZ</w:t>
      </w:r>
      <w:proofErr w:type="spellEnd"/>
      <w:r w:rsidR="008B4BCA" w:rsidRPr="00552F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B4BCA" w:rsidRPr="00552F2D">
        <w:rPr>
          <w:rFonts w:ascii="Times New Roman" w:hAnsi="Times New Roman"/>
          <w:sz w:val="24"/>
          <w:szCs w:val="24"/>
        </w:rPr>
        <w:t>ZUoZ</w:t>
      </w:r>
      <w:proofErr w:type="spellEnd"/>
      <w:r w:rsidR="008B4BCA" w:rsidRPr="00552F2D">
        <w:rPr>
          <w:rFonts w:ascii="Times New Roman" w:hAnsi="Times New Roman"/>
          <w:sz w:val="24"/>
          <w:szCs w:val="24"/>
        </w:rPr>
        <w:t xml:space="preserve">. </w:t>
      </w:r>
      <w:r w:rsidRPr="00552F2D">
        <w:rPr>
          <w:rFonts w:ascii="Times New Roman" w:hAnsi="Times New Roman"/>
          <w:sz w:val="24"/>
          <w:szCs w:val="24"/>
        </w:rPr>
        <w:t xml:space="preserve">Zapojení nezamestnaní </w:t>
      </w:r>
      <w:r w:rsidR="00C217A1" w:rsidRPr="00552F2D">
        <w:rPr>
          <w:rFonts w:ascii="Times New Roman" w:hAnsi="Times New Roman"/>
          <w:sz w:val="24"/>
          <w:szCs w:val="24"/>
        </w:rPr>
        <w:t xml:space="preserve">vykonali v rôznych lokalitách </w:t>
      </w:r>
      <w:r w:rsidRPr="00552F2D">
        <w:rPr>
          <w:rFonts w:ascii="Times New Roman" w:hAnsi="Times New Roman"/>
          <w:sz w:val="24"/>
          <w:szCs w:val="24"/>
        </w:rPr>
        <w:t>pod odborným vedením koordinátoro</w:t>
      </w:r>
      <w:r w:rsidR="00C217A1" w:rsidRPr="00552F2D">
        <w:rPr>
          <w:rFonts w:ascii="Times New Roman" w:hAnsi="Times New Roman"/>
          <w:sz w:val="24"/>
          <w:szCs w:val="24"/>
        </w:rPr>
        <w:t xml:space="preserve">v (archeológov a pod.) </w:t>
      </w:r>
      <w:r w:rsidRPr="00552F2D">
        <w:rPr>
          <w:rFonts w:ascii="Times New Roman" w:hAnsi="Times New Roman"/>
          <w:sz w:val="24"/>
          <w:szCs w:val="24"/>
        </w:rPr>
        <w:t>veľký objem prác</w:t>
      </w:r>
      <w:r w:rsidR="00C217A1" w:rsidRPr="00552F2D">
        <w:rPr>
          <w:rFonts w:ascii="Times New Roman" w:hAnsi="Times New Roman"/>
          <w:sz w:val="24"/>
          <w:szCs w:val="24"/>
        </w:rPr>
        <w:t>, a to</w:t>
      </w:r>
      <w:r w:rsidRPr="00552F2D">
        <w:rPr>
          <w:rFonts w:ascii="Times New Roman" w:hAnsi="Times New Roman"/>
          <w:sz w:val="24"/>
          <w:szCs w:val="24"/>
        </w:rPr>
        <w:t xml:space="preserve"> za krátke obdobie </w:t>
      </w:r>
      <w:r w:rsidR="00C217A1" w:rsidRPr="00552F2D">
        <w:rPr>
          <w:rFonts w:ascii="Times New Roman" w:hAnsi="Times New Roman"/>
          <w:sz w:val="24"/>
          <w:szCs w:val="24"/>
        </w:rPr>
        <w:t xml:space="preserve">a </w:t>
      </w:r>
      <w:r w:rsidRPr="00552F2D">
        <w:rPr>
          <w:rFonts w:ascii="Times New Roman" w:hAnsi="Times New Roman"/>
          <w:sz w:val="24"/>
          <w:szCs w:val="24"/>
        </w:rPr>
        <w:t>s kvalitou vykonanej práce porovnateľnou s prácou dodávateľských firiem a odborných pracovníkov</w:t>
      </w:r>
      <w:r w:rsidR="00C217A1" w:rsidRPr="00552F2D">
        <w:rPr>
          <w:rFonts w:ascii="Times New Roman" w:hAnsi="Times New Roman"/>
          <w:sz w:val="24"/>
          <w:szCs w:val="24"/>
        </w:rPr>
        <w:t xml:space="preserve"> (napr. Hrad Branč, Hrad Lednica, Hrad Lietava, Hrad Brekov a i.)</w:t>
      </w:r>
      <w:r w:rsidRPr="00552F2D">
        <w:rPr>
          <w:rFonts w:ascii="Times New Roman" w:hAnsi="Times New Roman"/>
          <w:sz w:val="24"/>
          <w:szCs w:val="24"/>
        </w:rPr>
        <w:t xml:space="preserve">. </w:t>
      </w:r>
      <w:r w:rsidR="00675C52" w:rsidRPr="00552F2D">
        <w:rPr>
          <w:rFonts w:ascii="Times New Roman" w:hAnsi="Times New Roman"/>
          <w:sz w:val="24"/>
          <w:szCs w:val="24"/>
        </w:rPr>
        <w:t>Projekt predpokladá zapojenie rôznych pamiatok, akými sú napr. hrady, mestské hradby, pevnosti, kláštory, kaštiele a kúrie, historické parky, historické objekty a i.</w:t>
      </w:r>
    </w:p>
    <w:p w:rsidR="00415E5F" w:rsidRPr="00552F2D" w:rsidRDefault="00C217A1" w:rsidP="00C97A71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552F2D">
        <w:rPr>
          <w:rFonts w:ascii="Times New Roman" w:hAnsi="Times New Roman"/>
          <w:sz w:val="24"/>
          <w:szCs w:val="24"/>
        </w:rPr>
        <w:lastRenderedPageBreak/>
        <w:t xml:space="preserve">Významným aspektom projektu </w:t>
      </w:r>
      <w:r w:rsidR="00964251" w:rsidRPr="00552F2D">
        <w:rPr>
          <w:rFonts w:ascii="Times New Roman" w:hAnsi="Times New Roman"/>
          <w:sz w:val="24"/>
          <w:szCs w:val="24"/>
        </w:rPr>
        <w:t xml:space="preserve">je prínos </w:t>
      </w:r>
      <w:r w:rsidRPr="00552F2D">
        <w:rPr>
          <w:rFonts w:ascii="Times New Roman" w:hAnsi="Times New Roman"/>
          <w:sz w:val="24"/>
          <w:szCs w:val="24"/>
        </w:rPr>
        <w:t xml:space="preserve">k znižovaniu nezamestnanosti, resp. k zvyšovaniu zamestnanosti </w:t>
      </w:r>
      <w:proofErr w:type="spellStart"/>
      <w:r w:rsidRPr="00552F2D">
        <w:rPr>
          <w:rFonts w:ascii="Times New Roman" w:hAnsi="Times New Roman"/>
          <w:sz w:val="24"/>
          <w:szCs w:val="24"/>
        </w:rPr>
        <w:t>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552F2D">
        <w:rPr>
          <w:rFonts w:ascii="Times New Roman" w:hAnsi="Times New Roman"/>
          <w:sz w:val="24"/>
          <w:szCs w:val="24"/>
        </w:rPr>
        <w:t>ZUoZ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.  </w:t>
      </w:r>
      <w:r w:rsidR="00185F10" w:rsidRPr="00552F2D">
        <w:rPr>
          <w:rFonts w:ascii="Times New Roman" w:hAnsi="Times New Roman"/>
          <w:sz w:val="24"/>
          <w:szCs w:val="24"/>
        </w:rPr>
        <w:t xml:space="preserve">Prácou na kultúrnych pamiatkach </w:t>
      </w:r>
      <w:r w:rsidRPr="00552F2D">
        <w:rPr>
          <w:rFonts w:ascii="Times New Roman" w:hAnsi="Times New Roman"/>
          <w:sz w:val="24"/>
          <w:szCs w:val="24"/>
        </w:rPr>
        <w:t xml:space="preserve">získavajú </w:t>
      </w:r>
      <w:proofErr w:type="spellStart"/>
      <w:r w:rsidR="00185F10" w:rsidRPr="00552F2D">
        <w:rPr>
          <w:rFonts w:ascii="Times New Roman" w:hAnsi="Times New Roman"/>
          <w:sz w:val="24"/>
          <w:szCs w:val="24"/>
        </w:rPr>
        <w:t>UoZ</w:t>
      </w:r>
      <w:proofErr w:type="spellEnd"/>
      <w:r w:rsidR="00185F10" w:rsidRPr="00552F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85F10" w:rsidRPr="00552F2D">
        <w:rPr>
          <w:rFonts w:ascii="Times New Roman" w:hAnsi="Times New Roman"/>
          <w:sz w:val="24"/>
          <w:szCs w:val="24"/>
        </w:rPr>
        <w:t>ZUoZ</w:t>
      </w:r>
      <w:proofErr w:type="spellEnd"/>
      <w:r w:rsidR="00185F10" w:rsidRPr="00552F2D">
        <w:rPr>
          <w:rFonts w:ascii="Times New Roman" w:hAnsi="Times New Roman"/>
          <w:sz w:val="24"/>
          <w:szCs w:val="24"/>
        </w:rPr>
        <w:t xml:space="preserve"> </w:t>
      </w:r>
      <w:r w:rsidRPr="00552F2D">
        <w:rPr>
          <w:rFonts w:ascii="Times New Roman" w:hAnsi="Times New Roman"/>
          <w:sz w:val="24"/>
          <w:szCs w:val="24"/>
        </w:rPr>
        <w:t xml:space="preserve">pracovné návyky a </w:t>
      </w:r>
      <w:r w:rsidR="00185F10" w:rsidRPr="00552F2D">
        <w:rPr>
          <w:rFonts w:ascii="Times New Roman" w:hAnsi="Times New Roman"/>
          <w:sz w:val="24"/>
          <w:szCs w:val="24"/>
        </w:rPr>
        <w:t xml:space="preserve">špecifické zručnosti a spôsobilosti, ako </w:t>
      </w:r>
      <w:r w:rsidRPr="00552F2D">
        <w:rPr>
          <w:rFonts w:ascii="Times New Roman" w:hAnsi="Times New Roman"/>
          <w:sz w:val="24"/>
          <w:szCs w:val="24"/>
        </w:rPr>
        <w:t xml:space="preserve">napr. </w:t>
      </w:r>
      <w:r w:rsidR="00185F10" w:rsidRPr="00552F2D">
        <w:rPr>
          <w:rFonts w:ascii="Times New Roman" w:hAnsi="Times New Roman"/>
          <w:sz w:val="24"/>
          <w:szCs w:val="24"/>
        </w:rPr>
        <w:t>historické murárske techniky, kamenárs</w:t>
      </w:r>
      <w:r w:rsidRPr="00552F2D">
        <w:rPr>
          <w:rFonts w:ascii="Times New Roman" w:hAnsi="Times New Roman"/>
          <w:sz w:val="24"/>
          <w:szCs w:val="24"/>
        </w:rPr>
        <w:t xml:space="preserve">ke práce, tesárske práce a pod. </w:t>
      </w:r>
      <w:r w:rsidR="00185F10" w:rsidRPr="00552F2D">
        <w:rPr>
          <w:rFonts w:ascii="Times New Roman" w:hAnsi="Times New Roman"/>
          <w:sz w:val="24"/>
          <w:szCs w:val="24"/>
        </w:rPr>
        <w:t>Získaním aspoň krá</w:t>
      </w:r>
      <w:r w:rsidRPr="00552F2D">
        <w:rPr>
          <w:rFonts w:ascii="Times New Roman" w:hAnsi="Times New Roman"/>
          <w:sz w:val="24"/>
          <w:szCs w:val="24"/>
        </w:rPr>
        <w:t xml:space="preserve">tkodobého zamestnania  pre </w:t>
      </w:r>
      <w:proofErr w:type="spellStart"/>
      <w:r w:rsidRPr="00552F2D">
        <w:rPr>
          <w:rFonts w:ascii="Times New Roman" w:hAnsi="Times New Roman"/>
          <w:sz w:val="24"/>
          <w:szCs w:val="24"/>
        </w:rPr>
        <w:t>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52F2D">
        <w:rPr>
          <w:rFonts w:ascii="Times New Roman" w:hAnsi="Times New Roman"/>
          <w:sz w:val="24"/>
          <w:szCs w:val="24"/>
        </w:rPr>
        <w:t>ZUoZ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 </w:t>
      </w:r>
      <w:r w:rsidR="00185F10" w:rsidRPr="00552F2D">
        <w:rPr>
          <w:rFonts w:ascii="Times New Roman" w:hAnsi="Times New Roman"/>
          <w:sz w:val="24"/>
          <w:szCs w:val="24"/>
        </w:rPr>
        <w:t xml:space="preserve">pomáha </w:t>
      </w:r>
      <w:r w:rsidRPr="00552F2D">
        <w:rPr>
          <w:rFonts w:ascii="Times New Roman" w:hAnsi="Times New Roman"/>
          <w:sz w:val="24"/>
          <w:szCs w:val="24"/>
        </w:rPr>
        <w:t xml:space="preserve">projekt </w:t>
      </w:r>
      <w:r w:rsidR="00185F10" w:rsidRPr="00552F2D">
        <w:rPr>
          <w:rFonts w:ascii="Times New Roman" w:hAnsi="Times New Roman"/>
          <w:sz w:val="24"/>
          <w:szCs w:val="24"/>
        </w:rPr>
        <w:t>rodinám ohrozeným chudobou</w:t>
      </w:r>
      <w:r w:rsidRPr="00552F2D">
        <w:rPr>
          <w:rFonts w:ascii="Times New Roman" w:hAnsi="Times New Roman"/>
          <w:sz w:val="24"/>
          <w:szCs w:val="24"/>
        </w:rPr>
        <w:t xml:space="preserve"> a sociálnym vylúčením</w:t>
      </w:r>
      <w:r w:rsidR="00185F10" w:rsidRPr="00552F2D">
        <w:rPr>
          <w:rFonts w:ascii="Times New Roman" w:hAnsi="Times New Roman"/>
          <w:sz w:val="24"/>
          <w:szCs w:val="24"/>
        </w:rPr>
        <w:t xml:space="preserve"> z dôvodu nezamestnanosti. Zapojením nezamestnaných do projektu sa </w:t>
      </w:r>
      <w:r w:rsidRPr="00552F2D">
        <w:rPr>
          <w:rFonts w:ascii="Times New Roman" w:hAnsi="Times New Roman"/>
          <w:sz w:val="24"/>
          <w:szCs w:val="24"/>
        </w:rPr>
        <w:t>zároveň zvyšuje</w:t>
      </w:r>
      <w:r w:rsidR="00185F10" w:rsidRPr="00552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F10" w:rsidRPr="00552F2D">
        <w:rPr>
          <w:rFonts w:ascii="Times New Roman" w:hAnsi="Times New Roman"/>
          <w:sz w:val="24"/>
          <w:szCs w:val="24"/>
        </w:rPr>
        <w:t>zamestnateľnosť</w:t>
      </w:r>
      <w:proofErr w:type="spellEnd"/>
      <w:r w:rsidR="00185F10" w:rsidRPr="00552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F2D">
        <w:rPr>
          <w:rFonts w:ascii="Times New Roman" w:hAnsi="Times New Roman"/>
          <w:sz w:val="24"/>
          <w:szCs w:val="24"/>
        </w:rPr>
        <w:t>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552F2D">
        <w:rPr>
          <w:rFonts w:ascii="Times New Roman" w:hAnsi="Times New Roman"/>
          <w:sz w:val="24"/>
          <w:szCs w:val="24"/>
        </w:rPr>
        <w:t>ZUoZ</w:t>
      </w:r>
      <w:proofErr w:type="spellEnd"/>
      <w:r w:rsidRPr="00552F2D">
        <w:rPr>
          <w:rFonts w:ascii="Times New Roman" w:hAnsi="Times New Roman"/>
          <w:sz w:val="24"/>
          <w:szCs w:val="24"/>
        </w:rPr>
        <w:t xml:space="preserve"> </w:t>
      </w:r>
      <w:r w:rsidR="00185F10" w:rsidRPr="00552F2D">
        <w:rPr>
          <w:rFonts w:ascii="Times New Roman" w:hAnsi="Times New Roman"/>
          <w:sz w:val="24"/>
          <w:szCs w:val="24"/>
        </w:rPr>
        <w:t>na trhu práce.</w:t>
      </w:r>
      <w:r w:rsidR="00621B5B">
        <w:rPr>
          <w:rFonts w:ascii="Times New Roman" w:hAnsi="Times New Roman"/>
          <w:sz w:val="24"/>
          <w:szCs w:val="24"/>
        </w:rPr>
        <w:t xml:space="preserve"> </w:t>
      </w:r>
      <w:r w:rsidR="00415E5F" w:rsidRPr="00552F2D">
        <w:rPr>
          <w:rFonts w:ascii="Times New Roman" w:hAnsi="Times New Roman"/>
          <w:sz w:val="24"/>
          <w:szCs w:val="24"/>
        </w:rPr>
        <w:t>V</w:t>
      </w:r>
      <w:r w:rsidRPr="00552F2D">
        <w:rPr>
          <w:rFonts w:ascii="Times New Roman" w:hAnsi="Times New Roman"/>
          <w:sz w:val="24"/>
          <w:szCs w:val="24"/>
        </w:rPr>
        <w:t> </w:t>
      </w:r>
      <w:r w:rsidR="00621B5B">
        <w:rPr>
          <w:rFonts w:ascii="Times New Roman" w:hAnsi="Times New Roman"/>
          <w:sz w:val="24"/>
          <w:szCs w:val="24"/>
        </w:rPr>
        <w:t>T</w:t>
      </w:r>
      <w:r w:rsidR="00415E5F" w:rsidRPr="00552F2D">
        <w:rPr>
          <w:rFonts w:ascii="Times New Roman" w:hAnsi="Times New Roman"/>
          <w:sz w:val="24"/>
          <w:szCs w:val="24"/>
        </w:rPr>
        <w:t>abuľke</w:t>
      </w:r>
      <w:r w:rsidRPr="00552F2D">
        <w:rPr>
          <w:rFonts w:ascii="Times New Roman" w:hAnsi="Times New Roman"/>
          <w:sz w:val="24"/>
          <w:szCs w:val="24"/>
        </w:rPr>
        <w:t xml:space="preserve"> 1</w:t>
      </w:r>
      <w:r w:rsidR="00415E5F" w:rsidRPr="00552F2D">
        <w:rPr>
          <w:rFonts w:ascii="Times New Roman" w:hAnsi="Times New Roman"/>
          <w:sz w:val="24"/>
          <w:szCs w:val="24"/>
        </w:rPr>
        <w:t xml:space="preserve"> s</w:t>
      </w:r>
      <w:r w:rsidR="00711D3E" w:rsidRPr="00552F2D">
        <w:rPr>
          <w:rFonts w:ascii="Times New Roman" w:hAnsi="Times New Roman"/>
          <w:sz w:val="24"/>
          <w:szCs w:val="24"/>
        </w:rPr>
        <w:t xml:space="preserve">ú </w:t>
      </w:r>
      <w:r w:rsidR="004E430D" w:rsidRPr="00552F2D">
        <w:rPr>
          <w:rFonts w:ascii="Times New Roman" w:hAnsi="Times New Roman"/>
          <w:sz w:val="24"/>
          <w:szCs w:val="24"/>
        </w:rPr>
        <w:t xml:space="preserve">pre ilustráciu </w:t>
      </w:r>
      <w:r w:rsidR="00711D3E" w:rsidRPr="00552F2D">
        <w:rPr>
          <w:rFonts w:ascii="Times New Roman" w:hAnsi="Times New Roman"/>
          <w:sz w:val="24"/>
          <w:szCs w:val="24"/>
        </w:rPr>
        <w:t>uvedené</w:t>
      </w:r>
      <w:r w:rsidR="00415E5F" w:rsidRPr="00552F2D">
        <w:rPr>
          <w:rFonts w:ascii="Times New Roman" w:hAnsi="Times New Roman"/>
          <w:sz w:val="24"/>
          <w:szCs w:val="24"/>
        </w:rPr>
        <w:t xml:space="preserve"> základné ukazovatele trhu práce podľa jednotlivých krajov SR bez BSK so stavom k </w:t>
      </w:r>
      <w:r w:rsidR="007210E0" w:rsidRPr="00552F2D">
        <w:rPr>
          <w:rFonts w:ascii="Times New Roman" w:hAnsi="Times New Roman"/>
          <w:sz w:val="24"/>
          <w:szCs w:val="24"/>
        </w:rPr>
        <w:t>31. 1</w:t>
      </w:r>
      <w:r w:rsidR="00621B5B">
        <w:rPr>
          <w:rFonts w:ascii="Times New Roman" w:hAnsi="Times New Roman"/>
          <w:sz w:val="24"/>
          <w:szCs w:val="24"/>
        </w:rPr>
        <w:t>2</w:t>
      </w:r>
      <w:r w:rsidR="007210E0" w:rsidRPr="00552F2D">
        <w:rPr>
          <w:rFonts w:ascii="Times New Roman" w:hAnsi="Times New Roman"/>
          <w:sz w:val="24"/>
          <w:szCs w:val="24"/>
        </w:rPr>
        <w:t>. 201</w:t>
      </w:r>
      <w:r w:rsidR="0096510B" w:rsidRPr="00FB3D54">
        <w:rPr>
          <w:rFonts w:ascii="Times New Roman" w:hAnsi="Times New Roman"/>
          <w:sz w:val="24"/>
          <w:szCs w:val="24"/>
        </w:rPr>
        <w:t>4</w:t>
      </w:r>
      <w:r w:rsidR="00621B5B">
        <w:rPr>
          <w:rFonts w:ascii="Times New Roman" w:hAnsi="Times New Roman"/>
          <w:sz w:val="24"/>
          <w:szCs w:val="24"/>
        </w:rPr>
        <w:t>.</w:t>
      </w:r>
    </w:p>
    <w:p w:rsidR="004E430D" w:rsidRPr="00552F2D" w:rsidRDefault="004E430D" w:rsidP="00FB3D54">
      <w:pPr>
        <w:pStyle w:val="Odsekzoznamu1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21B5B" w:rsidRDefault="00621B5B" w:rsidP="00621B5B">
      <w:pPr>
        <w:spacing w:line="240" w:lineRule="atLeast"/>
        <w:contextualSpacing/>
        <w:rPr>
          <w:rFonts w:eastAsia="Calibri"/>
          <w:szCs w:val="24"/>
          <w:lang w:eastAsia="en-US"/>
        </w:rPr>
      </w:pPr>
      <w:r w:rsidRPr="00621B5B">
        <w:rPr>
          <w:rFonts w:eastAsia="Calibri"/>
          <w:szCs w:val="24"/>
          <w:lang w:eastAsia="en-US"/>
        </w:rPr>
        <w:t>Tabuľka 1 - Základné ukazovatele trhu práce</w:t>
      </w:r>
    </w:p>
    <w:p w:rsidR="00621B5B" w:rsidRPr="00621B5B" w:rsidRDefault="00621B5B" w:rsidP="00621B5B">
      <w:pPr>
        <w:spacing w:line="240" w:lineRule="atLeast"/>
        <w:contextualSpacing/>
        <w:rPr>
          <w:rFonts w:eastAsia="Calibri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42"/>
        <w:gridCol w:w="905"/>
        <w:gridCol w:w="1117"/>
        <w:gridCol w:w="986"/>
        <w:gridCol w:w="824"/>
        <w:gridCol w:w="1441"/>
        <w:gridCol w:w="966"/>
        <w:gridCol w:w="823"/>
      </w:tblGrid>
      <w:tr w:rsidR="00621B5B" w:rsidRPr="00621B5B" w:rsidTr="00621B5B">
        <w:trPr>
          <w:trHeight w:val="25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Ukazovateľ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SR</w:t>
            </w:r>
          </w:p>
        </w:tc>
        <w:tc>
          <w:tcPr>
            <w:tcW w:w="7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v tom kraje</w:t>
            </w:r>
          </w:p>
        </w:tc>
      </w:tr>
      <w:tr w:rsidR="00621B5B" w:rsidRPr="00621B5B" w:rsidTr="00621B5B"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B5B" w:rsidRPr="00621B5B" w:rsidRDefault="00621B5B" w:rsidP="00621B5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B5B" w:rsidRPr="00621B5B" w:rsidRDefault="00621B5B" w:rsidP="00621B5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Trnavský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Trenčiansky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Nitriansky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Žilinský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Banskobystrický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Prešovský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Košický</w:t>
            </w:r>
          </w:p>
        </w:tc>
      </w:tr>
      <w:tr w:rsidR="00621B5B" w:rsidRPr="00621B5B" w:rsidTr="00621B5B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 xml:space="preserve">Stav </w:t>
            </w:r>
            <w:proofErr w:type="spellStart"/>
            <w:r w:rsidRPr="00621B5B">
              <w:rPr>
                <w:rFonts w:eastAsia="Calibri"/>
                <w:sz w:val="18"/>
                <w:szCs w:val="18"/>
              </w:rPr>
              <w:t>UoZ</w:t>
            </w:r>
            <w:proofErr w:type="spellEnd"/>
            <w:r w:rsidRPr="00621B5B">
              <w:rPr>
                <w:rFonts w:eastAsia="Calibri"/>
                <w:sz w:val="18"/>
                <w:szCs w:val="18"/>
              </w:rPr>
              <w:t xml:space="preserve"> ku koncu sledovaného mesiaca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373 754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26 034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31 766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44 060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40 782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63 329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78 527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67 194</w:t>
            </w:r>
          </w:p>
        </w:tc>
      </w:tr>
      <w:tr w:rsidR="00621B5B" w:rsidRPr="00621B5B" w:rsidTr="00621B5B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5B" w:rsidRPr="00621B5B" w:rsidRDefault="00621B5B" w:rsidP="00621B5B">
            <w:pPr>
              <w:contextualSpacing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Miera evidovanej nezamestnanosti (v %)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12,29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8,03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9,56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11,21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10,91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17,22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17,45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B5B" w:rsidRPr="00621B5B" w:rsidRDefault="00621B5B" w:rsidP="00621B5B">
            <w:pPr>
              <w:spacing w:line="240" w:lineRule="atLeas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1B5B">
              <w:rPr>
                <w:rFonts w:eastAsia="Calibri"/>
                <w:sz w:val="18"/>
                <w:szCs w:val="18"/>
              </w:rPr>
              <w:t>15,92</w:t>
            </w:r>
          </w:p>
        </w:tc>
      </w:tr>
    </w:tbl>
    <w:p w:rsidR="00621B5B" w:rsidRDefault="00621B5B" w:rsidP="002A7E3B">
      <w:pPr>
        <w:spacing w:line="240" w:lineRule="atLeast"/>
        <w:contextualSpacing/>
        <w:jc w:val="center"/>
        <w:rPr>
          <w:rFonts w:eastAsia="Calibri"/>
          <w:szCs w:val="24"/>
          <w:lang w:eastAsia="en-US"/>
        </w:rPr>
      </w:pPr>
    </w:p>
    <w:p w:rsidR="00621B5B" w:rsidRPr="00C97A71" w:rsidRDefault="00621B5B" w:rsidP="00C97A71">
      <w:pPr>
        <w:spacing w:line="240" w:lineRule="atLeast"/>
        <w:contextualSpacing/>
        <w:rPr>
          <w:rFonts w:eastAsia="Calibri"/>
          <w:i/>
          <w:sz w:val="20"/>
          <w:lang w:eastAsia="en-US"/>
        </w:rPr>
      </w:pPr>
      <w:r w:rsidRPr="00C97A71">
        <w:rPr>
          <w:rFonts w:eastAsia="Calibri"/>
          <w:i/>
          <w:sz w:val="20"/>
          <w:lang w:eastAsia="en-US"/>
        </w:rPr>
        <w:t>Zdroj: ÚPSVR, 2015</w:t>
      </w:r>
    </w:p>
    <w:p w:rsidR="00621B5B" w:rsidRPr="00621B5B" w:rsidRDefault="00621B5B" w:rsidP="00621B5B">
      <w:pPr>
        <w:rPr>
          <w:rFonts w:ascii="Calibri" w:eastAsia="Calibri" w:hAnsi="Calibri"/>
          <w:sz w:val="22"/>
          <w:szCs w:val="22"/>
          <w:lang w:eastAsia="en-US"/>
        </w:rPr>
      </w:pPr>
    </w:p>
    <w:p w:rsidR="00A86503" w:rsidRDefault="00A86503" w:rsidP="00FB3D54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FB3D54">
        <w:rPr>
          <w:rFonts w:ascii="Times New Roman" w:hAnsi="Times New Roman"/>
          <w:sz w:val="24"/>
          <w:szCs w:val="24"/>
        </w:rPr>
        <w:t>Cieľová skupina projektu</w:t>
      </w:r>
      <w:r w:rsidR="002E3E0C" w:rsidRPr="00FB3D54">
        <w:rPr>
          <w:rFonts w:ascii="Times New Roman" w:hAnsi="Times New Roman"/>
          <w:sz w:val="24"/>
          <w:szCs w:val="24"/>
        </w:rPr>
        <w:t xml:space="preserve"> (v súlade s Programovým manuálom pre OP ZaSI):</w:t>
      </w:r>
    </w:p>
    <w:p w:rsidR="00151815" w:rsidRPr="00FB3D54" w:rsidRDefault="00151815" w:rsidP="00FB3D54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961293" w:rsidRPr="00FB3D54" w:rsidRDefault="007210E0" w:rsidP="00FB3D54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FB3D54">
        <w:rPr>
          <w:rFonts w:ascii="Times New Roman" w:hAnsi="Times New Roman"/>
          <w:sz w:val="24"/>
          <w:szCs w:val="24"/>
        </w:rPr>
        <w:t>- uchádzači o</w:t>
      </w:r>
      <w:r w:rsidR="002D3398" w:rsidRPr="00FB3D54">
        <w:rPr>
          <w:rFonts w:ascii="Times New Roman" w:hAnsi="Times New Roman"/>
          <w:sz w:val="24"/>
          <w:szCs w:val="24"/>
        </w:rPr>
        <w:t> </w:t>
      </w:r>
      <w:r w:rsidRPr="00FB3D54">
        <w:rPr>
          <w:rFonts w:ascii="Times New Roman" w:hAnsi="Times New Roman"/>
          <w:sz w:val="24"/>
          <w:szCs w:val="24"/>
        </w:rPr>
        <w:t>zamestnanie</w:t>
      </w:r>
      <w:r w:rsidR="002D3398" w:rsidRPr="00FB3D54">
        <w:rPr>
          <w:rFonts w:ascii="Times New Roman" w:hAnsi="Times New Roman"/>
          <w:sz w:val="24"/>
          <w:szCs w:val="24"/>
        </w:rPr>
        <w:t xml:space="preserve">  podľa § 6 zákona o službách zamestna</w:t>
      </w:r>
      <w:r w:rsidR="00823A76" w:rsidRPr="00FB3D54">
        <w:rPr>
          <w:rFonts w:ascii="Times New Roman" w:hAnsi="Times New Roman"/>
          <w:sz w:val="24"/>
          <w:szCs w:val="24"/>
        </w:rPr>
        <w:t>n</w:t>
      </w:r>
      <w:r w:rsidR="002D3398" w:rsidRPr="00FB3D54">
        <w:rPr>
          <w:rFonts w:ascii="Times New Roman" w:hAnsi="Times New Roman"/>
          <w:sz w:val="24"/>
          <w:szCs w:val="24"/>
        </w:rPr>
        <w:t>osti</w:t>
      </w:r>
      <w:r w:rsidR="002E3E0C" w:rsidRPr="00FB3D54">
        <w:rPr>
          <w:rFonts w:ascii="Times New Roman" w:hAnsi="Times New Roman"/>
          <w:sz w:val="24"/>
          <w:szCs w:val="24"/>
        </w:rPr>
        <w:t>,</w:t>
      </w:r>
    </w:p>
    <w:p w:rsidR="00961293" w:rsidRPr="00FB3D54" w:rsidRDefault="007210E0" w:rsidP="00FB3D54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FB3D54">
        <w:rPr>
          <w:rFonts w:ascii="Times New Roman" w:hAnsi="Times New Roman"/>
          <w:sz w:val="24"/>
          <w:szCs w:val="24"/>
        </w:rPr>
        <w:t>- znevýhodnení uchádzači o</w:t>
      </w:r>
      <w:r w:rsidR="002D3398" w:rsidRPr="00FB3D54">
        <w:rPr>
          <w:rFonts w:ascii="Times New Roman" w:hAnsi="Times New Roman"/>
          <w:sz w:val="24"/>
          <w:szCs w:val="24"/>
        </w:rPr>
        <w:t> </w:t>
      </w:r>
      <w:r w:rsidRPr="00FB3D54">
        <w:rPr>
          <w:rFonts w:ascii="Times New Roman" w:hAnsi="Times New Roman"/>
          <w:sz w:val="24"/>
          <w:szCs w:val="24"/>
        </w:rPr>
        <w:t>zamestnanie</w:t>
      </w:r>
      <w:r w:rsidR="002D3398" w:rsidRPr="00FB3D54">
        <w:rPr>
          <w:rFonts w:ascii="Times New Roman" w:hAnsi="Times New Roman"/>
          <w:sz w:val="24"/>
          <w:szCs w:val="24"/>
        </w:rPr>
        <w:t xml:space="preserve"> podľa § 8 zákona o službách zamestnanosti</w:t>
      </w:r>
      <w:r w:rsidR="002E3E0C" w:rsidRPr="00FB3D54">
        <w:rPr>
          <w:rFonts w:ascii="Times New Roman" w:hAnsi="Times New Roman"/>
          <w:sz w:val="24"/>
          <w:szCs w:val="24"/>
        </w:rPr>
        <w:t>.</w:t>
      </w:r>
    </w:p>
    <w:p w:rsidR="00151815" w:rsidRDefault="00151815" w:rsidP="00BB5DD5">
      <w:pPr>
        <w:autoSpaceDE w:val="0"/>
        <w:autoSpaceDN w:val="0"/>
        <w:adjustRightInd w:val="0"/>
        <w:spacing w:after="120"/>
        <w:jc w:val="both"/>
        <w:rPr>
          <w:sz w:val="20"/>
          <w:u w:val="single"/>
        </w:rPr>
      </w:pPr>
    </w:p>
    <w:p w:rsidR="00BB5DD5" w:rsidRDefault="00BB5DD5" w:rsidP="00BB5DD5">
      <w:pPr>
        <w:autoSpaceDE w:val="0"/>
        <w:autoSpaceDN w:val="0"/>
        <w:adjustRightInd w:val="0"/>
        <w:spacing w:after="120"/>
        <w:jc w:val="both"/>
        <w:rPr>
          <w:sz w:val="20"/>
          <w:u w:val="single"/>
        </w:rPr>
      </w:pPr>
      <w:r w:rsidRPr="004B4DDB">
        <w:rPr>
          <w:sz w:val="20"/>
          <w:u w:val="single"/>
        </w:rPr>
        <w:t>OČAKÁVANÁ SITUÁCIA PO SKONČENÍ REALIZÁCIE PROJEKTU</w:t>
      </w:r>
    </w:p>
    <w:p w:rsidR="00113F67" w:rsidRDefault="00113F67" w:rsidP="00A664A2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p w:rsidR="002C01B5" w:rsidRDefault="000E596C" w:rsidP="00A664A2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666279">
        <w:rPr>
          <w:szCs w:val="24"/>
        </w:rPr>
        <w:t xml:space="preserve">Do projektu bude celkovo zapojených </w:t>
      </w:r>
      <w:r w:rsidR="00D53143">
        <w:rPr>
          <w:color w:val="000000" w:themeColor="text1"/>
          <w:szCs w:val="24"/>
        </w:rPr>
        <w:t>542</w:t>
      </w:r>
      <w:r>
        <w:rPr>
          <w:szCs w:val="24"/>
        </w:rPr>
        <w:t xml:space="preserve"> </w:t>
      </w:r>
      <w:r w:rsidRPr="00666279">
        <w:rPr>
          <w:szCs w:val="24"/>
        </w:rPr>
        <w:t>osôb cieľovej skupiny</w:t>
      </w:r>
      <w:r w:rsidR="007A15AD">
        <w:rPr>
          <w:szCs w:val="24"/>
        </w:rPr>
        <w:t xml:space="preserve"> (</w:t>
      </w:r>
      <w:proofErr w:type="spellStart"/>
      <w:r w:rsidR="007A15AD">
        <w:rPr>
          <w:szCs w:val="24"/>
        </w:rPr>
        <w:t>UoZ</w:t>
      </w:r>
      <w:proofErr w:type="spellEnd"/>
      <w:r w:rsidR="007A15AD">
        <w:rPr>
          <w:szCs w:val="24"/>
        </w:rPr>
        <w:t xml:space="preserve"> a </w:t>
      </w:r>
      <w:proofErr w:type="spellStart"/>
      <w:r w:rsidR="007A15AD">
        <w:rPr>
          <w:szCs w:val="24"/>
        </w:rPr>
        <w:t>ZUoZ</w:t>
      </w:r>
      <w:proofErr w:type="spellEnd"/>
      <w:r w:rsidR="007A15AD">
        <w:rPr>
          <w:szCs w:val="24"/>
        </w:rPr>
        <w:t>)</w:t>
      </w:r>
      <w:r>
        <w:rPr>
          <w:szCs w:val="24"/>
        </w:rPr>
        <w:t xml:space="preserve">, z toho </w:t>
      </w:r>
      <w:r w:rsidR="00D53143">
        <w:rPr>
          <w:szCs w:val="24"/>
        </w:rPr>
        <w:t>489</w:t>
      </w:r>
      <w:r>
        <w:rPr>
          <w:szCs w:val="24"/>
        </w:rPr>
        <w:t xml:space="preserve"> mužov</w:t>
      </w:r>
      <w:r w:rsidR="002E3E0C">
        <w:rPr>
          <w:szCs w:val="24"/>
        </w:rPr>
        <w:t xml:space="preserve"> (90 %)</w:t>
      </w:r>
      <w:r>
        <w:rPr>
          <w:szCs w:val="24"/>
        </w:rPr>
        <w:t xml:space="preserve"> a </w:t>
      </w:r>
      <w:r w:rsidR="00D53143">
        <w:rPr>
          <w:szCs w:val="24"/>
        </w:rPr>
        <w:t>53</w:t>
      </w:r>
      <w:r>
        <w:rPr>
          <w:szCs w:val="24"/>
        </w:rPr>
        <w:t xml:space="preserve"> žien</w:t>
      </w:r>
      <w:r w:rsidR="002E3E0C">
        <w:rPr>
          <w:szCs w:val="24"/>
        </w:rPr>
        <w:t xml:space="preserve"> (10 %)</w:t>
      </w:r>
      <w:bookmarkStart w:id="1" w:name="_GoBack"/>
      <w:bookmarkEnd w:id="1"/>
      <w:r w:rsidR="00D53143">
        <w:rPr>
          <w:rStyle w:val="Odkaznapoznmkupodiarou"/>
          <w:szCs w:val="24"/>
        </w:rPr>
        <w:footnoteReference w:id="1"/>
      </w:r>
      <w:r>
        <w:rPr>
          <w:szCs w:val="24"/>
        </w:rPr>
        <w:t>.</w:t>
      </w:r>
      <w:r w:rsidR="007A15AD">
        <w:rPr>
          <w:szCs w:val="24"/>
        </w:rPr>
        <w:t xml:space="preserve"> 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704"/>
        <w:gridCol w:w="1037"/>
        <w:gridCol w:w="1229"/>
        <w:gridCol w:w="946"/>
        <w:gridCol w:w="992"/>
        <w:gridCol w:w="944"/>
      </w:tblGrid>
      <w:tr w:rsidR="00D371DF" w:rsidRPr="00561044" w:rsidTr="00AF5DA1">
        <w:tc>
          <w:tcPr>
            <w:tcW w:w="5000" w:type="pct"/>
            <w:gridSpan w:val="7"/>
            <w:shd w:val="clear" w:color="auto" w:fill="00CCFF"/>
          </w:tcPr>
          <w:p w:rsidR="00D371DF" w:rsidRPr="00561044" w:rsidRDefault="00D371DF" w:rsidP="00FB3D54">
            <w:pPr>
              <w:rPr>
                <w:rFonts w:ascii="Arial Narrow" w:hAnsi="Arial Narrow"/>
                <w:b/>
                <w:sz w:val="20"/>
              </w:rPr>
            </w:pPr>
            <w:r w:rsidRPr="00561044">
              <w:rPr>
                <w:rFonts w:ascii="Arial Narrow" w:hAnsi="Arial Narrow"/>
                <w:b/>
                <w:sz w:val="20"/>
              </w:rPr>
              <w:t>Hodnoty merateľných ukazovateľov</w:t>
            </w:r>
          </w:p>
        </w:tc>
      </w:tr>
      <w:tr w:rsidR="00D371DF" w:rsidRPr="00561044" w:rsidTr="00552416">
        <w:tc>
          <w:tcPr>
            <w:tcW w:w="24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1DF" w:rsidRPr="00561044" w:rsidRDefault="00D371DF" w:rsidP="00AF5DA1">
            <w:pPr>
              <w:ind w:right="-108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Typ</w:t>
            </w:r>
          </w:p>
        </w:tc>
        <w:tc>
          <w:tcPr>
            <w:tcW w:w="19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71DF" w:rsidRPr="00561044" w:rsidRDefault="00D371DF" w:rsidP="005D5772">
            <w:pPr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Názov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1DF" w:rsidRPr="00561044" w:rsidRDefault="00D371DF" w:rsidP="00AF5DA1">
            <w:pPr>
              <w:jc w:val="center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Merná jednotka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71DF" w:rsidRPr="00561044" w:rsidRDefault="00D371DF" w:rsidP="005D5772">
            <w:pPr>
              <w:jc w:val="center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Východisková hodnota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1DF" w:rsidRPr="00561044" w:rsidRDefault="00D371DF" w:rsidP="00AF5DA1">
            <w:pPr>
              <w:jc w:val="center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Rok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71DF" w:rsidRPr="00561044" w:rsidRDefault="00D371DF" w:rsidP="00AF5DA1">
            <w:pPr>
              <w:jc w:val="center"/>
              <w:rPr>
                <w:rFonts w:ascii="Arial Narrow" w:hAnsi="Arial Narrow"/>
                <w:sz w:val="20"/>
                <w:vertAlign w:val="superscript"/>
              </w:rPr>
            </w:pPr>
            <w:r w:rsidRPr="00561044">
              <w:rPr>
                <w:rFonts w:ascii="Arial Narrow" w:hAnsi="Arial Narrow"/>
                <w:sz w:val="20"/>
              </w:rPr>
              <w:t>Plánovaná hodnota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1DF" w:rsidRPr="00561044" w:rsidRDefault="00D371DF" w:rsidP="00AF5DA1">
            <w:pPr>
              <w:jc w:val="center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sz w:val="20"/>
              </w:rPr>
              <w:t>Rok</w:t>
            </w:r>
          </w:p>
        </w:tc>
      </w:tr>
      <w:tr w:rsidR="00D53143" w:rsidRPr="00561044" w:rsidTr="00552416">
        <w:trPr>
          <w:trHeight w:val="540"/>
        </w:trPr>
        <w:tc>
          <w:tcPr>
            <w:tcW w:w="2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D53143" w:rsidRPr="00A908A6" w:rsidRDefault="00D53143" w:rsidP="00AF5DA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908A6">
              <w:rPr>
                <w:rFonts w:ascii="Arial Narrow" w:hAnsi="Arial Narrow"/>
                <w:b/>
                <w:bCs/>
                <w:sz w:val="20"/>
              </w:rPr>
              <w:t>Výsledok</w:t>
            </w:r>
          </w:p>
        </w:tc>
        <w:tc>
          <w:tcPr>
            <w:tcW w:w="19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43" w:rsidRPr="004471A8" w:rsidRDefault="00D53143" w:rsidP="00AF5DA1">
            <w:pPr>
              <w:rPr>
                <w:rFonts w:ascii="Arial Narrow" w:hAnsi="Arial Narrow"/>
                <w:sz w:val="20"/>
              </w:rPr>
            </w:pPr>
            <w:r w:rsidRPr="009A72E3">
              <w:rPr>
                <w:sz w:val="20"/>
              </w:rPr>
              <w:t xml:space="preserve">Počet osôb cieľovej skupiny zapojených do podporených projektov – spolu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3143" w:rsidRPr="004F5597" w:rsidRDefault="00D53143" w:rsidP="003D69E5">
            <w:pPr>
              <w:rPr>
                <w:sz w:val="20"/>
              </w:rPr>
            </w:pPr>
            <w:r w:rsidRPr="004F5597">
              <w:rPr>
                <w:sz w:val="20"/>
              </w:rPr>
              <w:t xml:space="preserve">   </w:t>
            </w:r>
          </w:p>
          <w:p w:rsidR="00D53143" w:rsidRPr="00AE7E63" w:rsidRDefault="00D53143" w:rsidP="00AF5DA1">
            <w:pPr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>Počet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43" w:rsidRPr="00AE7E63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>0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4B562A" w:rsidRDefault="00D53143" w:rsidP="00AF5DA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143" w:rsidRPr="00AB02CD" w:rsidRDefault="00D53143" w:rsidP="00AF5DA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143" w:rsidRPr="00AE7E63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72E3">
              <w:rPr>
                <w:sz w:val="20"/>
              </w:rPr>
              <w:t>2015</w:t>
            </w:r>
          </w:p>
        </w:tc>
      </w:tr>
      <w:tr w:rsidR="00D53143" w:rsidRPr="00561044" w:rsidTr="00552416">
        <w:trPr>
          <w:trHeight w:val="391"/>
        </w:trPr>
        <w:tc>
          <w:tcPr>
            <w:tcW w:w="246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D53143" w:rsidRPr="00561044" w:rsidRDefault="00D53143" w:rsidP="00AF5DA1">
            <w:pPr>
              <w:ind w:left="113" w:right="113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43" w:rsidRPr="004471A8" w:rsidRDefault="00D53143" w:rsidP="00AF5DA1">
            <w:pPr>
              <w:rPr>
                <w:rFonts w:ascii="Arial Narrow" w:hAnsi="Arial Narrow"/>
                <w:sz w:val="20"/>
              </w:rPr>
            </w:pPr>
            <w:r w:rsidRPr="009A72E3">
              <w:rPr>
                <w:sz w:val="20"/>
              </w:rPr>
              <w:t xml:space="preserve">Počet osôb cieľovej skupiny zapojených do podporených projektov – muži 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AE7E63" w:rsidRDefault="00D53143" w:rsidP="00AF5DA1">
            <w:pPr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 xml:space="preserve"> 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43" w:rsidRPr="00AE7E63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4B562A" w:rsidRDefault="00D53143" w:rsidP="00AF5DA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43" w:rsidRPr="00AB02CD" w:rsidRDefault="00D53143" w:rsidP="00AF5DA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AE7E63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72E3">
              <w:rPr>
                <w:sz w:val="20"/>
              </w:rPr>
              <w:t>2015</w:t>
            </w:r>
          </w:p>
        </w:tc>
      </w:tr>
      <w:tr w:rsidR="00D53143" w:rsidRPr="00561044" w:rsidTr="00552416">
        <w:trPr>
          <w:trHeight w:val="320"/>
        </w:trPr>
        <w:tc>
          <w:tcPr>
            <w:tcW w:w="246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D53143" w:rsidRPr="00561044" w:rsidRDefault="00D53143" w:rsidP="00AF5DA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43" w:rsidRPr="004471A8" w:rsidRDefault="00D53143" w:rsidP="00AF5DA1">
            <w:pPr>
              <w:rPr>
                <w:rFonts w:ascii="Arial Narrow" w:hAnsi="Arial Narrow"/>
                <w:sz w:val="20"/>
              </w:rPr>
            </w:pPr>
            <w:r w:rsidRPr="009A72E3">
              <w:rPr>
                <w:sz w:val="20"/>
              </w:rPr>
              <w:t xml:space="preserve">Počet osôb cieľovej skupiny zapojených do podporených projektov –ženy 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BE60B1" w:rsidRDefault="00D53143" w:rsidP="00AF5DA1">
            <w:pPr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>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43" w:rsidRPr="00BE60B1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4B562A" w:rsidRDefault="00D53143" w:rsidP="00AF5DA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43" w:rsidRPr="00AB02CD" w:rsidRDefault="00D53143" w:rsidP="00AF5DA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BE60B1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72E3">
              <w:rPr>
                <w:sz w:val="20"/>
              </w:rPr>
              <w:t>2015</w:t>
            </w:r>
          </w:p>
        </w:tc>
      </w:tr>
      <w:tr w:rsidR="00D53143" w:rsidRPr="00561044" w:rsidTr="00552416">
        <w:trPr>
          <w:trHeight w:val="320"/>
        </w:trPr>
        <w:tc>
          <w:tcPr>
            <w:tcW w:w="246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D53143" w:rsidRPr="00561044" w:rsidRDefault="00D53143" w:rsidP="00AF5DA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43" w:rsidRPr="00FB3D54" w:rsidRDefault="00D53143" w:rsidP="00AF5DA1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9A72E3">
              <w:rPr>
                <w:sz w:val="20"/>
              </w:rPr>
              <w:t xml:space="preserve">Počet úspešne umiestnených </w:t>
            </w:r>
            <w:proofErr w:type="spellStart"/>
            <w:r w:rsidRPr="009A72E3">
              <w:rPr>
                <w:sz w:val="20"/>
              </w:rPr>
              <w:t>UoZ</w:t>
            </w:r>
            <w:proofErr w:type="spellEnd"/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17537B" w:rsidRDefault="00D53143" w:rsidP="00AF5DA1">
            <w:pPr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>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43" w:rsidRPr="0017537B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17537B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43" w:rsidRPr="0017537B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43" w:rsidRPr="0017537B" w:rsidRDefault="00D53143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72E3">
              <w:rPr>
                <w:sz w:val="20"/>
              </w:rPr>
              <w:t>2015</w:t>
            </w:r>
          </w:p>
        </w:tc>
      </w:tr>
      <w:tr w:rsidR="00552416" w:rsidRPr="00561044" w:rsidTr="00552416">
        <w:trPr>
          <w:trHeight w:val="394"/>
        </w:trPr>
        <w:tc>
          <w:tcPr>
            <w:tcW w:w="2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552416" w:rsidRPr="00561044" w:rsidRDefault="00552416" w:rsidP="00AF5DA1">
            <w:pPr>
              <w:ind w:left="113" w:right="113"/>
              <w:rPr>
                <w:rFonts w:ascii="Arial Narrow" w:hAnsi="Arial Narrow"/>
                <w:sz w:val="20"/>
              </w:rPr>
            </w:pPr>
            <w:r w:rsidRPr="00561044">
              <w:rPr>
                <w:rFonts w:ascii="Arial Narrow" w:hAnsi="Arial Narrow"/>
                <w:b/>
                <w:bCs/>
                <w:sz w:val="20"/>
              </w:rPr>
              <w:t>Dopad</w:t>
            </w:r>
          </w:p>
        </w:tc>
        <w:tc>
          <w:tcPr>
            <w:tcW w:w="1989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52416" w:rsidRPr="0017537B" w:rsidRDefault="00552416" w:rsidP="00AF5DA1">
            <w:pPr>
              <w:rPr>
                <w:rFonts w:ascii="Arial Narrow" w:hAnsi="Arial Narrow"/>
                <w:sz w:val="20"/>
              </w:rPr>
            </w:pPr>
            <w:r w:rsidRPr="009A72E3">
              <w:rPr>
                <w:sz w:val="20"/>
              </w:rPr>
              <w:t xml:space="preserve">Počet úspešne umiestnených </w:t>
            </w:r>
            <w:proofErr w:type="spellStart"/>
            <w:r w:rsidRPr="009A72E3">
              <w:rPr>
                <w:sz w:val="20"/>
              </w:rPr>
              <w:t>UoZ</w:t>
            </w:r>
            <w:proofErr w:type="spellEnd"/>
            <w:r w:rsidRPr="009A72E3">
              <w:rPr>
                <w:sz w:val="20"/>
              </w:rPr>
              <w:t xml:space="preserve"> -  muži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52416" w:rsidRPr="0017537B" w:rsidDel="005961AF" w:rsidRDefault="00552416" w:rsidP="00AF5DA1">
            <w:pPr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>Počet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52416" w:rsidRPr="0017537B" w:rsidRDefault="00552416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52416" w:rsidRPr="0017537B" w:rsidRDefault="00552416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52416" w:rsidRPr="0017537B" w:rsidRDefault="00552416" w:rsidP="00AF5DA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52416" w:rsidRPr="0017537B" w:rsidRDefault="00552416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20"/>
              </w:rPr>
              <w:t>2018</w:t>
            </w:r>
          </w:p>
        </w:tc>
      </w:tr>
      <w:tr w:rsidR="00552416" w:rsidRPr="00561044" w:rsidTr="00552416">
        <w:trPr>
          <w:trHeight w:val="454"/>
        </w:trPr>
        <w:tc>
          <w:tcPr>
            <w:tcW w:w="24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552416" w:rsidRPr="00561044" w:rsidRDefault="00552416" w:rsidP="00AF5DA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2416" w:rsidRPr="0017537B" w:rsidRDefault="00552416" w:rsidP="00AF5DA1">
            <w:pPr>
              <w:rPr>
                <w:rFonts w:ascii="Arial Narrow" w:hAnsi="Arial Narrow"/>
                <w:sz w:val="20"/>
              </w:rPr>
            </w:pPr>
            <w:r w:rsidRPr="009A72E3">
              <w:rPr>
                <w:sz w:val="20"/>
              </w:rPr>
              <w:t xml:space="preserve">Počet úspešne umiestnených </w:t>
            </w:r>
            <w:proofErr w:type="spellStart"/>
            <w:r w:rsidRPr="009A72E3">
              <w:rPr>
                <w:sz w:val="20"/>
              </w:rPr>
              <w:t>UoZ</w:t>
            </w:r>
            <w:proofErr w:type="spellEnd"/>
            <w:r w:rsidRPr="009A72E3">
              <w:rPr>
                <w:sz w:val="20"/>
              </w:rPr>
              <w:t xml:space="preserve"> -  ženy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416" w:rsidRPr="0017537B" w:rsidDel="005961AF" w:rsidRDefault="00552416" w:rsidP="00AF5DA1">
            <w:pPr>
              <w:rPr>
                <w:rFonts w:ascii="Arial Narrow" w:hAnsi="Arial Narrow"/>
                <w:sz w:val="18"/>
                <w:szCs w:val="18"/>
              </w:rPr>
            </w:pPr>
            <w:r w:rsidRPr="004F5597">
              <w:rPr>
                <w:sz w:val="20"/>
              </w:rPr>
              <w:t>Počet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2416" w:rsidRPr="0017537B" w:rsidRDefault="00552416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416" w:rsidRPr="0017537B" w:rsidRDefault="00552416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2416" w:rsidRPr="0017537B" w:rsidRDefault="00552416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416" w:rsidRPr="0017537B" w:rsidRDefault="00552416" w:rsidP="00AF5D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20"/>
              </w:rPr>
              <w:t>2018</w:t>
            </w:r>
          </w:p>
        </w:tc>
      </w:tr>
    </w:tbl>
    <w:p w:rsidR="00D371DF" w:rsidRDefault="00D371DF" w:rsidP="00D371DF">
      <w:pPr>
        <w:rPr>
          <w:rFonts w:ascii="Arial Narrow" w:hAnsi="Arial Narrow"/>
          <w:sz w:val="4"/>
          <w:szCs w:val="4"/>
        </w:rPr>
      </w:pPr>
    </w:p>
    <w:p w:rsidR="00D371DF" w:rsidRPr="004B562A" w:rsidRDefault="00D371DF" w:rsidP="00D371DF">
      <w:pPr>
        <w:rPr>
          <w:rFonts w:ascii="Arial Narrow" w:hAnsi="Arial Narrow"/>
          <w:sz w:val="20"/>
        </w:rPr>
      </w:pPr>
    </w:p>
    <w:p w:rsidR="00113F67" w:rsidRDefault="00113F67" w:rsidP="000E596C">
      <w:pPr>
        <w:jc w:val="both"/>
        <w:rPr>
          <w:szCs w:val="24"/>
        </w:rPr>
      </w:pPr>
    </w:p>
    <w:p w:rsidR="00113F67" w:rsidRDefault="00113F67" w:rsidP="000E596C">
      <w:pPr>
        <w:jc w:val="both"/>
        <w:rPr>
          <w:szCs w:val="24"/>
        </w:rPr>
      </w:pPr>
    </w:p>
    <w:p w:rsidR="002C01B5" w:rsidRPr="00FB3D54" w:rsidRDefault="000E596C" w:rsidP="000E596C">
      <w:pPr>
        <w:jc w:val="both"/>
        <w:rPr>
          <w:szCs w:val="24"/>
        </w:rPr>
      </w:pPr>
      <w:r w:rsidRPr="00FB3D54">
        <w:rPr>
          <w:szCs w:val="24"/>
        </w:rPr>
        <w:lastRenderedPageBreak/>
        <w:t>Realizácia projektu prispeje najmä k:</w:t>
      </w:r>
    </w:p>
    <w:p w:rsidR="00961293" w:rsidRDefault="007210E0" w:rsidP="00FB3D54">
      <w:pPr>
        <w:pStyle w:val="Odsekzoznamu2"/>
        <w:numPr>
          <w:ilvl w:val="0"/>
          <w:numId w:val="6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osvojeni</w:t>
      </w:r>
      <w:r w:rsidR="0096425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pracovných návykov </w:t>
      </w:r>
      <w:proofErr w:type="spellStart"/>
      <w:r w:rsidRPr="007210E0">
        <w:rPr>
          <w:rFonts w:ascii="Times New Roman" w:hAnsi="Times New Roman"/>
          <w:color w:val="000000" w:themeColor="text1"/>
          <w:sz w:val="24"/>
          <w:szCs w:val="24"/>
        </w:rPr>
        <w:t>UoZ</w:t>
      </w:r>
      <w:proofErr w:type="spellEnd"/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7210E0">
        <w:rPr>
          <w:rFonts w:ascii="Times New Roman" w:hAnsi="Times New Roman"/>
          <w:color w:val="000000" w:themeColor="text1"/>
          <w:sz w:val="24"/>
          <w:szCs w:val="24"/>
        </w:rPr>
        <w:t>ZUoZ</w:t>
      </w:r>
      <w:proofErr w:type="spellEnd"/>
      <w:r w:rsidR="00716C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61293" w:rsidRDefault="007210E0" w:rsidP="00FB3D54">
      <w:pPr>
        <w:pStyle w:val="Odsekzoznamu2"/>
        <w:numPr>
          <w:ilvl w:val="0"/>
          <w:numId w:val="6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sz w:val="24"/>
          <w:szCs w:val="24"/>
        </w:rPr>
        <w:t>dočasné</w:t>
      </w:r>
      <w:r w:rsidR="00964251">
        <w:rPr>
          <w:rFonts w:ascii="Times New Roman" w:hAnsi="Times New Roman"/>
          <w:sz w:val="24"/>
          <w:szCs w:val="24"/>
        </w:rPr>
        <w:t>mu</w:t>
      </w:r>
      <w:r w:rsidRPr="007210E0">
        <w:rPr>
          <w:rFonts w:ascii="Times New Roman" w:hAnsi="Times New Roman"/>
          <w:sz w:val="24"/>
          <w:szCs w:val="24"/>
        </w:rPr>
        <w:t xml:space="preserve"> umiestneni</w:t>
      </w:r>
      <w:r w:rsidR="00621B5B">
        <w:rPr>
          <w:rFonts w:ascii="Times New Roman" w:hAnsi="Times New Roman"/>
          <w:sz w:val="24"/>
          <w:szCs w:val="24"/>
        </w:rPr>
        <w:t>u</w:t>
      </w:r>
      <w:r w:rsidRPr="0072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0E0">
        <w:rPr>
          <w:rFonts w:ascii="Times New Roman" w:hAnsi="Times New Roman"/>
          <w:sz w:val="24"/>
          <w:szCs w:val="24"/>
        </w:rPr>
        <w:t>UoZ</w:t>
      </w:r>
      <w:proofErr w:type="spellEnd"/>
      <w:r w:rsidRPr="007210E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7210E0">
        <w:rPr>
          <w:rFonts w:ascii="Times New Roman" w:hAnsi="Times New Roman"/>
          <w:sz w:val="24"/>
          <w:szCs w:val="24"/>
        </w:rPr>
        <w:t>ZUoZ</w:t>
      </w:r>
      <w:proofErr w:type="spellEnd"/>
      <w:r w:rsidRPr="007210E0">
        <w:rPr>
          <w:rFonts w:ascii="Times New Roman" w:hAnsi="Times New Roman"/>
          <w:sz w:val="24"/>
          <w:szCs w:val="24"/>
        </w:rPr>
        <w:t xml:space="preserve"> na trhu práce</w:t>
      </w:r>
      <w:r w:rsidR="00716C8D">
        <w:rPr>
          <w:rFonts w:ascii="Times New Roman" w:hAnsi="Times New Roman"/>
          <w:sz w:val="24"/>
          <w:szCs w:val="24"/>
        </w:rPr>
        <w:t>,</w:t>
      </w:r>
    </w:p>
    <w:p w:rsidR="00961293" w:rsidRDefault="007210E0" w:rsidP="00FB3D54">
      <w:pPr>
        <w:pStyle w:val="Odsekzoznamu2"/>
        <w:numPr>
          <w:ilvl w:val="0"/>
          <w:numId w:val="6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osvojeni</w:t>
      </w:r>
      <w:r w:rsidR="00621B5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si špeciálnych zručností</w:t>
      </w:r>
      <w:r w:rsidR="007A1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>(ovládanie historických murárskych techník, kamenárskych prác, tesárskych prác a pod.), ktoré zvýšia zamestnateľnosť</w:t>
      </w:r>
      <w:r w:rsidR="007A15AD">
        <w:rPr>
          <w:rFonts w:ascii="Times New Roman" w:hAnsi="Times New Roman"/>
          <w:color w:val="000000" w:themeColor="text1"/>
          <w:sz w:val="24"/>
          <w:szCs w:val="24"/>
        </w:rPr>
        <w:t xml:space="preserve"> cieľovej skupiny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961293" w:rsidRDefault="007210E0" w:rsidP="00FB3D54">
      <w:pPr>
        <w:pStyle w:val="Odsekzoznamu2"/>
        <w:numPr>
          <w:ilvl w:val="0"/>
          <w:numId w:val="6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odstráneniu havarijného stavu častí pamiatok a zabezpečeniu pamiatok pred ďalšou deštrukciou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61293" w:rsidRDefault="007210E0" w:rsidP="00FB3D54">
      <w:pPr>
        <w:pStyle w:val="Odsekzoznamu2"/>
        <w:numPr>
          <w:ilvl w:val="0"/>
          <w:numId w:val="6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užš</w:t>
      </w:r>
      <w:r w:rsidR="007A1AEE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spoluprác</w:t>
      </w:r>
      <w:r w:rsidR="0064100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medzi miestnymi úradmi a obcami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/zamestnávateľskými subjektmi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pri vytváraní spoločných projektov s cieľom vytvárania nových pracovných príležitostí a posilnenia </w:t>
      </w:r>
      <w:proofErr w:type="spellStart"/>
      <w:r w:rsidRPr="007210E0">
        <w:rPr>
          <w:rFonts w:ascii="Times New Roman" w:hAnsi="Times New Roman"/>
          <w:color w:val="000000" w:themeColor="text1"/>
          <w:sz w:val="24"/>
          <w:szCs w:val="24"/>
        </w:rPr>
        <w:t>sociálno</w:t>
      </w:r>
      <w:proofErr w:type="spellEnd"/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– ekonomickej súdržnosti v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>regióne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61293" w:rsidRDefault="007210E0" w:rsidP="00FB3D54">
      <w:pPr>
        <w:pStyle w:val="Odsekzoznamu2"/>
        <w:numPr>
          <w:ilvl w:val="0"/>
          <w:numId w:val="6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vyčisteni</w:t>
      </w:r>
      <w:r w:rsidR="007A1AE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okolia pamiatkových objektov od náletovej zelene a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>sutín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61293" w:rsidRDefault="007210E0" w:rsidP="00FB3D54">
      <w:pPr>
        <w:pStyle w:val="Odsekzoznamu2"/>
        <w:numPr>
          <w:ilvl w:val="0"/>
          <w:numId w:val="6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zlepšeni</w:t>
      </w:r>
      <w:r w:rsidR="007A1AE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prístupu k niektorým pamiatkovým objektom a celkovému zlepšeniu stavu kultúrneho dedičstva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61293" w:rsidRDefault="007210E0" w:rsidP="00FB3D54">
      <w:pPr>
        <w:pStyle w:val="Odsekzoznamu2"/>
        <w:numPr>
          <w:ilvl w:val="0"/>
          <w:numId w:val="6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zlepšeni</w:t>
      </w:r>
      <w:r w:rsidR="007A1AE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vzťahu miestneho obyvateľstva (v tomto prípade nezamestnaných) ku kultúrnemu dedičstvu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61293" w:rsidRDefault="007210E0" w:rsidP="00FB3D54">
      <w:pPr>
        <w:pStyle w:val="Odsekzoznamu2"/>
        <w:numPr>
          <w:ilvl w:val="0"/>
          <w:numId w:val="60"/>
        </w:numPr>
        <w:spacing w:line="240" w:lineRule="auto"/>
        <w:jc w:val="both"/>
        <w:rPr>
          <w:color w:val="000000" w:themeColor="text1"/>
          <w:szCs w:val="24"/>
        </w:rPr>
      </w:pPr>
      <w:r w:rsidRPr="007210E0">
        <w:rPr>
          <w:rFonts w:ascii="Times New Roman" w:hAnsi="Times New Roman"/>
          <w:color w:val="000000" w:themeColor="text1"/>
          <w:sz w:val="24"/>
          <w:szCs w:val="24"/>
        </w:rPr>
        <w:t>nadviazani</w:t>
      </w:r>
      <w:r w:rsidR="007A1AE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7210E0">
        <w:rPr>
          <w:rFonts w:ascii="Times New Roman" w:hAnsi="Times New Roman"/>
          <w:color w:val="000000" w:themeColor="text1"/>
          <w:sz w:val="24"/>
          <w:szCs w:val="24"/>
        </w:rPr>
        <w:t xml:space="preserve"> bližšej spolupráce medzi subjektmi pôsobiacimi v oblasti ochrany kultúrneho dedičstva a </w:t>
      </w:r>
      <w:proofErr w:type="spellStart"/>
      <w:r w:rsidRPr="007210E0">
        <w:rPr>
          <w:rFonts w:ascii="Times New Roman" w:hAnsi="Times New Roman"/>
          <w:color w:val="000000" w:themeColor="text1"/>
          <w:sz w:val="24"/>
          <w:szCs w:val="24"/>
        </w:rPr>
        <w:t>Uo</w:t>
      </w:r>
      <w:r w:rsidR="00716C8D">
        <w:rPr>
          <w:rFonts w:ascii="Times New Roman" w:hAnsi="Times New Roman"/>
          <w:color w:val="000000" w:themeColor="text1"/>
          <w:sz w:val="24"/>
          <w:szCs w:val="24"/>
        </w:rPr>
        <w:t>Z</w:t>
      </w:r>
      <w:proofErr w:type="spellEnd"/>
      <w:r w:rsidR="00716C8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61293" w:rsidRPr="00514910" w:rsidRDefault="003874E5" w:rsidP="00FB3D54">
      <w:pPr>
        <w:numPr>
          <w:ilvl w:val="0"/>
          <w:numId w:val="60"/>
        </w:numPr>
        <w:spacing w:line="240" w:lineRule="atLeast"/>
        <w:jc w:val="both"/>
        <w:rPr>
          <w:szCs w:val="24"/>
        </w:rPr>
      </w:pPr>
      <w:r w:rsidRPr="003874E5">
        <w:rPr>
          <w:szCs w:val="24"/>
        </w:rPr>
        <w:t>oživeni</w:t>
      </w:r>
      <w:r w:rsidR="007A1AEE">
        <w:rPr>
          <w:szCs w:val="24"/>
        </w:rPr>
        <w:t>u</w:t>
      </w:r>
      <w:r w:rsidRPr="003874E5">
        <w:rPr>
          <w:szCs w:val="24"/>
        </w:rPr>
        <w:t xml:space="preserve"> cestovného ruchu  a </w:t>
      </w:r>
      <w:proofErr w:type="spellStart"/>
      <w:r w:rsidRPr="003874E5">
        <w:rPr>
          <w:szCs w:val="24"/>
        </w:rPr>
        <w:t>multiplikačným</w:t>
      </w:r>
      <w:proofErr w:type="spellEnd"/>
      <w:r w:rsidRPr="003874E5">
        <w:rPr>
          <w:szCs w:val="24"/>
        </w:rPr>
        <w:t xml:space="preserve"> efektom  k  rozvoju služieb</w:t>
      </w:r>
      <w:r w:rsidR="00716C8D">
        <w:rPr>
          <w:szCs w:val="24"/>
        </w:rPr>
        <w:t>.</w:t>
      </w:r>
    </w:p>
    <w:p w:rsidR="005D5772" w:rsidRDefault="005D5772">
      <w:pPr>
        <w:spacing w:line="240" w:lineRule="atLeast"/>
        <w:jc w:val="both"/>
      </w:pPr>
    </w:p>
    <w:p w:rsidR="00BB5DD5" w:rsidRPr="00105311" w:rsidRDefault="00BB5DD5" w:rsidP="00C97A71">
      <w:pPr>
        <w:spacing w:before="120"/>
        <w:jc w:val="both"/>
        <w:rPr>
          <w:b/>
          <w:szCs w:val="24"/>
          <w:u w:val="single"/>
        </w:rPr>
      </w:pPr>
      <w:r w:rsidRPr="00105311">
        <w:rPr>
          <w:b/>
          <w:szCs w:val="24"/>
          <w:u w:val="single"/>
        </w:rPr>
        <w:t xml:space="preserve">Spôsob realizácie projektu </w:t>
      </w:r>
    </w:p>
    <w:p w:rsidR="00B44BF2" w:rsidRPr="00321189" w:rsidRDefault="00B44BF2" w:rsidP="00BB5DD5">
      <w:pPr>
        <w:jc w:val="both"/>
      </w:pPr>
    </w:p>
    <w:p w:rsidR="00BB5DD5" w:rsidRPr="00C97A71" w:rsidRDefault="007210E0" w:rsidP="00C97A71">
      <w:pPr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 w:rsidRPr="00C97A71">
        <w:rPr>
          <w:b/>
          <w:szCs w:val="24"/>
        </w:rPr>
        <w:t xml:space="preserve">Štruktúra projektu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3543"/>
        <w:gridCol w:w="993"/>
        <w:gridCol w:w="992"/>
      </w:tblGrid>
      <w:tr w:rsidR="00BB5DD5" w:rsidRPr="00321189" w:rsidTr="00A664A2">
        <w:trPr>
          <w:trHeight w:val="990"/>
        </w:trPr>
        <w:tc>
          <w:tcPr>
            <w:tcW w:w="1560" w:type="dxa"/>
            <w:shd w:val="clear" w:color="auto" w:fill="D9D9D9"/>
            <w:vAlign w:val="center"/>
          </w:tcPr>
          <w:p w:rsidR="00BB5DD5" w:rsidRPr="00321189" w:rsidRDefault="00BB5DD5" w:rsidP="006B69F2">
            <w:pPr>
              <w:spacing w:after="120"/>
              <w:rPr>
                <w:sz w:val="20"/>
              </w:rPr>
            </w:pPr>
            <w:r w:rsidRPr="00321189">
              <w:rPr>
                <w:sz w:val="20"/>
              </w:rPr>
              <w:t>Hlavné aktivity a podaktivity projektu</w:t>
            </w:r>
          </w:p>
        </w:tc>
        <w:tc>
          <w:tcPr>
            <w:tcW w:w="1134" w:type="dxa"/>
            <w:shd w:val="clear" w:color="auto" w:fill="D9D9D9"/>
          </w:tcPr>
          <w:p w:rsidR="00BB5DD5" w:rsidRDefault="00BB5DD5" w:rsidP="00235DFE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Začiatok hlavnej aktivity / podaktivity</w:t>
            </w:r>
          </w:p>
        </w:tc>
        <w:tc>
          <w:tcPr>
            <w:tcW w:w="1134" w:type="dxa"/>
            <w:shd w:val="clear" w:color="auto" w:fill="D9D9D9"/>
          </w:tcPr>
          <w:p w:rsidR="00BB5DD5" w:rsidRDefault="00BB5DD5" w:rsidP="00235DFE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Koniec hlavnej aktivity / podaktivity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BB5DD5" w:rsidRPr="00321189" w:rsidRDefault="00BB5DD5" w:rsidP="00235DFE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21189">
              <w:rPr>
                <w:sz w:val="20"/>
              </w:rPr>
              <w:t>erateľný ukazovateľ výsledku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B5DD5" w:rsidRPr="00321189" w:rsidRDefault="00BB5DD5" w:rsidP="00235DFE">
            <w:pPr>
              <w:spacing w:after="120"/>
              <w:jc w:val="both"/>
              <w:rPr>
                <w:sz w:val="20"/>
              </w:rPr>
            </w:pPr>
            <w:r w:rsidRPr="00321189">
              <w:rPr>
                <w:sz w:val="20"/>
              </w:rPr>
              <w:t>Merná jednotka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B5DD5" w:rsidRPr="00321189" w:rsidRDefault="00BB5DD5" w:rsidP="00235DFE">
            <w:pPr>
              <w:spacing w:after="120"/>
              <w:jc w:val="both"/>
              <w:rPr>
                <w:sz w:val="20"/>
              </w:rPr>
            </w:pPr>
            <w:r w:rsidRPr="00321189">
              <w:rPr>
                <w:sz w:val="20"/>
              </w:rPr>
              <w:t>Počet jednotiek</w:t>
            </w:r>
          </w:p>
        </w:tc>
      </w:tr>
      <w:tr w:rsidR="002C01B5" w:rsidRPr="00514910" w:rsidTr="00FB3D54">
        <w:trPr>
          <w:trHeight w:val="509"/>
        </w:trPr>
        <w:tc>
          <w:tcPr>
            <w:tcW w:w="1560" w:type="dxa"/>
            <w:vMerge w:val="restart"/>
            <w:vAlign w:val="center"/>
          </w:tcPr>
          <w:p w:rsidR="002C01B5" w:rsidRPr="00514910" w:rsidRDefault="002C01B5" w:rsidP="00FB3D54">
            <w:pPr>
              <w:rPr>
                <w:sz w:val="20"/>
              </w:rPr>
            </w:pPr>
            <w:r w:rsidRPr="007A15AD">
              <w:rPr>
                <w:sz w:val="20"/>
              </w:rPr>
              <w:t xml:space="preserve">Poskytovanie príspevkov na podporu zamestnanosti </w:t>
            </w:r>
            <w:proofErr w:type="spellStart"/>
            <w:r w:rsidRPr="007A15AD">
              <w:rPr>
                <w:sz w:val="20"/>
              </w:rPr>
              <w:t>UoZ</w:t>
            </w:r>
            <w:proofErr w:type="spellEnd"/>
            <w:r w:rsidRPr="007A15AD">
              <w:rPr>
                <w:sz w:val="20"/>
              </w:rPr>
              <w:t xml:space="preserve"> a </w:t>
            </w:r>
            <w:proofErr w:type="spellStart"/>
            <w:r w:rsidRPr="007A15AD">
              <w:rPr>
                <w:sz w:val="20"/>
              </w:rPr>
              <w:t>ZUoZ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C01B5" w:rsidRPr="00514910" w:rsidRDefault="002C01B5" w:rsidP="00FB3D54">
            <w:pPr>
              <w:spacing w:after="120"/>
              <w:jc w:val="center"/>
              <w:rPr>
                <w:b/>
                <w:sz w:val="20"/>
              </w:rPr>
            </w:pPr>
            <w:r w:rsidRPr="003874E5">
              <w:rPr>
                <w:b/>
                <w:sz w:val="20"/>
              </w:rPr>
              <w:t>0</w:t>
            </w:r>
            <w:r w:rsidR="00746E14">
              <w:rPr>
                <w:b/>
                <w:sz w:val="20"/>
              </w:rPr>
              <w:t>4</w:t>
            </w:r>
            <w:r w:rsidRPr="003874E5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5</w:t>
            </w:r>
          </w:p>
          <w:p w:rsidR="002C01B5" w:rsidRPr="00514910" w:rsidRDefault="002C01B5" w:rsidP="00FB3D54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01B5" w:rsidRPr="00514910" w:rsidRDefault="002C01B5" w:rsidP="00FB3D5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Pr="003874E5">
              <w:rPr>
                <w:b/>
                <w:sz w:val="20"/>
              </w:rPr>
              <w:t>/2015</w:t>
            </w:r>
          </w:p>
          <w:p w:rsidR="002C01B5" w:rsidRPr="00514910" w:rsidRDefault="002C01B5" w:rsidP="00FB3D54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2C01B5" w:rsidRPr="006B69F2" w:rsidRDefault="002C01B5" w:rsidP="00990D6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C01B5">
              <w:rPr>
                <w:sz w:val="20"/>
              </w:rPr>
              <w:t xml:space="preserve">Počet osôb cieľovej skupiny zapojených do podporených projektov – spolu </w:t>
            </w:r>
          </w:p>
        </w:tc>
        <w:tc>
          <w:tcPr>
            <w:tcW w:w="993" w:type="dxa"/>
            <w:vAlign w:val="center"/>
          </w:tcPr>
          <w:p w:rsidR="002C01B5" w:rsidRPr="006B69F2" w:rsidRDefault="002C01B5" w:rsidP="00FB3D54">
            <w:pPr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6B69F2">
              <w:rPr>
                <w:sz w:val="20"/>
              </w:rPr>
              <w:t>počet</w:t>
            </w:r>
          </w:p>
        </w:tc>
        <w:tc>
          <w:tcPr>
            <w:tcW w:w="992" w:type="dxa"/>
            <w:vAlign w:val="center"/>
          </w:tcPr>
          <w:p w:rsidR="002C01B5" w:rsidRPr="006B69F2" w:rsidRDefault="002C01B5" w:rsidP="00FB3D5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</w:tr>
      <w:tr w:rsidR="002C01B5" w:rsidRPr="00514910" w:rsidTr="00FB3D54">
        <w:trPr>
          <w:trHeight w:val="561"/>
        </w:trPr>
        <w:tc>
          <w:tcPr>
            <w:tcW w:w="1560" w:type="dxa"/>
            <w:vMerge/>
          </w:tcPr>
          <w:p w:rsidR="002C01B5" w:rsidRPr="007A15AD" w:rsidRDefault="002C01B5" w:rsidP="007A15A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C01B5" w:rsidRPr="003874E5" w:rsidRDefault="002C01B5" w:rsidP="00AE4CFD">
            <w:pPr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2C01B5" w:rsidRDefault="002C01B5" w:rsidP="00AE4CFD">
            <w:pPr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2C01B5" w:rsidRPr="006B69F2" w:rsidDel="007A15AD" w:rsidRDefault="002C01B5" w:rsidP="00990D6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C01B5">
              <w:rPr>
                <w:sz w:val="20"/>
              </w:rPr>
              <w:t xml:space="preserve">Počet osôb cieľovej skupiny zapojených do podporených projektov – muži </w:t>
            </w:r>
          </w:p>
        </w:tc>
        <w:tc>
          <w:tcPr>
            <w:tcW w:w="993" w:type="dxa"/>
            <w:vAlign w:val="center"/>
          </w:tcPr>
          <w:p w:rsidR="002C01B5" w:rsidRDefault="002C01B5" w:rsidP="00FB3D54">
            <w:pPr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2C01B5">
              <w:rPr>
                <w:sz w:val="20"/>
              </w:rPr>
              <w:t>počet</w:t>
            </w:r>
          </w:p>
        </w:tc>
        <w:tc>
          <w:tcPr>
            <w:tcW w:w="992" w:type="dxa"/>
            <w:vAlign w:val="center"/>
          </w:tcPr>
          <w:p w:rsidR="002C01B5" w:rsidRDefault="002C01B5" w:rsidP="00FB3D5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</w:tr>
      <w:tr w:rsidR="002C01B5" w:rsidRPr="00514910" w:rsidTr="00FB3D54">
        <w:trPr>
          <w:trHeight w:val="555"/>
        </w:trPr>
        <w:tc>
          <w:tcPr>
            <w:tcW w:w="1560" w:type="dxa"/>
            <w:vMerge/>
          </w:tcPr>
          <w:p w:rsidR="002C01B5" w:rsidRPr="007A15AD" w:rsidRDefault="002C01B5" w:rsidP="007A15A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C01B5" w:rsidRPr="003874E5" w:rsidRDefault="002C01B5" w:rsidP="00AE4CFD">
            <w:pPr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2C01B5" w:rsidRDefault="002C01B5" w:rsidP="00AE4CFD">
            <w:pPr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2C01B5" w:rsidRPr="006B69F2" w:rsidDel="007A15AD" w:rsidRDefault="002C01B5" w:rsidP="00990D6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C01B5">
              <w:rPr>
                <w:sz w:val="20"/>
              </w:rPr>
              <w:t xml:space="preserve">Počet osôb cieľovej skupiny zapojených do podporených projektov –ženy </w:t>
            </w:r>
          </w:p>
        </w:tc>
        <w:tc>
          <w:tcPr>
            <w:tcW w:w="993" w:type="dxa"/>
            <w:vAlign w:val="center"/>
          </w:tcPr>
          <w:p w:rsidR="002C01B5" w:rsidRDefault="002C01B5" w:rsidP="00FB3D54">
            <w:pPr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2C01B5">
              <w:rPr>
                <w:sz w:val="20"/>
              </w:rPr>
              <w:t>počet</w:t>
            </w:r>
          </w:p>
        </w:tc>
        <w:tc>
          <w:tcPr>
            <w:tcW w:w="992" w:type="dxa"/>
            <w:vAlign w:val="center"/>
          </w:tcPr>
          <w:p w:rsidR="002C01B5" w:rsidRDefault="002C01B5" w:rsidP="00FB3D5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2C01B5" w:rsidRPr="00514910" w:rsidTr="00FB3D54">
        <w:trPr>
          <w:trHeight w:val="401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C01B5" w:rsidRPr="007A15AD" w:rsidRDefault="002C01B5" w:rsidP="007A15A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01B5" w:rsidRPr="003874E5" w:rsidRDefault="002C01B5" w:rsidP="00AE4CFD">
            <w:pPr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01B5" w:rsidRDefault="002C01B5" w:rsidP="00AE4CFD">
            <w:pPr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C01B5" w:rsidRPr="006B69F2" w:rsidDel="007A15AD" w:rsidRDefault="002C01B5" w:rsidP="00990D6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C01B5">
              <w:rPr>
                <w:sz w:val="20"/>
              </w:rPr>
              <w:t xml:space="preserve">Počet úspešne umiestnených </w:t>
            </w:r>
            <w:proofErr w:type="spellStart"/>
            <w:r w:rsidRPr="002C01B5">
              <w:rPr>
                <w:sz w:val="20"/>
              </w:rPr>
              <w:t>UoZ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C01B5" w:rsidRDefault="002C01B5" w:rsidP="00FB3D54">
            <w:pPr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2C01B5">
              <w:rPr>
                <w:sz w:val="20"/>
              </w:rPr>
              <w:t>počet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01B5" w:rsidRDefault="00A54FE7" w:rsidP="00FB3D5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</w:tr>
    </w:tbl>
    <w:p w:rsidR="00151815" w:rsidRDefault="00151815" w:rsidP="00A86503">
      <w:pPr>
        <w:autoSpaceDE w:val="0"/>
        <w:autoSpaceDN w:val="0"/>
        <w:adjustRightInd w:val="0"/>
        <w:jc w:val="both"/>
        <w:rPr>
          <w:szCs w:val="24"/>
        </w:rPr>
      </w:pPr>
    </w:p>
    <w:p w:rsidR="005D5772" w:rsidRDefault="003874E5" w:rsidP="00A86503">
      <w:pPr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>
        <w:rPr>
          <w:b/>
          <w:szCs w:val="24"/>
        </w:rPr>
        <w:t>Podrobný popis hlavných aktivít</w:t>
      </w:r>
    </w:p>
    <w:p w:rsidR="00716C8D" w:rsidRPr="00FB3D54" w:rsidRDefault="00716C8D" w:rsidP="00EB09EE">
      <w:pPr>
        <w:ind w:left="2124" w:hanging="2124"/>
        <w:rPr>
          <w:rFonts w:eastAsia="Calibri"/>
          <w:szCs w:val="24"/>
          <w:shd w:val="clear" w:color="auto" w:fill="FFFFFF" w:themeFill="background1"/>
          <w:lang w:eastAsia="en-US"/>
        </w:rPr>
      </w:pPr>
      <w:r w:rsidRPr="00716C8D">
        <w:rPr>
          <w:rFonts w:eastAsia="Calibri"/>
          <w:szCs w:val="24"/>
          <w:u w:val="single"/>
          <w:shd w:val="clear" w:color="auto" w:fill="FFFFFF" w:themeFill="background1"/>
          <w:lang w:eastAsia="en-US"/>
        </w:rPr>
        <w:t>Názov aktivity:</w:t>
      </w:r>
      <w:r w:rsidRPr="00716C8D">
        <w:rPr>
          <w:rFonts w:eastAsia="Calibri"/>
          <w:szCs w:val="24"/>
          <w:shd w:val="clear" w:color="auto" w:fill="FFFFFF" w:themeFill="background1"/>
          <w:lang w:eastAsia="en-US"/>
        </w:rPr>
        <w:t xml:space="preserve"> </w:t>
      </w:r>
      <w:r w:rsidRPr="00716C8D">
        <w:rPr>
          <w:rFonts w:eastAsia="Calibri"/>
          <w:szCs w:val="24"/>
          <w:shd w:val="clear" w:color="auto" w:fill="FFFFFF" w:themeFill="background1"/>
          <w:lang w:eastAsia="en-US"/>
        </w:rPr>
        <w:tab/>
      </w:r>
      <w:r w:rsidRPr="00716C8D">
        <w:rPr>
          <w:rFonts w:eastAsia="Calibri"/>
          <w:b/>
          <w:szCs w:val="24"/>
          <w:shd w:val="clear" w:color="auto" w:fill="FFFFFF" w:themeFill="background1"/>
          <w:lang w:eastAsia="en-US"/>
        </w:rPr>
        <w:t>1.</w:t>
      </w:r>
      <w:r w:rsidRPr="00716C8D">
        <w:rPr>
          <w:rFonts w:eastAsia="Calibri"/>
          <w:szCs w:val="24"/>
          <w:shd w:val="clear" w:color="auto" w:fill="FFFFFF" w:themeFill="background1"/>
          <w:lang w:eastAsia="en-US"/>
        </w:rPr>
        <w:t xml:space="preserve"> </w:t>
      </w:r>
      <w:r w:rsidR="00FA1F8A" w:rsidRPr="00FA1F8A">
        <w:rPr>
          <w:rFonts w:eastAsia="Calibri"/>
          <w:b/>
          <w:szCs w:val="24"/>
          <w:shd w:val="clear" w:color="auto" w:fill="FFFFFF" w:themeFill="background1"/>
          <w:lang w:eastAsia="en-US"/>
        </w:rPr>
        <w:t xml:space="preserve">Poskytovanie príspevkov na podporu zamestnanosti </w:t>
      </w:r>
      <w:proofErr w:type="spellStart"/>
      <w:r w:rsidR="00FA1F8A" w:rsidRPr="00FA1F8A">
        <w:rPr>
          <w:rFonts w:eastAsia="Calibri"/>
          <w:b/>
          <w:szCs w:val="24"/>
          <w:shd w:val="clear" w:color="auto" w:fill="FFFFFF" w:themeFill="background1"/>
          <w:lang w:eastAsia="en-US"/>
        </w:rPr>
        <w:t>UoZ</w:t>
      </w:r>
      <w:proofErr w:type="spellEnd"/>
      <w:r w:rsidR="00FA1F8A" w:rsidRPr="00FA1F8A">
        <w:rPr>
          <w:rFonts w:eastAsia="Calibri"/>
          <w:b/>
          <w:szCs w:val="24"/>
          <w:shd w:val="clear" w:color="auto" w:fill="FFFFFF" w:themeFill="background1"/>
          <w:lang w:eastAsia="en-US"/>
        </w:rPr>
        <w:t xml:space="preserve"> a </w:t>
      </w:r>
      <w:proofErr w:type="spellStart"/>
      <w:r w:rsidR="00FA1F8A" w:rsidRPr="00FA1F8A">
        <w:rPr>
          <w:rFonts w:eastAsia="Calibri"/>
          <w:b/>
          <w:szCs w:val="24"/>
          <w:shd w:val="clear" w:color="auto" w:fill="FFFFFF" w:themeFill="background1"/>
          <w:lang w:eastAsia="en-US"/>
        </w:rPr>
        <w:t>ZUoZ</w:t>
      </w:r>
      <w:proofErr w:type="spellEnd"/>
      <w:r w:rsidRPr="00716C8D">
        <w:rPr>
          <w:rFonts w:eastAsia="Calibri"/>
          <w:szCs w:val="24"/>
          <w:shd w:val="clear" w:color="auto" w:fill="FFFFFF" w:themeFill="background1"/>
          <w:lang w:eastAsia="en-US"/>
        </w:rPr>
        <w:tab/>
      </w:r>
      <w:r w:rsidRPr="00716C8D">
        <w:rPr>
          <w:rFonts w:eastAsia="Calibri"/>
          <w:b/>
          <w:caps/>
          <w:szCs w:val="24"/>
          <w:u w:val="single"/>
          <w:shd w:val="clear" w:color="auto" w:fill="F2F2F2" w:themeFill="background1" w:themeFillShade="F2"/>
          <w:lang w:eastAsia="en-US"/>
        </w:rPr>
        <w:t xml:space="preserve"> </w:t>
      </w:r>
    </w:p>
    <w:p w:rsidR="00716C8D" w:rsidRPr="00716C8D" w:rsidRDefault="00716C8D" w:rsidP="00716C8D">
      <w:pPr>
        <w:rPr>
          <w:szCs w:val="24"/>
          <w:u w:val="single"/>
          <w:shd w:val="clear" w:color="auto" w:fill="D9D9D9" w:themeFill="background1" w:themeFillShade="D9"/>
        </w:rPr>
      </w:pPr>
      <w:r w:rsidRPr="00716C8D">
        <w:rPr>
          <w:rFonts w:eastAsia="Calibri"/>
          <w:caps/>
          <w:szCs w:val="24"/>
          <w:u w:val="single"/>
          <w:shd w:val="clear" w:color="auto" w:fill="FFFFFF" w:themeFill="background1"/>
          <w:lang w:eastAsia="en-US"/>
        </w:rPr>
        <w:t>D</w:t>
      </w:r>
      <w:r w:rsidRPr="00716C8D">
        <w:rPr>
          <w:rFonts w:eastAsia="Calibri"/>
          <w:szCs w:val="24"/>
          <w:u w:val="single"/>
          <w:shd w:val="clear" w:color="auto" w:fill="FFFFFF" w:themeFill="background1"/>
          <w:lang w:eastAsia="en-US"/>
        </w:rPr>
        <w:t>ĺžka realizácie:</w:t>
      </w:r>
      <w:r w:rsidRPr="00716C8D">
        <w:rPr>
          <w:rFonts w:eastAsia="Calibri"/>
          <w:szCs w:val="24"/>
          <w:shd w:val="clear" w:color="auto" w:fill="FFFFFF" w:themeFill="background1"/>
          <w:lang w:eastAsia="en-US"/>
        </w:rPr>
        <w:t xml:space="preserve"> </w:t>
      </w:r>
      <w:r w:rsidRPr="00716C8D">
        <w:rPr>
          <w:szCs w:val="24"/>
          <w:shd w:val="clear" w:color="auto" w:fill="FFFFFF" w:themeFill="background1"/>
        </w:rPr>
        <w:tab/>
      </w:r>
      <w:r w:rsidR="00990D61">
        <w:rPr>
          <w:szCs w:val="24"/>
          <w:shd w:val="clear" w:color="auto" w:fill="FFFFFF" w:themeFill="background1"/>
        </w:rPr>
        <w:t>0</w:t>
      </w:r>
      <w:r w:rsidR="00746E14">
        <w:rPr>
          <w:szCs w:val="24"/>
          <w:shd w:val="clear" w:color="auto" w:fill="FFFFFF" w:themeFill="background1"/>
        </w:rPr>
        <w:t>4</w:t>
      </w:r>
      <w:r>
        <w:rPr>
          <w:szCs w:val="24"/>
          <w:shd w:val="clear" w:color="auto" w:fill="FFFFFF" w:themeFill="background1"/>
        </w:rPr>
        <w:t>/2015</w:t>
      </w:r>
      <w:r w:rsidR="00990D61">
        <w:rPr>
          <w:szCs w:val="24"/>
          <w:shd w:val="clear" w:color="auto" w:fill="FFFFFF" w:themeFill="background1"/>
        </w:rPr>
        <w:t xml:space="preserve"> – 11</w:t>
      </w:r>
      <w:r w:rsidRPr="00716C8D">
        <w:rPr>
          <w:szCs w:val="24"/>
          <w:shd w:val="clear" w:color="auto" w:fill="FFFFFF" w:themeFill="background1"/>
        </w:rPr>
        <w:t xml:space="preserve">/2015 </w:t>
      </w:r>
    </w:p>
    <w:p w:rsidR="00A54FE7" w:rsidRDefault="00A54FE7" w:rsidP="00FB3D54">
      <w:pPr>
        <w:pStyle w:val="Odsekzoznamu1"/>
        <w:ind w:left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A54FE7" w:rsidRPr="00FB3D54" w:rsidRDefault="00AC7B5D" w:rsidP="00FB3D54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AC7B5D">
        <w:rPr>
          <w:szCs w:val="24"/>
          <w:u w:val="single"/>
          <w:shd w:val="clear" w:color="auto" w:fill="FFFFFF" w:themeFill="background1"/>
        </w:rPr>
        <w:t>Popis a realizácia</w:t>
      </w:r>
      <w:r w:rsidRPr="00AC7B5D">
        <w:rPr>
          <w:szCs w:val="24"/>
          <w:u w:val="single"/>
          <w:shd w:val="clear" w:color="auto" w:fill="FFFFFF" w:themeFill="background1"/>
          <w:vertAlign w:val="superscript"/>
        </w:rPr>
        <w:footnoteReference w:id="2"/>
      </w:r>
      <w:r w:rsidRPr="00AC7B5D">
        <w:rPr>
          <w:szCs w:val="24"/>
          <w:u w:val="single"/>
          <w:shd w:val="clear" w:color="auto" w:fill="FFFFFF" w:themeFill="background1"/>
        </w:rPr>
        <w:t>:</w:t>
      </w:r>
      <w:r w:rsidRPr="00AC7B5D">
        <w:rPr>
          <w:szCs w:val="24"/>
          <w:shd w:val="clear" w:color="auto" w:fill="FFFFFF" w:themeFill="background1"/>
        </w:rPr>
        <w:tab/>
      </w:r>
    </w:p>
    <w:p w:rsidR="00FA1F8A" w:rsidRDefault="00FA1F8A" w:rsidP="00A664A2">
      <w:pPr>
        <w:autoSpaceDE w:val="0"/>
        <w:autoSpaceDN w:val="0"/>
        <w:adjustRightInd w:val="0"/>
        <w:jc w:val="both"/>
        <w:rPr>
          <w:szCs w:val="24"/>
        </w:rPr>
      </w:pPr>
      <w:r w:rsidRPr="00FA1F8A">
        <w:rPr>
          <w:szCs w:val="24"/>
        </w:rPr>
        <w:t>Realizácia NP „Zapojenie nezamestnaných do obnovy kultúrneho dedičstva – 3“ v roku 2015 bude určená pre zamestnávateľské subjekty, ktorým schváli dotáciu odborná hodnotiaca komisia MK SR v podprograme 1.4. (Obnova a kon</w:t>
      </w:r>
      <w:r w:rsidR="00675C52">
        <w:rPr>
          <w:szCs w:val="24"/>
        </w:rPr>
        <w:t xml:space="preserve">zervácia </w:t>
      </w:r>
      <w:proofErr w:type="spellStart"/>
      <w:r w:rsidR="00675C52">
        <w:rPr>
          <w:szCs w:val="24"/>
        </w:rPr>
        <w:t>torzálnej</w:t>
      </w:r>
      <w:proofErr w:type="spellEnd"/>
      <w:r w:rsidR="00675C52">
        <w:rPr>
          <w:szCs w:val="24"/>
        </w:rPr>
        <w:t xml:space="preserve"> architektúr</w:t>
      </w:r>
      <w:r w:rsidR="00964251">
        <w:rPr>
          <w:szCs w:val="24"/>
        </w:rPr>
        <w:t>y</w:t>
      </w:r>
      <w:r w:rsidRPr="00FA1F8A">
        <w:rPr>
          <w:szCs w:val="24"/>
        </w:rPr>
        <w:t xml:space="preserve">). Súčasťou žiadostí je vypracovaný projekt s podrobným popisom realizovaných prác, potvrdený príslušným krajským pamiatkovým úradom. Žiadosti posudzuje odborná hodnotiaca komisia na MK SR. Výzva MK SR na predkladanie žiadostí o dotáciu na obnovu národnej kultúrnej </w:t>
      </w:r>
      <w:r w:rsidRPr="00FA1F8A">
        <w:rPr>
          <w:szCs w:val="24"/>
        </w:rPr>
        <w:lastRenderedPageBreak/>
        <w:t xml:space="preserve">pamiatky pre rok 2015 bola zverejnená na stránke MK SR v októbri 2014. Podmienkou zmluvy s MK SR, je predloženie platnej zmluvy uzatvorenej na účel realizácie projektu s územne príslušným úradom. Výzva  je zverejňovaná </w:t>
      </w:r>
      <w:r w:rsidR="00964251">
        <w:rPr>
          <w:szCs w:val="24"/>
        </w:rPr>
        <w:t>MK</w:t>
      </w:r>
      <w:r w:rsidRPr="00FA1F8A">
        <w:rPr>
          <w:szCs w:val="24"/>
        </w:rPr>
        <w:t xml:space="preserve"> SR v zmysle zákona č. 434/2010 Z .z. o poskytovaní dotácií v pôsobnosti MK SR v znení zákona č. 79/2013 Z. z. Odborná komisia MK SR vyhodnotí predložené žiadosti a schváli poskytnutie dotácie z dotačného programu MK SR na rok 2015. Žiadatelia, ktorým bola schválená dotácia z dotačného systému MK SR pre rok 2015 (na iné oprávnené výdavky ako výdavky v rámci tohto NP, napr. archeologický prieskum, nákup stavebného materiálu a pod.) môžu požiadať </w:t>
      </w:r>
      <w:r w:rsidR="00E665F0">
        <w:rPr>
          <w:szCs w:val="24"/>
        </w:rPr>
        <w:t xml:space="preserve">úrad </w:t>
      </w:r>
      <w:r w:rsidR="00641006" w:rsidRPr="00641006">
        <w:rPr>
          <w:szCs w:val="24"/>
        </w:rPr>
        <w:t>v územnej pôsobnosti ktorého sa kultúrna pamiatka nachádza</w:t>
      </w:r>
      <w:r w:rsidR="00641006">
        <w:rPr>
          <w:szCs w:val="24"/>
        </w:rPr>
        <w:t xml:space="preserve">, </w:t>
      </w:r>
      <w:r w:rsidR="00E665F0" w:rsidRPr="00E665F0">
        <w:rPr>
          <w:szCs w:val="24"/>
        </w:rPr>
        <w:t>o poskytnutie  príspevku na podporu</w:t>
      </w:r>
      <w:r w:rsidR="00E665F0">
        <w:rPr>
          <w:szCs w:val="24"/>
        </w:rPr>
        <w:t xml:space="preserve"> zamestnanosti </w:t>
      </w:r>
      <w:proofErr w:type="spellStart"/>
      <w:r w:rsidR="00E665F0">
        <w:rPr>
          <w:szCs w:val="24"/>
        </w:rPr>
        <w:t>UoZ</w:t>
      </w:r>
      <w:proofErr w:type="spellEnd"/>
      <w:r w:rsidR="00E665F0">
        <w:rPr>
          <w:szCs w:val="24"/>
        </w:rPr>
        <w:t xml:space="preserve"> a </w:t>
      </w:r>
      <w:proofErr w:type="spellStart"/>
      <w:r w:rsidR="00E665F0">
        <w:rPr>
          <w:szCs w:val="24"/>
        </w:rPr>
        <w:t>ZUoZ</w:t>
      </w:r>
      <w:proofErr w:type="spellEnd"/>
      <w:r w:rsidR="00E665F0">
        <w:rPr>
          <w:szCs w:val="24"/>
        </w:rPr>
        <w:t xml:space="preserve">. Do </w:t>
      </w:r>
      <w:r w:rsidR="00E665F0" w:rsidRPr="00E665F0">
        <w:rPr>
          <w:szCs w:val="24"/>
        </w:rPr>
        <w:t xml:space="preserve">NP sa môžu zapojiť občianske združenia, neziskové organizácie, nadácie, obce alebo aj iné právnické osoby, ktorým bude schválená dotácia z MK SR </w:t>
      </w:r>
      <w:r w:rsidR="00AE46C6" w:rsidRPr="00AE46C6">
        <w:rPr>
          <w:szCs w:val="24"/>
        </w:rPr>
        <w:t>v súlade s</w:t>
      </w:r>
      <w:r w:rsidR="00964251">
        <w:rPr>
          <w:szCs w:val="24"/>
        </w:rPr>
        <w:t xml:space="preserve">o </w:t>
      </w:r>
      <w:r w:rsidR="00AE46C6" w:rsidRPr="00AE46C6">
        <w:rPr>
          <w:szCs w:val="24"/>
        </w:rPr>
        <w:t xml:space="preserve">zákonom </w:t>
      </w:r>
      <w:r w:rsidR="00964251">
        <w:rPr>
          <w:szCs w:val="24"/>
        </w:rPr>
        <w:t xml:space="preserve">č. </w:t>
      </w:r>
      <w:r w:rsidR="00AE46C6" w:rsidRPr="00AE46C6">
        <w:rPr>
          <w:szCs w:val="24"/>
        </w:rPr>
        <w:t xml:space="preserve">434/2010 </w:t>
      </w:r>
      <w:r w:rsidR="007A1AEE">
        <w:rPr>
          <w:szCs w:val="24"/>
        </w:rPr>
        <w:t>Z</w:t>
      </w:r>
      <w:r w:rsidR="00964251" w:rsidRPr="00964251">
        <w:rPr>
          <w:szCs w:val="24"/>
        </w:rPr>
        <w:t>.</w:t>
      </w:r>
      <w:r w:rsidR="007A1AEE">
        <w:rPr>
          <w:szCs w:val="24"/>
        </w:rPr>
        <w:t xml:space="preserve"> </w:t>
      </w:r>
      <w:r w:rsidR="00964251" w:rsidRPr="00964251">
        <w:rPr>
          <w:szCs w:val="24"/>
        </w:rPr>
        <w:t>z. o poskytovaní dotácií v pôsobnosti MK SR v znení zákona č. 79/2013 Z. z.</w:t>
      </w:r>
      <w:r w:rsidR="00AE46C6" w:rsidRPr="00AE46C6">
        <w:rPr>
          <w:szCs w:val="24"/>
        </w:rPr>
        <w:t>, ktorým bude schválená dotácia z MK SR.</w:t>
      </w:r>
    </w:p>
    <w:p w:rsidR="00FA1F8A" w:rsidRDefault="00FA1F8A" w:rsidP="00FB3D5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86921">
        <w:rPr>
          <w:szCs w:val="24"/>
        </w:rPr>
        <w:t xml:space="preserve">Na podporu realizácie spoločných projektov na obnovu kultúrneho dedičstva </w:t>
      </w:r>
      <w:r>
        <w:rPr>
          <w:szCs w:val="24"/>
        </w:rPr>
        <w:t>je plánované</w:t>
      </w:r>
      <w:r w:rsidRPr="00A86921">
        <w:rPr>
          <w:szCs w:val="24"/>
        </w:rPr>
        <w:t xml:space="preserve"> </w:t>
      </w:r>
      <w:r>
        <w:rPr>
          <w:szCs w:val="24"/>
        </w:rPr>
        <w:t>(</w:t>
      </w:r>
      <w:r w:rsidRPr="00A86921">
        <w:rPr>
          <w:szCs w:val="24"/>
        </w:rPr>
        <w:t>p</w:t>
      </w:r>
      <w:r>
        <w:rPr>
          <w:szCs w:val="24"/>
        </w:rPr>
        <w:t xml:space="preserve">odobne ako v predchádzajúcom NP) uzatvorenie </w:t>
      </w:r>
      <w:r w:rsidRPr="00A86921">
        <w:rPr>
          <w:szCs w:val="24"/>
        </w:rPr>
        <w:t>„Dohod</w:t>
      </w:r>
      <w:r>
        <w:rPr>
          <w:szCs w:val="24"/>
        </w:rPr>
        <w:t>y</w:t>
      </w:r>
      <w:r w:rsidRPr="00A86921">
        <w:rPr>
          <w:szCs w:val="24"/>
        </w:rPr>
        <w:t xml:space="preserve"> o vzájomnej spolupráci medzi Ministerstvom kultúry </w:t>
      </w:r>
      <w:r w:rsidR="007A1AEE">
        <w:rPr>
          <w:szCs w:val="24"/>
        </w:rPr>
        <w:t>Slovenskej republiky</w:t>
      </w:r>
      <w:r w:rsidRPr="00A86921">
        <w:rPr>
          <w:szCs w:val="24"/>
        </w:rPr>
        <w:t xml:space="preserve"> a Ministerstvom práce, sociálnych vecí a rodiny </w:t>
      </w:r>
      <w:r w:rsidR="007A1AEE">
        <w:rPr>
          <w:szCs w:val="24"/>
        </w:rPr>
        <w:t>Slovenskej republiky</w:t>
      </w:r>
      <w:r w:rsidRPr="00A86921">
        <w:rPr>
          <w:szCs w:val="24"/>
        </w:rPr>
        <w:t xml:space="preserve"> a Ústredím práce, sociálnych vecí a</w:t>
      </w:r>
      <w:r>
        <w:rPr>
          <w:szCs w:val="24"/>
        </w:rPr>
        <w:t> </w:t>
      </w:r>
      <w:r w:rsidRPr="00A86921">
        <w:rPr>
          <w:szCs w:val="24"/>
        </w:rPr>
        <w:t>rodiny</w:t>
      </w:r>
      <w:r>
        <w:rPr>
          <w:szCs w:val="24"/>
        </w:rPr>
        <w:t>“</w:t>
      </w:r>
      <w:r w:rsidRPr="00A86921">
        <w:rPr>
          <w:szCs w:val="24"/>
        </w:rPr>
        <w:t xml:space="preserve">. </w:t>
      </w:r>
      <w:r>
        <w:rPr>
          <w:szCs w:val="24"/>
        </w:rPr>
        <w:t>Vzhľadom na rozdielne časové harmonogramy predkladaných projektov na MK SR, je časový harmonogram predkladaného NP</w:t>
      </w:r>
      <w:r>
        <w:rPr>
          <w:b/>
        </w:rPr>
        <w:t xml:space="preserve"> </w:t>
      </w:r>
      <w:r>
        <w:rPr>
          <w:szCs w:val="24"/>
        </w:rPr>
        <w:t>viazaný iba na hlavnú aktivitu a časové harmonogramy na ostatné činnosti nie sú špecifikované.</w:t>
      </w:r>
    </w:p>
    <w:p w:rsidR="00716C8D" w:rsidRPr="00FB3D54" w:rsidRDefault="00A54FE7" w:rsidP="00FB3D5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51815">
        <w:rPr>
          <w:szCs w:val="24"/>
        </w:rPr>
        <w:t xml:space="preserve">Cieľovú skupinu projektu, pre ktorú zamestnávateľ vytvorí pracovné miesto a  uzavrie pracovný pomer </w:t>
      </w:r>
      <w:r w:rsidR="00FA1F8A">
        <w:rPr>
          <w:szCs w:val="24"/>
        </w:rPr>
        <w:t xml:space="preserve">na dobu určitú </w:t>
      </w:r>
      <w:r w:rsidRPr="00151815">
        <w:rPr>
          <w:szCs w:val="24"/>
        </w:rPr>
        <w:t xml:space="preserve">pri obnove kultúrneho dedičstva, tvoria </w:t>
      </w:r>
      <w:proofErr w:type="spellStart"/>
      <w:r w:rsidRPr="00151815">
        <w:rPr>
          <w:szCs w:val="24"/>
        </w:rPr>
        <w:t>UoZ</w:t>
      </w:r>
      <w:proofErr w:type="spellEnd"/>
      <w:r w:rsidR="00E665F0">
        <w:rPr>
          <w:szCs w:val="24"/>
        </w:rPr>
        <w:t xml:space="preserve"> a </w:t>
      </w:r>
      <w:proofErr w:type="spellStart"/>
      <w:r w:rsidR="00E665F0">
        <w:rPr>
          <w:szCs w:val="24"/>
        </w:rPr>
        <w:t>ZUoZ</w:t>
      </w:r>
      <w:proofErr w:type="spellEnd"/>
      <w:r w:rsidR="00E665F0">
        <w:rPr>
          <w:szCs w:val="24"/>
        </w:rPr>
        <w:t xml:space="preserve"> </w:t>
      </w:r>
      <w:r w:rsidR="00E665F0" w:rsidRPr="00E665F0">
        <w:rPr>
          <w:szCs w:val="24"/>
        </w:rPr>
        <w:t xml:space="preserve">vedení v evidencii </w:t>
      </w:r>
      <w:proofErr w:type="spellStart"/>
      <w:r w:rsidR="00E665F0" w:rsidRPr="00E665F0">
        <w:rPr>
          <w:szCs w:val="24"/>
        </w:rPr>
        <w:t>UoZ</w:t>
      </w:r>
      <w:proofErr w:type="spellEnd"/>
      <w:r w:rsidR="00E665F0" w:rsidRPr="00E665F0">
        <w:rPr>
          <w:szCs w:val="24"/>
        </w:rPr>
        <w:t xml:space="preserve">. </w:t>
      </w:r>
      <w:proofErr w:type="spellStart"/>
      <w:r w:rsidR="00E665F0" w:rsidRPr="00E665F0">
        <w:rPr>
          <w:szCs w:val="24"/>
        </w:rPr>
        <w:t>UoZ</w:t>
      </w:r>
      <w:proofErr w:type="spellEnd"/>
      <w:r w:rsidR="00E665F0" w:rsidRPr="00E665F0">
        <w:rPr>
          <w:szCs w:val="24"/>
        </w:rPr>
        <w:t xml:space="preserve"> a </w:t>
      </w:r>
      <w:proofErr w:type="spellStart"/>
      <w:r w:rsidR="00E665F0" w:rsidRPr="00E665F0">
        <w:rPr>
          <w:szCs w:val="24"/>
        </w:rPr>
        <w:t>ZUoZ</w:t>
      </w:r>
      <w:proofErr w:type="spellEnd"/>
      <w:r w:rsidR="00E665F0" w:rsidRPr="00E665F0">
        <w:rPr>
          <w:szCs w:val="24"/>
        </w:rPr>
        <w:t xml:space="preserve"> môže byť zaradený do NP najskôr odo dňa nasledujúceho po dni doručenia oznámenia o zaradení do evidencie </w:t>
      </w:r>
      <w:proofErr w:type="spellStart"/>
      <w:r w:rsidR="00E665F0" w:rsidRPr="00E665F0">
        <w:rPr>
          <w:szCs w:val="24"/>
        </w:rPr>
        <w:t>UoZ</w:t>
      </w:r>
      <w:proofErr w:type="spellEnd"/>
      <w:r w:rsidR="00E665F0" w:rsidRPr="00E665F0">
        <w:rPr>
          <w:szCs w:val="24"/>
        </w:rPr>
        <w:t xml:space="preserve">. </w:t>
      </w:r>
      <w:r w:rsidRPr="004E430D">
        <w:rPr>
          <w:szCs w:val="24"/>
        </w:rPr>
        <w:t xml:space="preserve">V rámci obnovy a údržby pamiatok budú </w:t>
      </w:r>
      <w:proofErr w:type="spellStart"/>
      <w:r w:rsidRPr="004E430D">
        <w:rPr>
          <w:szCs w:val="24"/>
        </w:rPr>
        <w:t>UoZ</w:t>
      </w:r>
      <w:proofErr w:type="spellEnd"/>
      <w:r w:rsidRPr="004E430D">
        <w:rPr>
          <w:szCs w:val="24"/>
        </w:rPr>
        <w:t xml:space="preserve"> a </w:t>
      </w:r>
      <w:proofErr w:type="spellStart"/>
      <w:r w:rsidRPr="004E430D">
        <w:rPr>
          <w:szCs w:val="24"/>
        </w:rPr>
        <w:t>ZUoZ</w:t>
      </w:r>
      <w:proofErr w:type="spellEnd"/>
      <w:r w:rsidRPr="004E430D">
        <w:rPr>
          <w:szCs w:val="24"/>
        </w:rPr>
        <w:t xml:space="preserve"> vykonávať napr. nasledovné činnosti: čistenie od náletovej zelene a drevín, čistenie areálu od sutiny, stavebné práce, remeselné práce, pomocné a zabezpečovacie práce a pod. Uvedené úpravy sa týkajú obnovy historických pamiatok v zmysle podporených projektov MK SR.</w:t>
      </w:r>
    </w:p>
    <w:p w:rsidR="00415664" w:rsidRPr="00137A3B" w:rsidRDefault="003874E5" w:rsidP="005A29AA">
      <w:pPr>
        <w:pStyle w:val="Odsekzoznamu1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46DE">
        <w:rPr>
          <w:rFonts w:ascii="Times New Roman" w:hAnsi="Times New Roman"/>
          <w:sz w:val="24"/>
          <w:szCs w:val="24"/>
        </w:rPr>
        <w:t xml:space="preserve">Hlavná aktivita </w:t>
      </w:r>
      <w:r w:rsidR="00E665F0">
        <w:rPr>
          <w:rFonts w:ascii="Times New Roman" w:hAnsi="Times New Roman"/>
          <w:sz w:val="24"/>
          <w:szCs w:val="24"/>
        </w:rPr>
        <w:t>NP</w:t>
      </w:r>
      <w:r w:rsidRPr="00D546DE">
        <w:rPr>
          <w:rFonts w:ascii="Times New Roman" w:hAnsi="Times New Roman"/>
          <w:sz w:val="24"/>
          <w:szCs w:val="24"/>
        </w:rPr>
        <w:t xml:space="preserve"> bude realizovaná na základe dohody uzatvorenej medzi príslušným úradom a zamestnávateľom. </w:t>
      </w:r>
      <w:r w:rsidR="00D546DE" w:rsidRPr="00D546DE">
        <w:rPr>
          <w:rFonts w:ascii="Times New Roman" w:hAnsi="Times New Roman"/>
          <w:color w:val="000000"/>
          <w:sz w:val="24"/>
          <w:szCs w:val="24"/>
        </w:rPr>
        <w:t xml:space="preserve">Zamestnávateľ sa zaviaže vytvoriť príslušný počet pracovných miest, prijať do zamestnania na dobu </w:t>
      </w:r>
      <w:r w:rsidR="00D546DE" w:rsidRPr="00D546DE">
        <w:rPr>
          <w:rFonts w:ascii="Times New Roman" w:hAnsi="Times New Roman"/>
          <w:b/>
          <w:color w:val="000000"/>
          <w:sz w:val="24"/>
          <w:szCs w:val="24"/>
        </w:rPr>
        <w:t>max. 6 mesiacov</w:t>
      </w:r>
      <w:r w:rsidR="00D546DE" w:rsidRPr="00D546DE">
        <w:rPr>
          <w:rFonts w:ascii="Times New Roman" w:hAnsi="Times New Roman"/>
          <w:color w:val="000000"/>
          <w:sz w:val="24"/>
          <w:szCs w:val="24"/>
        </w:rPr>
        <w:t xml:space="preserve"> určitý počet </w:t>
      </w:r>
      <w:proofErr w:type="spellStart"/>
      <w:r w:rsidR="00D546DE" w:rsidRPr="00D546DE">
        <w:rPr>
          <w:rFonts w:ascii="Times New Roman" w:hAnsi="Times New Roman"/>
          <w:color w:val="000000"/>
          <w:sz w:val="24"/>
          <w:szCs w:val="24"/>
        </w:rPr>
        <w:t>UoZ</w:t>
      </w:r>
      <w:proofErr w:type="spellEnd"/>
      <w:r w:rsidR="00D546DE" w:rsidRPr="00D546DE">
        <w:rPr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 w:rsidR="007A1AEE">
        <w:rPr>
          <w:rFonts w:ascii="Times New Roman" w:hAnsi="Times New Roman"/>
          <w:color w:val="000000"/>
          <w:sz w:val="24"/>
          <w:szCs w:val="24"/>
        </w:rPr>
        <w:t>Z</w:t>
      </w:r>
      <w:r w:rsidR="00D546DE" w:rsidRPr="00D546DE">
        <w:rPr>
          <w:rFonts w:ascii="Times New Roman" w:hAnsi="Times New Roman"/>
          <w:color w:val="000000"/>
          <w:sz w:val="24"/>
          <w:szCs w:val="24"/>
        </w:rPr>
        <w:t>UoZ</w:t>
      </w:r>
      <w:proofErr w:type="spellEnd"/>
      <w:r w:rsidR="005A29A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A29AA" w:rsidRPr="005A29AA">
        <w:rPr>
          <w:rFonts w:ascii="Times New Roman" w:hAnsi="Times New Roman"/>
          <w:color w:val="000000"/>
          <w:sz w:val="24"/>
          <w:szCs w:val="24"/>
        </w:rPr>
        <w:t>zabezpečiť im prácu v rozsahu ustanoveného týždenného pracovného času a zaškoliť ich na výkon takých odborných alebo pomocných činností,  ktoré sú schopní vykonávať.</w:t>
      </w:r>
    </w:p>
    <w:p w:rsidR="00415664" w:rsidRPr="00FB3D54" w:rsidRDefault="00415664" w:rsidP="00746E14">
      <w:pPr>
        <w:jc w:val="both"/>
        <w:rPr>
          <w:color w:val="000000" w:themeColor="text1"/>
          <w:szCs w:val="24"/>
        </w:rPr>
      </w:pPr>
      <w:r w:rsidRPr="00FB3D54">
        <w:rPr>
          <w:szCs w:val="24"/>
        </w:rPr>
        <w:t xml:space="preserve">Podľa typu vykonaných prác sa vytvoria </w:t>
      </w:r>
      <w:r w:rsidRPr="00FB3D54">
        <w:rPr>
          <w:color w:val="000000" w:themeColor="text1"/>
          <w:szCs w:val="24"/>
        </w:rPr>
        <w:t>dve pracovné skupiny:</w:t>
      </w:r>
    </w:p>
    <w:p w:rsidR="00415664" w:rsidRPr="00A86921" w:rsidRDefault="00746E14" w:rsidP="00FB3D54">
      <w:pPr>
        <w:tabs>
          <w:tab w:val="left" w:pos="1853"/>
        </w:tabs>
        <w:jc w:val="both"/>
        <w:rPr>
          <w:szCs w:val="24"/>
        </w:rPr>
      </w:pPr>
      <w:r>
        <w:rPr>
          <w:szCs w:val="24"/>
        </w:rPr>
        <w:tab/>
      </w:r>
    </w:p>
    <w:p w:rsidR="00415664" w:rsidRDefault="00415664" w:rsidP="00FB3D54">
      <w:pPr>
        <w:numPr>
          <w:ilvl w:val="2"/>
          <w:numId w:val="29"/>
        </w:numPr>
        <w:jc w:val="both"/>
        <w:rPr>
          <w:szCs w:val="24"/>
        </w:rPr>
      </w:pPr>
      <w:r w:rsidRPr="00A86921">
        <w:rPr>
          <w:szCs w:val="24"/>
        </w:rPr>
        <w:t>skupina na pomocné práce – zameraná na menej kvalifikované a pomocné práce (čistenie a triedenie sutiny, pomocné stavebné práce, čistenie areálu a vývoz odpadu, odstraňovanie náletovej zelene a trávnych porastov, úprava ciest a prístupových komunikácií, úprava zelene parkov, pomocné práce pri príprave a revitalizácii informačných tabúľ,</w:t>
      </w:r>
      <w:r w:rsidR="00E665F0">
        <w:rPr>
          <w:szCs w:val="24"/>
        </w:rPr>
        <w:t xml:space="preserve"> </w:t>
      </w:r>
      <w:r w:rsidRPr="00A86921">
        <w:rPr>
          <w:szCs w:val="24"/>
        </w:rPr>
        <w:t>údržba a prípadná revitalizácia náučných chodníkov a pod.)</w:t>
      </w:r>
      <w:r w:rsidR="00BB64D6">
        <w:rPr>
          <w:szCs w:val="24"/>
        </w:rPr>
        <w:t>,</w:t>
      </w:r>
    </w:p>
    <w:p w:rsidR="00415664" w:rsidRDefault="00415664" w:rsidP="00FB3D54">
      <w:pPr>
        <w:numPr>
          <w:ilvl w:val="2"/>
          <w:numId w:val="29"/>
        </w:numPr>
        <w:jc w:val="both"/>
        <w:rPr>
          <w:b/>
          <w:szCs w:val="24"/>
        </w:rPr>
      </w:pPr>
      <w:r w:rsidRPr="00A86921">
        <w:rPr>
          <w:szCs w:val="24"/>
        </w:rPr>
        <w:t>skupina na odborné práce – zameraná na odbornú činnosť spojenú priamo s činnosťami schváleného grantu (napr. murárske práce - murovanie stredovekými technikami), archeologický výskum, vedenie účtovníctva, záhradná architektúra, remeselné práce – tesárske, pokrývačské, kamenárske, konzervovanie muriva).</w:t>
      </w:r>
    </w:p>
    <w:p w:rsidR="001538A1" w:rsidRPr="001538A1" w:rsidRDefault="001538A1">
      <w:pPr>
        <w:ind w:left="360"/>
        <w:jc w:val="both"/>
        <w:rPr>
          <w:b/>
          <w:szCs w:val="24"/>
        </w:rPr>
      </w:pPr>
    </w:p>
    <w:p w:rsidR="00415664" w:rsidRPr="00137A3B" w:rsidRDefault="00415664" w:rsidP="00A664A2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A86921">
        <w:rPr>
          <w:rFonts w:ascii="Times New Roman" w:hAnsi="Times New Roman"/>
          <w:sz w:val="24"/>
          <w:szCs w:val="24"/>
        </w:rPr>
        <w:t>Všetky skupiny budú riadené odborným koordinátorom financovaným z dotácie MK SR, ktorého zabezpečuje žiadateľ. V prípade, ak si to vyžaduje projekt, zabezpečí aj stavebný dozor</w:t>
      </w:r>
      <w:r w:rsidRPr="00137A3B">
        <w:rPr>
          <w:rFonts w:ascii="Times New Roman" w:hAnsi="Times New Roman"/>
          <w:sz w:val="24"/>
          <w:szCs w:val="24"/>
        </w:rPr>
        <w:t xml:space="preserve">. </w:t>
      </w:r>
    </w:p>
    <w:p w:rsidR="00415664" w:rsidRDefault="00415664" w:rsidP="00415664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C97A71" w:rsidRDefault="00C97A71" w:rsidP="00415664">
      <w:pPr>
        <w:pStyle w:val="Odsekzoznamu1"/>
        <w:ind w:left="0"/>
        <w:rPr>
          <w:rFonts w:ascii="Times New Roman" w:hAnsi="Times New Roman"/>
          <w:sz w:val="24"/>
          <w:szCs w:val="24"/>
        </w:rPr>
      </w:pPr>
    </w:p>
    <w:p w:rsidR="00415664" w:rsidRPr="006A5CAB" w:rsidRDefault="00415664" w:rsidP="00415664">
      <w:pPr>
        <w:pStyle w:val="Odsekzoznamu1"/>
        <w:ind w:left="0"/>
        <w:rPr>
          <w:rFonts w:ascii="Times New Roman" w:hAnsi="Times New Roman"/>
          <w:sz w:val="24"/>
          <w:szCs w:val="24"/>
        </w:rPr>
      </w:pPr>
      <w:r w:rsidRPr="006A5CAB">
        <w:rPr>
          <w:rFonts w:ascii="Times New Roman" w:hAnsi="Times New Roman"/>
          <w:sz w:val="24"/>
          <w:szCs w:val="24"/>
        </w:rPr>
        <w:lastRenderedPageBreak/>
        <w:t xml:space="preserve">PRACOVNÁ  NÁPLŇ  PRE  ZAMESTNANCOV – 2  POZÍCIE: </w:t>
      </w:r>
    </w:p>
    <w:p w:rsidR="00415664" w:rsidRPr="006A5CAB" w:rsidRDefault="00415664" w:rsidP="00415664">
      <w:pPr>
        <w:pStyle w:val="Odsekzoznamu1"/>
        <w:ind w:left="0"/>
        <w:rPr>
          <w:rFonts w:ascii="Times New Roman" w:hAnsi="Times New Roman"/>
          <w:sz w:val="24"/>
          <w:szCs w:val="24"/>
        </w:rPr>
      </w:pPr>
    </w:p>
    <w:p w:rsidR="00415664" w:rsidRPr="00A664A2" w:rsidRDefault="00415664" w:rsidP="00415664">
      <w:pPr>
        <w:pStyle w:val="Odsekzoznamu1"/>
        <w:ind w:left="0"/>
        <w:rPr>
          <w:rFonts w:ascii="Times New Roman" w:hAnsi="Times New Roman"/>
          <w:b/>
          <w:sz w:val="24"/>
          <w:szCs w:val="24"/>
        </w:rPr>
      </w:pPr>
      <w:r w:rsidRPr="00A664A2">
        <w:rPr>
          <w:rFonts w:ascii="Times New Roman" w:hAnsi="Times New Roman"/>
          <w:b/>
          <w:sz w:val="24"/>
          <w:szCs w:val="24"/>
        </w:rPr>
        <w:t xml:space="preserve">Pomocný zamestnanec: </w:t>
      </w:r>
    </w:p>
    <w:p w:rsidR="00415664" w:rsidRPr="00A86921" w:rsidRDefault="00415664" w:rsidP="00415664">
      <w:pPr>
        <w:jc w:val="both"/>
        <w:rPr>
          <w:color w:val="000000"/>
          <w:szCs w:val="24"/>
        </w:rPr>
      </w:pPr>
      <w:r w:rsidRPr="00A86921">
        <w:rPr>
          <w:szCs w:val="24"/>
        </w:rPr>
        <w:t xml:space="preserve"> - pomocné stavebné práce (</w:t>
      </w:r>
      <w:r w:rsidRPr="00A86921">
        <w:rPr>
          <w:color w:val="000000"/>
          <w:szCs w:val="24"/>
        </w:rPr>
        <w:t xml:space="preserve">preosievanie stavebnej </w:t>
      </w:r>
      <w:proofErr w:type="spellStart"/>
      <w:r w:rsidRPr="00A86921">
        <w:rPr>
          <w:color w:val="000000"/>
          <w:szCs w:val="24"/>
        </w:rPr>
        <w:t>sute</w:t>
      </w:r>
      <w:proofErr w:type="spellEnd"/>
      <w:r w:rsidRPr="00A86921">
        <w:rPr>
          <w:color w:val="000000"/>
          <w:szCs w:val="24"/>
        </w:rPr>
        <w:t>, triedenie sekundárneho stavebného materiálu)</w:t>
      </w:r>
      <w:r w:rsidRPr="00A86921">
        <w:rPr>
          <w:szCs w:val="24"/>
        </w:rPr>
        <w:t xml:space="preserve">, pomocné práce pri stavbe podporných stavebných zariadení (napr. lešenie), </w:t>
      </w:r>
      <w:r w:rsidRPr="00A86921">
        <w:rPr>
          <w:color w:val="000000"/>
          <w:szCs w:val="24"/>
        </w:rPr>
        <w:t xml:space="preserve">odstraňovanie prírodných a umelých prekážok v interiéri a exteriéri areálu pamiatky a prístupových ciest, zhrnutie a vývoz odpadu (prírodný, umelý), odstraňovanie náletovej zelene a trávnatých porastov, udržiavanie existujúcich </w:t>
      </w:r>
      <w:proofErr w:type="spellStart"/>
      <w:r w:rsidRPr="00A86921">
        <w:rPr>
          <w:color w:val="000000"/>
          <w:szCs w:val="24"/>
        </w:rPr>
        <w:t>facilít</w:t>
      </w:r>
      <w:proofErr w:type="spellEnd"/>
      <w:r w:rsidRPr="00A86921">
        <w:rPr>
          <w:color w:val="000000"/>
          <w:szCs w:val="24"/>
        </w:rPr>
        <w:t xml:space="preserve"> v priestoroch exteriéru a interiéru pamiatok a prístupových ciest, pomocné práce pri údržbe a úprave turistických informačných tabúľ, údržba historických parkov, úprava a údržba náučných chodníkov, a pod.</w:t>
      </w:r>
    </w:p>
    <w:p w:rsidR="00BB64D6" w:rsidRDefault="00BB64D6" w:rsidP="00415664">
      <w:pPr>
        <w:pStyle w:val="Odsekzoznamu1"/>
        <w:ind w:left="0"/>
        <w:rPr>
          <w:rFonts w:ascii="Times New Roman" w:hAnsi="Times New Roman"/>
          <w:sz w:val="24"/>
          <w:szCs w:val="24"/>
        </w:rPr>
      </w:pPr>
    </w:p>
    <w:p w:rsidR="00415664" w:rsidRPr="00A664A2" w:rsidRDefault="00415664" w:rsidP="00415664">
      <w:pPr>
        <w:pStyle w:val="Odsekzoznamu1"/>
        <w:ind w:left="0"/>
        <w:rPr>
          <w:rFonts w:ascii="Times New Roman" w:hAnsi="Times New Roman"/>
          <w:b/>
          <w:sz w:val="24"/>
          <w:szCs w:val="24"/>
        </w:rPr>
      </w:pPr>
      <w:r w:rsidRPr="00A664A2">
        <w:rPr>
          <w:rFonts w:ascii="Times New Roman" w:hAnsi="Times New Roman"/>
          <w:b/>
          <w:sz w:val="24"/>
          <w:szCs w:val="24"/>
        </w:rPr>
        <w:t xml:space="preserve">Odborný zamestnanec: </w:t>
      </w:r>
    </w:p>
    <w:p w:rsidR="00415664" w:rsidRPr="00A86921" w:rsidDel="00FA7FC9" w:rsidRDefault="00415664" w:rsidP="00415664">
      <w:pPr>
        <w:autoSpaceDE w:val="0"/>
        <w:autoSpaceDN w:val="0"/>
        <w:adjustRightInd w:val="0"/>
        <w:jc w:val="both"/>
        <w:rPr>
          <w:szCs w:val="24"/>
        </w:rPr>
      </w:pPr>
      <w:r w:rsidRPr="00A86921">
        <w:rPr>
          <w:color w:val="000000"/>
          <w:szCs w:val="24"/>
        </w:rPr>
        <w:t xml:space="preserve"> - stavebné práce, archeologický výskum, špecifické remeselné práce (kamenárske, pokrývačské, konzervačné, tesárske, kováčske, stolárske), záhradná architektúra, asistencia pri statickom, archeologickom  výskume, grafické práce</w:t>
      </w:r>
      <w:r w:rsidR="003D69E5">
        <w:rPr>
          <w:color w:val="000000"/>
          <w:szCs w:val="24"/>
        </w:rPr>
        <w:t xml:space="preserve"> a pod.</w:t>
      </w:r>
    </w:p>
    <w:p w:rsidR="00415664" w:rsidRDefault="00415664" w:rsidP="00FB3D54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BB64D6" w:rsidRDefault="00BB64D6" w:rsidP="00FB3D54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BB64D6">
        <w:rPr>
          <w:rFonts w:ascii="Times New Roman" w:hAnsi="Times New Roman"/>
          <w:sz w:val="24"/>
          <w:szCs w:val="24"/>
        </w:rPr>
        <w:t xml:space="preserve">Práce na obnove kultúrnych pamiatok sa jednotlivo odlišujú vzhľadom od prístupnosti k pamiatke, nadmorskej výšky – premenlivosť počasia, množstva archeologických vykopávok – následné triedenie a spracovanie, a schválenej dotácie MK SR, ktorá zabezpečuje nákup pracovného náradia a materiál na obnovu pamiatky. Murovanie špeciálnymi technológiami je možné vykonávať len v mesiacoch, keď nie sú mínusové teploty a to max. do konca septembra. Murivo musí 3 mesiace zrieť. </w:t>
      </w:r>
      <w:r>
        <w:rPr>
          <w:rFonts w:ascii="Times New Roman" w:hAnsi="Times New Roman"/>
          <w:sz w:val="24"/>
          <w:szCs w:val="24"/>
        </w:rPr>
        <w:t xml:space="preserve">Preto sa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 w:rsidRPr="006A5CAB">
        <w:rPr>
          <w:rFonts w:ascii="Times New Roman" w:hAnsi="Times New Roman"/>
          <w:sz w:val="24"/>
          <w:szCs w:val="24"/>
        </w:rPr>
        <w:t>áväzkov</w:t>
      </w:r>
      <w:r>
        <w:rPr>
          <w:rFonts w:ascii="Times New Roman" w:hAnsi="Times New Roman"/>
          <w:sz w:val="24"/>
          <w:szCs w:val="24"/>
        </w:rPr>
        <w:t>anie</w:t>
      </w:r>
      <w:proofErr w:type="spellEnd"/>
      <w:r>
        <w:rPr>
          <w:rFonts w:ascii="Times New Roman" w:hAnsi="Times New Roman"/>
          <w:sz w:val="24"/>
          <w:szCs w:val="24"/>
        </w:rPr>
        <w:t xml:space="preserve"> v rámci hlavnej aktivity</w:t>
      </w:r>
      <w:r w:rsidRPr="006A5CAB">
        <w:rPr>
          <w:rFonts w:ascii="Times New Roman" w:hAnsi="Times New Roman"/>
          <w:sz w:val="24"/>
          <w:szCs w:val="24"/>
        </w:rPr>
        <w:t xml:space="preserve"> uskutoční </w:t>
      </w:r>
      <w:r>
        <w:rPr>
          <w:rFonts w:ascii="Times New Roman" w:hAnsi="Times New Roman"/>
          <w:sz w:val="24"/>
          <w:szCs w:val="24"/>
        </w:rPr>
        <w:t>na začiatku</w:t>
      </w:r>
      <w:r w:rsidRPr="006A5CAB">
        <w:rPr>
          <w:rFonts w:ascii="Times New Roman" w:hAnsi="Times New Roman"/>
          <w:sz w:val="24"/>
          <w:szCs w:val="24"/>
        </w:rPr>
        <w:t xml:space="preserve"> roku 2015. Predpokladáme začatie prác na obnove k</w:t>
      </w:r>
      <w:r>
        <w:rPr>
          <w:rFonts w:ascii="Times New Roman" w:hAnsi="Times New Roman"/>
          <w:sz w:val="24"/>
          <w:szCs w:val="24"/>
        </w:rPr>
        <w:t xml:space="preserve">ultúrnych pamiatok od </w:t>
      </w:r>
      <w:r w:rsidRPr="006A5CAB">
        <w:rPr>
          <w:rFonts w:ascii="Times New Roman" w:hAnsi="Times New Roman"/>
          <w:sz w:val="24"/>
          <w:szCs w:val="24"/>
        </w:rPr>
        <w:t>apríla 2015 na obdobie max. 6 mesiacov, tzn. ukončenie p</w:t>
      </w:r>
      <w:r>
        <w:rPr>
          <w:rFonts w:ascii="Times New Roman" w:hAnsi="Times New Roman"/>
          <w:sz w:val="24"/>
          <w:szCs w:val="24"/>
        </w:rPr>
        <w:t>rác v mesiaci september 2015.</w:t>
      </w:r>
    </w:p>
    <w:p w:rsidR="00552F2D" w:rsidRDefault="00552F2D" w:rsidP="00552F2D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</w:p>
    <w:p w:rsidR="00A0556E" w:rsidRPr="00514910" w:rsidRDefault="00AE46C6" w:rsidP="00FB3D54">
      <w:pPr>
        <w:pStyle w:val="Odsekzoznamu1"/>
        <w:ind w:left="0"/>
        <w:jc w:val="both"/>
        <w:rPr>
          <w:rFonts w:ascii="Times New Roman" w:hAnsi="Times New Roman"/>
          <w:sz w:val="23"/>
          <w:szCs w:val="23"/>
        </w:rPr>
      </w:pPr>
      <w:r w:rsidRPr="00AE46C6">
        <w:rPr>
          <w:rFonts w:ascii="Times New Roman" w:hAnsi="Times New Roman"/>
          <w:sz w:val="24"/>
          <w:szCs w:val="24"/>
        </w:rPr>
        <w:t xml:space="preserve">Začiatok realizácie NP Zapojenie nezamestnaných do obnovy kultúrneho dedičstva – 3 bude od 02/2015. Nové dohody, resp. záväzky týkajúcej sa hlavnej aktivity sa od dátumu stanoveného osobitným listom budú uzatvárať výlučne v rámci tohto </w:t>
      </w:r>
      <w:r w:rsidR="003105C6">
        <w:rPr>
          <w:rFonts w:ascii="Times New Roman" w:hAnsi="Times New Roman"/>
          <w:sz w:val="24"/>
          <w:szCs w:val="24"/>
        </w:rPr>
        <w:t>NP</w:t>
      </w:r>
      <w:r w:rsidRPr="00AE46C6">
        <w:rPr>
          <w:rFonts w:ascii="Times New Roman" w:hAnsi="Times New Roman"/>
          <w:sz w:val="24"/>
          <w:szCs w:val="24"/>
        </w:rPr>
        <w:t xml:space="preserve">. Deliaca línia je vymedzená dátumom </w:t>
      </w:r>
      <w:proofErr w:type="spellStart"/>
      <w:r w:rsidRPr="00AE46C6">
        <w:rPr>
          <w:rFonts w:ascii="Times New Roman" w:hAnsi="Times New Roman"/>
          <w:sz w:val="24"/>
          <w:szCs w:val="24"/>
        </w:rPr>
        <w:t>záväzkovania</w:t>
      </w:r>
      <w:proofErr w:type="spellEnd"/>
      <w:r w:rsidRPr="00AE46C6">
        <w:rPr>
          <w:rFonts w:ascii="Times New Roman" w:hAnsi="Times New Roman"/>
          <w:sz w:val="24"/>
          <w:szCs w:val="24"/>
        </w:rPr>
        <w:t xml:space="preserve"> ukončenia NP Zapojenie nezamestnaných do kultúrneho dedičstva - 2, t.j. do 31.12.2014, čím sa vylúči duplicita a prekrývanie výdavkov.</w:t>
      </w:r>
    </w:p>
    <w:p w:rsidR="00AE46C6" w:rsidRDefault="003874E5" w:rsidP="00D41C31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415664" w:rsidRPr="00FB3D54" w:rsidRDefault="003874E5" w:rsidP="00D41C31">
      <w:pPr>
        <w:jc w:val="both"/>
        <w:rPr>
          <w:bCs/>
        </w:rPr>
      </w:pPr>
      <w:r w:rsidRPr="00FB3D54">
        <w:rPr>
          <w:bCs/>
        </w:rPr>
        <w:t>Oprávnené výdavky projektu: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31"/>
      </w:tblGrid>
      <w:tr w:rsidR="00415664" w:rsidTr="00FB3D54"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415664" w:rsidRPr="00FB3D54" w:rsidRDefault="00415664" w:rsidP="00D41C31">
            <w:pPr>
              <w:jc w:val="both"/>
              <w:rPr>
                <w:b/>
                <w:bCs/>
                <w:sz w:val="20"/>
              </w:rPr>
            </w:pPr>
            <w:r w:rsidRPr="00FB3D54">
              <w:rPr>
                <w:bCs/>
                <w:sz w:val="20"/>
              </w:rPr>
              <w:t>výdavok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:rsidR="00415664" w:rsidRPr="00FB3D54" w:rsidRDefault="00415664" w:rsidP="00FB3D54">
            <w:pPr>
              <w:jc w:val="center"/>
              <w:rPr>
                <w:b/>
                <w:bCs/>
                <w:sz w:val="20"/>
              </w:rPr>
            </w:pPr>
            <w:r w:rsidRPr="00FB3D54">
              <w:rPr>
                <w:bCs/>
                <w:sz w:val="20"/>
              </w:rPr>
              <w:t>Suma v €</w:t>
            </w:r>
            <w:r w:rsidR="00A64B02">
              <w:rPr>
                <w:rStyle w:val="Odkaznapoznmkupodiarou"/>
                <w:bCs/>
                <w:sz w:val="20"/>
              </w:rPr>
              <w:footnoteReference w:id="3"/>
            </w:r>
          </w:p>
        </w:tc>
      </w:tr>
      <w:tr w:rsidR="00415664" w:rsidTr="00FB3D54">
        <w:tc>
          <w:tcPr>
            <w:tcW w:w="7371" w:type="dxa"/>
            <w:vAlign w:val="center"/>
          </w:tcPr>
          <w:p w:rsidR="00415664" w:rsidRPr="002D70CF" w:rsidRDefault="00415664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2D70CF">
              <w:rPr>
                <w:bCs/>
                <w:color w:val="000000" w:themeColor="text1"/>
                <w:sz w:val="20"/>
              </w:rPr>
              <w:t xml:space="preserve">úhrada </w:t>
            </w:r>
            <w:r w:rsidR="003105C6" w:rsidRPr="002D70CF">
              <w:rPr>
                <w:bCs/>
                <w:color w:val="000000" w:themeColor="text1"/>
                <w:sz w:val="20"/>
              </w:rPr>
              <w:t>CCP</w:t>
            </w:r>
            <w:r w:rsidR="00546F5B" w:rsidRPr="002D70CF">
              <w:rPr>
                <w:bCs/>
                <w:color w:val="000000" w:themeColor="text1"/>
                <w:sz w:val="20"/>
              </w:rPr>
              <w:t xml:space="preserve"> + úhrada náhrady príjmu počas prvých 10 dní dočasnej pracovnej neschopnosti platenej zamestnávateľom</w:t>
            </w:r>
            <w:r w:rsidRPr="002D70CF">
              <w:rPr>
                <w:bCs/>
                <w:color w:val="000000" w:themeColor="text1"/>
                <w:sz w:val="20"/>
              </w:rPr>
              <w:t xml:space="preserve"> - </w:t>
            </w:r>
            <w:r w:rsidRPr="002D70CF">
              <w:rPr>
                <w:b/>
                <w:bCs/>
                <w:color w:val="000000" w:themeColor="text1"/>
                <w:sz w:val="20"/>
              </w:rPr>
              <w:t>pomocný pracovník</w:t>
            </w:r>
          </w:p>
        </w:tc>
        <w:tc>
          <w:tcPr>
            <w:tcW w:w="1731" w:type="dxa"/>
            <w:vAlign w:val="center"/>
          </w:tcPr>
          <w:p w:rsidR="00415664" w:rsidRPr="00FB3D54" w:rsidRDefault="00415664" w:rsidP="00FB3D54">
            <w:pPr>
              <w:jc w:val="center"/>
              <w:rPr>
                <w:b/>
                <w:bCs/>
                <w:sz w:val="20"/>
              </w:rPr>
            </w:pPr>
            <w:r w:rsidRPr="00FB3D54">
              <w:rPr>
                <w:bCs/>
                <w:sz w:val="20"/>
              </w:rPr>
              <w:t>640,85</w:t>
            </w:r>
          </w:p>
        </w:tc>
      </w:tr>
      <w:tr w:rsidR="00415664" w:rsidTr="00FB3D54">
        <w:trPr>
          <w:trHeight w:val="20"/>
        </w:trPr>
        <w:tc>
          <w:tcPr>
            <w:tcW w:w="7371" w:type="dxa"/>
            <w:vAlign w:val="center"/>
          </w:tcPr>
          <w:p w:rsidR="00415664" w:rsidRPr="002D70CF" w:rsidRDefault="00415664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2D70CF">
              <w:rPr>
                <w:bCs/>
                <w:color w:val="000000" w:themeColor="text1"/>
                <w:sz w:val="20"/>
              </w:rPr>
              <w:t xml:space="preserve">úhrada </w:t>
            </w:r>
            <w:r w:rsidR="003105C6" w:rsidRPr="002D70CF">
              <w:rPr>
                <w:bCs/>
                <w:color w:val="000000" w:themeColor="text1"/>
                <w:sz w:val="20"/>
              </w:rPr>
              <w:t>CCP</w:t>
            </w:r>
            <w:r w:rsidR="00546F5B" w:rsidRPr="002D70CF">
              <w:rPr>
                <w:bCs/>
                <w:color w:val="000000" w:themeColor="text1"/>
                <w:sz w:val="20"/>
              </w:rPr>
              <w:t xml:space="preserve"> + úhrada náhrady príjmu počas prvých 10 dní dočasnej pracovnej neschopnosti platenej zamestnávateľom</w:t>
            </w:r>
            <w:r w:rsidRPr="002D70CF">
              <w:rPr>
                <w:bCs/>
                <w:color w:val="000000" w:themeColor="text1"/>
                <w:sz w:val="20"/>
              </w:rPr>
              <w:t xml:space="preserve"> - </w:t>
            </w:r>
            <w:r w:rsidRPr="002D70CF">
              <w:rPr>
                <w:b/>
                <w:bCs/>
                <w:color w:val="000000" w:themeColor="text1"/>
                <w:sz w:val="20"/>
              </w:rPr>
              <w:t>odborný pracovník</w:t>
            </w:r>
          </w:p>
        </w:tc>
        <w:tc>
          <w:tcPr>
            <w:tcW w:w="1731" w:type="dxa"/>
            <w:vAlign w:val="center"/>
          </w:tcPr>
          <w:p w:rsidR="00415664" w:rsidRPr="00FB3D54" w:rsidRDefault="00415664" w:rsidP="00FB3D54">
            <w:pPr>
              <w:jc w:val="center"/>
              <w:rPr>
                <w:b/>
                <w:bCs/>
                <w:sz w:val="20"/>
              </w:rPr>
            </w:pPr>
            <w:r w:rsidRPr="00FB3D54">
              <w:rPr>
                <w:bCs/>
                <w:sz w:val="20"/>
              </w:rPr>
              <w:t>825,17</w:t>
            </w:r>
          </w:p>
        </w:tc>
      </w:tr>
      <w:tr w:rsidR="00415664" w:rsidTr="00FB3D54">
        <w:tc>
          <w:tcPr>
            <w:tcW w:w="7371" w:type="dxa"/>
            <w:vAlign w:val="center"/>
          </w:tcPr>
          <w:p w:rsidR="00415664" w:rsidRPr="00FB3D54" w:rsidRDefault="00415664" w:rsidP="00990D61">
            <w:pPr>
              <w:jc w:val="both"/>
              <w:rPr>
                <w:b/>
                <w:bCs/>
                <w:sz w:val="20"/>
              </w:rPr>
            </w:pPr>
            <w:r w:rsidRPr="00FB3D54">
              <w:rPr>
                <w:sz w:val="20"/>
              </w:rPr>
              <w:t>príspevok na časť nákladov  na stravné na deň (max.)</w:t>
            </w:r>
          </w:p>
        </w:tc>
        <w:tc>
          <w:tcPr>
            <w:tcW w:w="1731" w:type="dxa"/>
            <w:vAlign w:val="center"/>
          </w:tcPr>
          <w:p w:rsidR="00415664" w:rsidRPr="00FB3D54" w:rsidRDefault="00415664" w:rsidP="00FB3D54">
            <w:pPr>
              <w:jc w:val="center"/>
              <w:rPr>
                <w:b/>
                <w:bCs/>
                <w:sz w:val="20"/>
              </w:rPr>
            </w:pPr>
            <w:r w:rsidRPr="00FB3D54">
              <w:rPr>
                <w:bCs/>
                <w:sz w:val="20"/>
              </w:rPr>
              <w:t>2,00</w:t>
            </w:r>
          </w:p>
        </w:tc>
      </w:tr>
      <w:tr w:rsidR="00415664" w:rsidTr="00FB3D54">
        <w:tc>
          <w:tcPr>
            <w:tcW w:w="7371" w:type="dxa"/>
            <w:vAlign w:val="center"/>
          </w:tcPr>
          <w:p w:rsidR="00415664" w:rsidRPr="00FB3D54" w:rsidRDefault="00415664" w:rsidP="00990D61">
            <w:pPr>
              <w:jc w:val="both"/>
              <w:rPr>
                <w:b/>
                <w:bCs/>
                <w:sz w:val="20"/>
              </w:rPr>
            </w:pPr>
            <w:r w:rsidRPr="00FB3D54">
              <w:rPr>
                <w:sz w:val="20"/>
              </w:rPr>
              <w:t xml:space="preserve">príspevok na úrazové poistenia pracovného miesta po dobu trvania pracovného pomeru (max.) </w:t>
            </w:r>
          </w:p>
        </w:tc>
        <w:tc>
          <w:tcPr>
            <w:tcW w:w="1731" w:type="dxa"/>
            <w:vAlign w:val="center"/>
          </w:tcPr>
          <w:p w:rsidR="00415664" w:rsidRPr="00FB3D54" w:rsidRDefault="00415664">
            <w:pPr>
              <w:jc w:val="center"/>
              <w:rPr>
                <w:bCs/>
                <w:sz w:val="20"/>
              </w:rPr>
            </w:pPr>
          </w:p>
          <w:p w:rsidR="00415664" w:rsidRPr="00FB3D54" w:rsidRDefault="00415664" w:rsidP="00FB3D54">
            <w:pPr>
              <w:jc w:val="center"/>
              <w:rPr>
                <w:b/>
                <w:bCs/>
                <w:sz w:val="20"/>
              </w:rPr>
            </w:pPr>
            <w:r w:rsidRPr="00FB3D54">
              <w:rPr>
                <w:bCs/>
                <w:sz w:val="20"/>
              </w:rPr>
              <w:t>20,00</w:t>
            </w:r>
          </w:p>
        </w:tc>
      </w:tr>
      <w:tr w:rsidR="00415664" w:rsidTr="00FB3D54">
        <w:tc>
          <w:tcPr>
            <w:tcW w:w="7371" w:type="dxa"/>
            <w:vAlign w:val="center"/>
          </w:tcPr>
          <w:p w:rsidR="00415664" w:rsidRPr="00FB3D54" w:rsidRDefault="00415664" w:rsidP="00990D61">
            <w:pPr>
              <w:jc w:val="both"/>
              <w:rPr>
                <w:b/>
                <w:bCs/>
                <w:sz w:val="20"/>
              </w:rPr>
            </w:pPr>
            <w:r w:rsidRPr="00FB3D54">
              <w:rPr>
                <w:sz w:val="20"/>
              </w:rPr>
              <w:t xml:space="preserve">Príspevok na časť nákladov na pracovný odev, obuv, rukavice, osobné ochranné pracovné  prostriedky (napr. prilba a pod.) na </w:t>
            </w:r>
            <w:r w:rsidRPr="00FB3D54">
              <w:rPr>
                <w:bCs/>
                <w:sz w:val="20"/>
              </w:rPr>
              <w:t>1 zamestnanca (max.)</w:t>
            </w:r>
          </w:p>
        </w:tc>
        <w:tc>
          <w:tcPr>
            <w:tcW w:w="1731" w:type="dxa"/>
            <w:vAlign w:val="center"/>
          </w:tcPr>
          <w:p w:rsidR="00415664" w:rsidRPr="00FB3D54" w:rsidRDefault="00415664">
            <w:pPr>
              <w:jc w:val="center"/>
              <w:rPr>
                <w:bCs/>
                <w:sz w:val="20"/>
              </w:rPr>
            </w:pPr>
          </w:p>
          <w:p w:rsidR="00415664" w:rsidRPr="00FB3D54" w:rsidRDefault="00415664" w:rsidP="00FB3D54">
            <w:pPr>
              <w:jc w:val="center"/>
              <w:rPr>
                <w:b/>
                <w:bCs/>
                <w:sz w:val="20"/>
              </w:rPr>
            </w:pPr>
            <w:r w:rsidRPr="00FB3D54">
              <w:rPr>
                <w:bCs/>
                <w:sz w:val="20"/>
              </w:rPr>
              <w:t>100,00</w:t>
            </w:r>
          </w:p>
        </w:tc>
      </w:tr>
      <w:tr w:rsidR="00415664" w:rsidTr="00FB3D54">
        <w:tc>
          <w:tcPr>
            <w:tcW w:w="7371" w:type="dxa"/>
            <w:vAlign w:val="center"/>
          </w:tcPr>
          <w:p w:rsidR="00415664" w:rsidRPr="00FB3D54" w:rsidRDefault="00415664" w:rsidP="00990D61">
            <w:pPr>
              <w:jc w:val="both"/>
              <w:rPr>
                <w:b/>
                <w:bCs/>
                <w:sz w:val="20"/>
              </w:rPr>
            </w:pPr>
            <w:r w:rsidRPr="00FB3D54">
              <w:rPr>
                <w:sz w:val="20"/>
              </w:rPr>
              <w:t>úhrada časti nákladov na poplatok na povinnú zdravotnú lekársku prehliadku pri nástupe do zamestnania (Zákon NR SR č.124/2006 Z. z. o bezpečnosti a ochrane zdravia pri práci v platnom znení)</w:t>
            </w:r>
          </w:p>
        </w:tc>
        <w:tc>
          <w:tcPr>
            <w:tcW w:w="1731" w:type="dxa"/>
            <w:vAlign w:val="center"/>
          </w:tcPr>
          <w:p w:rsidR="00415664" w:rsidRPr="00FB3D54" w:rsidRDefault="00415664" w:rsidP="00FB3D54">
            <w:pPr>
              <w:jc w:val="center"/>
              <w:rPr>
                <w:b/>
                <w:bCs/>
                <w:sz w:val="20"/>
              </w:rPr>
            </w:pPr>
            <w:r w:rsidRPr="00FB3D54">
              <w:rPr>
                <w:bCs/>
                <w:sz w:val="20"/>
              </w:rPr>
              <w:t>13,00</w:t>
            </w:r>
          </w:p>
        </w:tc>
      </w:tr>
    </w:tbl>
    <w:p w:rsidR="00415664" w:rsidRDefault="00415664" w:rsidP="00D41C31">
      <w:pPr>
        <w:jc w:val="both"/>
        <w:rPr>
          <w:b/>
          <w:bCs/>
        </w:rPr>
      </w:pPr>
    </w:p>
    <w:p w:rsidR="00FA7FC9" w:rsidRDefault="00A86921" w:rsidP="00552F2D">
      <w:pPr>
        <w:jc w:val="both"/>
        <w:rPr>
          <w:bCs/>
        </w:rPr>
      </w:pPr>
      <w:r w:rsidRPr="00A86921">
        <w:rPr>
          <w:bCs/>
        </w:rPr>
        <w:t xml:space="preserve">Príspevky na oprávnenú hlavnú aktivitu budú poskytované v súlade </w:t>
      </w:r>
      <w:r w:rsidR="00381380">
        <w:rPr>
          <w:bCs/>
        </w:rPr>
        <w:t xml:space="preserve">so </w:t>
      </w:r>
      <w:r w:rsidRPr="00A86921">
        <w:rPr>
          <w:bCs/>
        </w:rPr>
        <w:t xml:space="preserve">Schémou pomoci </w:t>
      </w:r>
      <w:proofErr w:type="spellStart"/>
      <w:r w:rsidRPr="00A86921">
        <w:rPr>
          <w:bCs/>
        </w:rPr>
        <w:t>de</w:t>
      </w:r>
      <w:proofErr w:type="spellEnd"/>
      <w:r w:rsidRPr="00A86921">
        <w:rPr>
          <w:bCs/>
        </w:rPr>
        <w:t xml:space="preserve"> </w:t>
      </w:r>
      <w:proofErr w:type="spellStart"/>
      <w:r w:rsidRPr="00A86921">
        <w:rPr>
          <w:bCs/>
        </w:rPr>
        <w:t>minimis</w:t>
      </w:r>
      <w:proofErr w:type="spellEnd"/>
      <w:r w:rsidRPr="00A86921">
        <w:rPr>
          <w:bCs/>
        </w:rPr>
        <w:t xml:space="preserve"> na podporu zamestnanosti „Schéma DM – 16/2014“ v platnom znení.</w:t>
      </w:r>
    </w:p>
    <w:p w:rsidR="00FA1152" w:rsidRPr="00552F2D" w:rsidRDefault="003874E5" w:rsidP="00552F2D">
      <w:pPr>
        <w:jc w:val="both"/>
        <w:rPr>
          <w:szCs w:val="24"/>
          <w:u w:val="single"/>
        </w:rPr>
      </w:pPr>
      <w:r w:rsidRPr="00FB3D54">
        <w:rPr>
          <w:szCs w:val="24"/>
          <w:u w:val="single"/>
        </w:rPr>
        <w:t xml:space="preserve">Ústredie </w:t>
      </w:r>
      <w:r w:rsidRPr="00552F2D">
        <w:rPr>
          <w:szCs w:val="24"/>
          <w:u w:val="single"/>
        </w:rPr>
        <w:t xml:space="preserve"> zabezpečuje činnosti v rámci NP: </w:t>
      </w:r>
    </w:p>
    <w:p w:rsidR="008E2B8E" w:rsidRPr="00421052" w:rsidRDefault="008E2B8E" w:rsidP="00552F2D">
      <w:pPr>
        <w:jc w:val="both"/>
        <w:rPr>
          <w:szCs w:val="24"/>
        </w:rPr>
      </w:pPr>
    </w:p>
    <w:p w:rsidR="00A86503" w:rsidRPr="00421052" w:rsidRDefault="00A86503" w:rsidP="00FB3D54">
      <w:pPr>
        <w:numPr>
          <w:ilvl w:val="0"/>
          <w:numId w:val="61"/>
        </w:numPr>
        <w:ind w:left="426"/>
        <w:jc w:val="both"/>
        <w:rPr>
          <w:szCs w:val="24"/>
        </w:rPr>
      </w:pPr>
      <w:r w:rsidRPr="00421052">
        <w:rPr>
          <w:szCs w:val="24"/>
        </w:rPr>
        <w:t xml:space="preserve">riadenie projektu, tak aby bolo v  súlade so zmluvou o poskytnutí nenávratného finančného príspevku na realizáciu projektu medzi RO a ústredím, ako aj v súlade so zákonom o službách zamestnanosti a  príslušnými </w:t>
      </w:r>
      <w:r>
        <w:rPr>
          <w:szCs w:val="24"/>
        </w:rPr>
        <w:t>právnymi predpismi SR a EÚ</w:t>
      </w:r>
      <w:r w:rsidRPr="00421052">
        <w:rPr>
          <w:szCs w:val="24"/>
        </w:rPr>
        <w:t xml:space="preserve">, </w:t>
      </w:r>
    </w:p>
    <w:p w:rsidR="00A86503" w:rsidRPr="00421052" w:rsidRDefault="00A86503" w:rsidP="00FB3D54">
      <w:pPr>
        <w:numPr>
          <w:ilvl w:val="0"/>
          <w:numId w:val="61"/>
        </w:numPr>
        <w:ind w:left="426"/>
        <w:jc w:val="both"/>
        <w:rPr>
          <w:szCs w:val="24"/>
        </w:rPr>
      </w:pPr>
      <w:r w:rsidRPr="00421052">
        <w:rPr>
          <w:szCs w:val="24"/>
        </w:rPr>
        <w:t>verejné obstarávanie na podporné aktivity,</w:t>
      </w:r>
    </w:p>
    <w:p w:rsidR="00A86503" w:rsidRPr="00421052" w:rsidRDefault="00A86503" w:rsidP="00FB3D54">
      <w:pPr>
        <w:numPr>
          <w:ilvl w:val="0"/>
          <w:numId w:val="61"/>
        </w:numPr>
        <w:ind w:left="426"/>
        <w:jc w:val="both"/>
        <w:rPr>
          <w:szCs w:val="24"/>
        </w:rPr>
      </w:pPr>
      <w:r w:rsidRPr="00421052">
        <w:rPr>
          <w:szCs w:val="24"/>
        </w:rPr>
        <w:t xml:space="preserve">metodické usmerňovanie úradov,  </w:t>
      </w:r>
    </w:p>
    <w:p w:rsidR="00A86503" w:rsidRPr="00421052" w:rsidRDefault="00A86503" w:rsidP="00FB3D54">
      <w:pPr>
        <w:numPr>
          <w:ilvl w:val="0"/>
          <w:numId w:val="61"/>
        </w:numPr>
        <w:ind w:left="426"/>
        <w:jc w:val="both"/>
        <w:rPr>
          <w:szCs w:val="24"/>
        </w:rPr>
      </w:pPr>
      <w:r w:rsidRPr="00421052">
        <w:rPr>
          <w:szCs w:val="24"/>
        </w:rPr>
        <w:t xml:space="preserve">nákup spotrebného materiálu od vybraného dodávateľa v rámci verejného obstarávania, </w:t>
      </w:r>
    </w:p>
    <w:p w:rsidR="00A86503" w:rsidRPr="00137A3B" w:rsidRDefault="00A86503" w:rsidP="00FB3D54">
      <w:pPr>
        <w:numPr>
          <w:ilvl w:val="0"/>
          <w:numId w:val="61"/>
        </w:numPr>
        <w:ind w:left="426"/>
        <w:jc w:val="both"/>
        <w:rPr>
          <w:szCs w:val="24"/>
        </w:rPr>
      </w:pPr>
      <w:r w:rsidRPr="00421052">
        <w:rPr>
          <w:szCs w:val="24"/>
        </w:rPr>
        <w:t>publicitu a informovanosť o projekte v súlade s Manuálom RO pre informovanie a publicitu.</w:t>
      </w:r>
    </w:p>
    <w:p w:rsidR="00FA1152" w:rsidRDefault="00FA1152" w:rsidP="00552F2D">
      <w:pPr>
        <w:tabs>
          <w:tab w:val="num" w:pos="0"/>
        </w:tabs>
        <w:jc w:val="both"/>
        <w:rPr>
          <w:szCs w:val="24"/>
          <w:u w:val="single"/>
        </w:rPr>
      </w:pPr>
    </w:p>
    <w:p w:rsidR="00FA1152" w:rsidRPr="00552F2D" w:rsidRDefault="00A86503" w:rsidP="00552F2D">
      <w:pPr>
        <w:tabs>
          <w:tab w:val="num" w:pos="0"/>
        </w:tabs>
        <w:jc w:val="both"/>
        <w:rPr>
          <w:szCs w:val="24"/>
          <w:u w:val="single"/>
        </w:rPr>
      </w:pPr>
      <w:r w:rsidRPr="00FB3D54">
        <w:rPr>
          <w:szCs w:val="24"/>
          <w:u w:val="single"/>
        </w:rPr>
        <w:t>Úrady</w:t>
      </w:r>
      <w:r w:rsidRPr="00552F2D">
        <w:rPr>
          <w:szCs w:val="24"/>
          <w:u w:val="single"/>
        </w:rPr>
        <w:t xml:space="preserve"> budú v súlade s </w:t>
      </w:r>
      <w:r w:rsidRPr="00552F2D">
        <w:rPr>
          <w:color w:val="000000"/>
          <w:szCs w:val="24"/>
          <w:u w:val="single"/>
        </w:rPr>
        <w:t>§ 54 ods. 1 písm. a)</w:t>
      </w:r>
      <w:r w:rsidRPr="00552F2D">
        <w:rPr>
          <w:rFonts w:ascii="Verdana" w:hAnsi="Verdana"/>
          <w:sz w:val="20"/>
          <w:u w:val="single"/>
        </w:rPr>
        <w:t xml:space="preserve"> </w:t>
      </w:r>
      <w:r w:rsidRPr="00552F2D">
        <w:rPr>
          <w:szCs w:val="24"/>
          <w:u w:val="single"/>
        </w:rPr>
        <w:t xml:space="preserve">zákona o službách zamestnanosti zabezpečovať realizáciu daného AOTP činnosťami v rámci hlavnej aktivity </w:t>
      </w:r>
      <w:r w:rsidR="003105C6">
        <w:rPr>
          <w:szCs w:val="24"/>
          <w:u w:val="single"/>
        </w:rPr>
        <w:t>NP</w:t>
      </w:r>
      <w:r w:rsidR="0022714A" w:rsidRPr="00552F2D">
        <w:rPr>
          <w:szCs w:val="24"/>
          <w:u w:val="single"/>
        </w:rPr>
        <w:t>,</w:t>
      </w:r>
      <w:r w:rsidRPr="00552F2D">
        <w:rPr>
          <w:szCs w:val="24"/>
          <w:u w:val="single"/>
        </w:rPr>
        <w:t xml:space="preserve">  a</w:t>
      </w:r>
      <w:r w:rsidR="0022714A" w:rsidRPr="00552F2D">
        <w:rPr>
          <w:szCs w:val="24"/>
          <w:u w:val="single"/>
        </w:rPr>
        <w:t> </w:t>
      </w:r>
      <w:r w:rsidRPr="00552F2D">
        <w:rPr>
          <w:szCs w:val="24"/>
          <w:u w:val="single"/>
        </w:rPr>
        <w:t>to</w:t>
      </w:r>
      <w:r w:rsidR="0022714A" w:rsidRPr="00552F2D">
        <w:rPr>
          <w:szCs w:val="24"/>
          <w:u w:val="single"/>
        </w:rPr>
        <w:t xml:space="preserve"> najmä</w:t>
      </w:r>
      <w:r w:rsidRPr="00552F2D">
        <w:rPr>
          <w:szCs w:val="24"/>
          <w:u w:val="single"/>
        </w:rPr>
        <w:t xml:space="preserve">: </w:t>
      </w:r>
    </w:p>
    <w:p w:rsidR="008E2B8E" w:rsidRPr="00552F2D" w:rsidRDefault="008E2B8E" w:rsidP="00552F2D">
      <w:pPr>
        <w:tabs>
          <w:tab w:val="num" w:pos="0"/>
        </w:tabs>
        <w:jc w:val="both"/>
        <w:rPr>
          <w:szCs w:val="24"/>
          <w:u w:val="single"/>
        </w:rPr>
      </w:pPr>
    </w:p>
    <w:p w:rsidR="00A86503" w:rsidRPr="00514910" w:rsidRDefault="003874E5" w:rsidP="00FB3D54">
      <w:pPr>
        <w:numPr>
          <w:ilvl w:val="0"/>
          <w:numId w:val="62"/>
        </w:numPr>
        <w:tabs>
          <w:tab w:val="left" w:pos="142"/>
        </w:tabs>
        <w:outlineLvl w:val="2"/>
        <w:rPr>
          <w:szCs w:val="24"/>
        </w:rPr>
      </w:pPr>
      <w:r>
        <w:rPr>
          <w:szCs w:val="24"/>
        </w:rPr>
        <w:t xml:space="preserve">prijímanie prihlášok od 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 a </w:t>
      </w:r>
      <w:r w:rsidRPr="003874E5">
        <w:rPr>
          <w:szCs w:val="24"/>
        </w:rPr>
        <w:t xml:space="preserve"> </w:t>
      </w:r>
      <w:proofErr w:type="spellStart"/>
      <w:r w:rsidRPr="003874E5">
        <w:rPr>
          <w:szCs w:val="24"/>
        </w:rPr>
        <w:t>ZUoZ</w:t>
      </w:r>
      <w:proofErr w:type="spellEnd"/>
      <w:r w:rsidRPr="003874E5">
        <w:rPr>
          <w:szCs w:val="24"/>
        </w:rPr>
        <w:t xml:space="preserve"> na zaradenie do NP</w:t>
      </w:r>
      <w:r w:rsidR="00415664">
        <w:rPr>
          <w:szCs w:val="24"/>
        </w:rPr>
        <w:t>,</w:t>
      </w:r>
    </w:p>
    <w:p w:rsidR="00A86503" w:rsidRPr="00514910" w:rsidRDefault="003874E5" w:rsidP="00FB3D54">
      <w:pPr>
        <w:numPr>
          <w:ilvl w:val="0"/>
          <w:numId w:val="62"/>
        </w:numPr>
        <w:tabs>
          <w:tab w:val="left" w:pos="142"/>
        </w:tabs>
        <w:rPr>
          <w:szCs w:val="24"/>
        </w:rPr>
      </w:pPr>
      <w:r>
        <w:rPr>
          <w:szCs w:val="24"/>
        </w:rPr>
        <w:t xml:space="preserve">prijímanie žiadostí od zamestnávateľov o poskytnutie príspevku na podporu </w:t>
      </w:r>
      <w:r w:rsidR="003105C6">
        <w:rPr>
          <w:szCs w:val="24"/>
        </w:rPr>
        <w:t>zamestnanosti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 a </w:t>
      </w:r>
      <w:proofErr w:type="spellStart"/>
      <w:r>
        <w:rPr>
          <w:szCs w:val="24"/>
        </w:rPr>
        <w:t>ZUoZ</w:t>
      </w:r>
      <w:proofErr w:type="spellEnd"/>
      <w:r>
        <w:rPr>
          <w:szCs w:val="24"/>
        </w:rPr>
        <w:t xml:space="preserve"> na zabezpečenie prác </w:t>
      </w:r>
      <w:r w:rsidRPr="002A7E3B">
        <w:rPr>
          <w:szCs w:val="24"/>
        </w:rPr>
        <w:t>nezamestnaných</w:t>
      </w:r>
      <w:r>
        <w:rPr>
          <w:szCs w:val="24"/>
        </w:rPr>
        <w:t xml:space="preserve"> k obnove kultúrnej pamiatky</w:t>
      </w:r>
      <w:r w:rsidR="00415664">
        <w:rPr>
          <w:szCs w:val="24"/>
        </w:rPr>
        <w:t>,</w:t>
      </w:r>
    </w:p>
    <w:p w:rsidR="00A86503" w:rsidRPr="00514910" w:rsidRDefault="003874E5" w:rsidP="00FB3D54">
      <w:pPr>
        <w:numPr>
          <w:ilvl w:val="0"/>
          <w:numId w:val="62"/>
        </w:numPr>
        <w:tabs>
          <w:tab w:val="left" w:pos="142"/>
        </w:tabs>
        <w:outlineLvl w:val="2"/>
        <w:rPr>
          <w:szCs w:val="24"/>
        </w:rPr>
      </w:pPr>
      <w:r>
        <w:rPr>
          <w:szCs w:val="24"/>
        </w:rPr>
        <w:t>vypracovávanie dohôd medzi úradom a</w:t>
      </w:r>
      <w:r w:rsidR="00415664">
        <w:rPr>
          <w:szCs w:val="24"/>
        </w:rPr>
        <w:t> </w:t>
      </w:r>
      <w:r>
        <w:rPr>
          <w:szCs w:val="24"/>
        </w:rPr>
        <w:t>zamestnávateľom</w:t>
      </w:r>
      <w:r w:rsidR="00415664">
        <w:rPr>
          <w:szCs w:val="24"/>
        </w:rPr>
        <w:t>,</w:t>
      </w:r>
    </w:p>
    <w:p w:rsidR="00EA0283" w:rsidRPr="00990D61" w:rsidRDefault="003874E5" w:rsidP="00FB3D54">
      <w:pPr>
        <w:pStyle w:val="Odsekzoznamu"/>
        <w:numPr>
          <w:ilvl w:val="0"/>
          <w:numId w:val="62"/>
        </w:numPr>
      </w:pPr>
      <w:r w:rsidRPr="003874E5">
        <w:rPr>
          <w:rFonts w:ascii="Times New Roman" w:hAnsi="Times New Roman"/>
          <w:sz w:val="24"/>
          <w:szCs w:val="24"/>
        </w:rPr>
        <w:t>poskytovanie príspevkov na úhradu oprávnených nákladov pri vykonávaní  obnovy kultúrneho dedičstva</w:t>
      </w:r>
      <w:r w:rsidR="00415664">
        <w:rPr>
          <w:rFonts w:ascii="Times New Roman" w:hAnsi="Times New Roman"/>
          <w:sz w:val="24"/>
          <w:szCs w:val="24"/>
        </w:rPr>
        <w:t>.</w:t>
      </w:r>
    </w:p>
    <w:p w:rsidR="00A86503" w:rsidRPr="00137A3B" w:rsidRDefault="00A86503" w:rsidP="00A86503">
      <w:pPr>
        <w:autoSpaceDE w:val="0"/>
        <w:autoSpaceDN w:val="0"/>
        <w:adjustRightInd w:val="0"/>
        <w:spacing w:after="120"/>
        <w:jc w:val="both"/>
        <w:rPr>
          <w:b/>
          <w:szCs w:val="24"/>
        </w:rPr>
      </w:pPr>
      <w:r w:rsidRPr="00137A3B">
        <w:rPr>
          <w:b/>
          <w:szCs w:val="24"/>
        </w:rPr>
        <w:t>Podrobný popis nepriamych aktivít (riadenie a publicita a informovanosť)</w:t>
      </w:r>
    </w:p>
    <w:p w:rsidR="00A86503" w:rsidRPr="006A5CAB" w:rsidRDefault="00A86503" w:rsidP="00A86503">
      <w:pPr>
        <w:jc w:val="both"/>
        <w:rPr>
          <w:szCs w:val="24"/>
          <w:u w:val="single"/>
        </w:rPr>
      </w:pPr>
      <w:r w:rsidRPr="006A5CAB">
        <w:rPr>
          <w:szCs w:val="24"/>
          <w:u w:val="single"/>
        </w:rPr>
        <w:t>Riadenie projektu</w:t>
      </w:r>
    </w:p>
    <w:p w:rsidR="00B62C32" w:rsidRPr="006A5CAB" w:rsidRDefault="00B62C32" w:rsidP="00A86503">
      <w:pPr>
        <w:jc w:val="both"/>
        <w:rPr>
          <w:szCs w:val="24"/>
          <w:u w:val="single"/>
        </w:rPr>
      </w:pPr>
    </w:p>
    <w:p w:rsidR="00961293" w:rsidRPr="00FB3D54" w:rsidRDefault="007210E0">
      <w:pPr>
        <w:jc w:val="both"/>
        <w:rPr>
          <w:color w:val="000000" w:themeColor="text1"/>
          <w:szCs w:val="24"/>
        </w:rPr>
      </w:pPr>
      <w:r w:rsidRPr="00FB3D54">
        <w:rPr>
          <w:color w:val="000000" w:themeColor="text1"/>
          <w:szCs w:val="24"/>
        </w:rPr>
        <w:t>Riadenie projektu bude zabezpečovať ústredie vo vzťahu k RO a v spolupráci s  úradmi v rámci SR bez BSK. Poskytovanie príspevkov realizujú úrady. Verejné obstarávanie na podporné aktivity, metodické usmerňovanie úradov  a sumarizovanie údajov bude zabezpečovať ústredie. Nákup spotrebného materiálu od vybraného dodávateľa bude zabezpečovať ústredie a úrady. Personálne zabezpečenie projektu bude realizované vlastným personálom a jednotlivé pozície nebudú hradené z rozpočtu projektu.</w:t>
      </w:r>
    </w:p>
    <w:p w:rsidR="00A86503" w:rsidRPr="00137A3B" w:rsidRDefault="00A86503" w:rsidP="00A86503">
      <w:pPr>
        <w:jc w:val="both"/>
        <w:rPr>
          <w:szCs w:val="24"/>
          <w:u w:val="single"/>
        </w:rPr>
      </w:pPr>
    </w:p>
    <w:p w:rsidR="00A86503" w:rsidRPr="006A5CAB" w:rsidRDefault="00A86503" w:rsidP="00A86503">
      <w:pPr>
        <w:jc w:val="both"/>
        <w:rPr>
          <w:szCs w:val="24"/>
          <w:u w:val="single"/>
        </w:rPr>
      </w:pPr>
      <w:r w:rsidRPr="006A5CAB">
        <w:rPr>
          <w:szCs w:val="24"/>
          <w:u w:val="single"/>
        </w:rPr>
        <w:t>Publicita a</w:t>
      </w:r>
      <w:r w:rsidR="00777602" w:rsidRPr="006A5CAB">
        <w:rPr>
          <w:szCs w:val="24"/>
          <w:u w:val="single"/>
        </w:rPr>
        <w:t> </w:t>
      </w:r>
      <w:r w:rsidRPr="006A5CAB">
        <w:rPr>
          <w:szCs w:val="24"/>
          <w:u w:val="single"/>
        </w:rPr>
        <w:t>informovanosť</w:t>
      </w:r>
    </w:p>
    <w:p w:rsidR="00777602" w:rsidRPr="006A5CAB" w:rsidRDefault="00777602" w:rsidP="00A86503">
      <w:pPr>
        <w:jc w:val="both"/>
        <w:rPr>
          <w:szCs w:val="24"/>
          <w:u w:val="single"/>
        </w:rPr>
      </w:pPr>
    </w:p>
    <w:p w:rsidR="00B62C32" w:rsidRPr="006A5CAB" w:rsidRDefault="00B62C32">
      <w:pPr>
        <w:widowControl w:val="0"/>
        <w:ind w:right="-1"/>
        <w:jc w:val="both"/>
        <w:rPr>
          <w:szCs w:val="24"/>
        </w:rPr>
      </w:pPr>
      <w:r w:rsidRPr="006A5CAB">
        <w:rPr>
          <w:szCs w:val="24"/>
        </w:rPr>
        <w:t>Publicita a informovanosť bude zabezpečená počas celého obdobia trvania realizácie projektu a bude sa riadiť Manuálom pre informovanie a publicitu pre prijímateľov v rámci ESF (2007-2013) pre Operačný program Zamestnanosť a sociálna inklúzia.</w:t>
      </w:r>
    </w:p>
    <w:p w:rsidR="00B62C32" w:rsidRPr="00A86921" w:rsidRDefault="00B62C32" w:rsidP="00FB3D54">
      <w:pPr>
        <w:jc w:val="both"/>
        <w:rPr>
          <w:szCs w:val="24"/>
        </w:rPr>
      </w:pPr>
      <w:r w:rsidRPr="006A5CAB">
        <w:rPr>
          <w:szCs w:val="24"/>
        </w:rPr>
        <w:t>V zmysle Manuálu pre informovanosť a publicitu bude publicita projektu realizovaná prostredníctvom printových médií, informačných/propagačných materiálov. Prostredníctvom nich bude prijímateľ informovať účastníkov projektu ako aj širokú verejnosť, že aktivity, ktoré sa realizujú v rámci projektu sa uskutočňujú vďaka pomoci EÚ, konkrétne vďaka prostriedkom poskytnutým z ESF.</w:t>
      </w:r>
      <w:r w:rsidR="003D69E5">
        <w:rPr>
          <w:szCs w:val="24"/>
        </w:rPr>
        <w:t xml:space="preserve"> </w:t>
      </w:r>
      <w:r w:rsidR="007210E0" w:rsidRPr="006A5CAB">
        <w:rPr>
          <w:szCs w:val="24"/>
        </w:rPr>
        <w:t>Plagáty, letáky a reklamné plachty  budú obsahovať všetky potrebné informácie týkajúce sa spolufinancovania ESF, logo ESF,  logo Operačného programu Zamestnanosť a sociálna inklúzia, informácie o projekte budú vyhotovené  za ú</w:t>
      </w:r>
      <w:r w:rsidR="007210E0" w:rsidRPr="00A86921">
        <w:rPr>
          <w:szCs w:val="24"/>
        </w:rPr>
        <w:t>čelom informovania cieľových skupín projektu a budú umiestnené na budovách a v miestnostiach inštitúcií alebo jednotlivcov, ktoré vykonávajú aktivity projektu spolufinancované z ESF. Vo vzťahu k výstupom projektu sa viaže výroba záverečnej brožúry o dosiahnutých výsledkoch implementácie projektu, ktorá bude dostupná na ústredí ako aj všetkých úradoch, ktoré sú do projektu zapojené.</w:t>
      </w:r>
      <w:r w:rsidR="003D69E5">
        <w:rPr>
          <w:szCs w:val="24"/>
        </w:rPr>
        <w:t xml:space="preserve"> </w:t>
      </w:r>
      <w:r w:rsidRPr="00A86921">
        <w:rPr>
          <w:szCs w:val="24"/>
        </w:rPr>
        <w:t xml:space="preserve">Propagačné materiály budú určené  pre cieľové skupiny. Prostredníctvom nich prijímateľ informuje účastníkov projektu, že aktivity, ktoré sa realizujú a príspevky, ktoré získavajú sa uskutočňujú  vďaka pomoci EU, konkrétne </w:t>
      </w:r>
      <w:r w:rsidRPr="00A86921">
        <w:rPr>
          <w:szCs w:val="24"/>
        </w:rPr>
        <w:lastRenderedPageBreak/>
        <w:t>vďaka prostriedkom poskytnutých z ESF.</w:t>
      </w:r>
      <w:r w:rsidR="003D69E5">
        <w:rPr>
          <w:szCs w:val="24"/>
        </w:rPr>
        <w:t xml:space="preserve"> </w:t>
      </w:r>
      <w:r w:rsidRPr="00A86921">
        <w:rPr>
          <w:szCs w:val="24"/>
        </w:rPr>
        <w:t xml:space="preserve">Publicita bude centrálne zabezpečovaná a koordinovaná ústredím. Všetky verejné obstarávania v rámci publicity budú zabezpečované MPSVR SR, prostredníctvom centrálneho verejného obstarávania, alebo ústredím. </w:t>
      </w:r>
    </w:p>
    <w:p w:rsidR="00556209" w:rsidRPr="00D76638" w:rsidRDefault="00556209" w:rsidP="00BB5DD5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sectPr w:rsidR="00556209" w:rsidRPr="00D76638" w:rsidSect="00B57782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A8" w:rsidRDefault="001B52A8">
      <w:r>
        <w:separator/>
      </w:r>
    </w:p>
  </w:endnote>
  <w:endnote w:type="continuationSeparator" w:id="0">
    <w:p w:rsidR="001B52A8" w:rsidRDefault="001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el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NewE">
    <w:altName w:val="Courier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5110"/>
      <w:docPartObj>
        <w:docPartGallery w:val="Page Numbers (Bottom of Page)"/>
        <w:docPartUnique/>
      </w:docPartObj>
    </w:sdtPr>
    <w:sdtEndPr/>
    <w:sdtContent>
      <w:p w:rsidR="00A64B02" w:rsidRDefault="00A64B0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3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64B02" w:rsidRPr="00F704E7" w:rsidRDefault="00A64B02" w:rsidP="00371C8E">
    <w:pPr>
      <w:pStyle w:val="Pta"/>
      <w:tabs>
        <w:tab w:val="clear" w:pos="4536"/>
        <w:tab w:val="clear" w:pos="9072"/>
        <w:tab w:val="left" w:pos="7245"/>
      </w:tabs>
      <w:rPr>
        <w:rFonts w:ascii="Arial Narrow" w:hAnsi="Arial Narrow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A8" w:rsidRDefault="001B52A8">
      <w:r>
        <w:separator/>
      </w:r>
    </w:p>
  </w:footnote>
  <w:footnote w:type="continuationSeparator" w:id="0">
    <w:p w:rsidR="001B52A8" w:rsidRDefault="001B52A8">
      <w:r>
        <w:continuationSeparator/>
      </w:r>
    </w:p>
  </w:footnote>
  <w:footnote w:id="1">
    <w:p w:rsidR="00A64B02" w:rsidRPr="00FB3D54" w:rsidRDefault="00A64B02" w:rsidP="00FB3D54">
      <w:pPr>
        <w:pStyle w:val="Textpoznmkypodiarou"/>
        <w:jc w:val="both"/>
        <w:rPr>
          <w:sz w:val="16"/>
          <w:szCs w:val="16"/>
        </w:rPr>
      </w:pPr>
      <w:r w:rsidRPr="00FB3D54">
        <w:rPr>
          <w:rStyle w:val="Odkaznapoznmkupodiarou"/>
          <w:sz w:val="16"/>
          <w:szCs w:val="16"/>
        </w:rPr>
        <w:footnoteRef/>
      </w:r>
      <w:r w:rsidRPr="00FB3D54">
        <w:rPr>
          <w:sz w:val="16"/>
          <w:szCs w:val="16"/>
        </w:rPr>
        <w:t xml:space="preserve"> % rozdelenie na mužov a ženy vychádza z fyzickej náročnosti vykonávaných prác vzhľadom na skúsenosti z predchádzajúcich projektov obnovy kultúrnych pamiatok (ťažký prístup k pamiatke, prenos stavebného materiálu, úprava komunikácii a pod.)</w:t>
      </w:r>
      <w:r>
        <w:rPr>
          <w:sz w:val="16"/>
          <w:szCs w:val="16"/>
        </w:rPr>
        <w:t>.</w:t>
      </w:r>
      <w:r w:rsidRPr="00FB3D54">
        <w:rPr>
          <w:sz w:val="16"/>
          <w:szCs w:val="16"/>
        </w:rPr>
        <w:t xml:space="preserve">  </w:t>
      </w:r>
    </w:p>
  </w:footnote>
  <w:footnote w:id="2">
    <w:p w:rsidR="00A64B02" w:rsidRPr="00FB3D54" w:rsidRDefault="00A64B02" w:rsidP="00AC7B5D">
      <w:pPr>
        <w:pStyle w:val="Textpoznmkypodiarou"/>
        <w:jc w:val="both"/>
        <w:rPr>
          <w:sz w:val="16"/>
          <w:szCs w:val="16"/>
        </w:rPr>
      </w:pPr>
      <w:r w:rsidRPr="00FB3D54">
        <w:rPr>
          <w:rStyle w:val="Odkaznapoznmkupodiarou"/>
          <w:sz w:val="16"/>
          <w:szCs w:val="16"/>
        </w:rPr>
        <w:footnoteRef/>
      </w:r>
      <w:r w:rsidRPr="00FB3D54">
        <w:rPr>
          <w:sz w:val="16"/>
          <w:szCs w:val="16"/>
        </w:rPr>
        <w:t xml:space="preserve"> </w:t>
      </w:r>
      <w:r w:rsidRPr="00FB3D54">
        <w:rPr>
          <w:sz w:val="16"/>
          <w:szCs w:val="16"/>
        </w:rPr>
        <w:t>Miesto výkonu práce hlavnej aktivity bude v rámci cieľa konvergencia (SVK).</w:t>
      </w:r>
    </w:p>
  </w:footnote>
  <w:footnote w:id="3">
    <w:p w:rsidR="00A64B02" w:rsidRPr="003D19E8" w:rsidRDefault="00A64B02" w:rsidP="003D19E8">
      <w:pPr>
        <w:pStyle w:val="Textpoznmkypodiarou"/>
        <w:jc w:val="both"/>
        <w:rPr>
          <w:sz w:val="16"/>
          <w:szCs w:val="16"/>
        </w:rPr>
      </w:pPr>
      <w:r w:rsidRPr="003D19E8">
        <w:rPr>
          <w:rStyle w:val="Odkaznapoznmkupodiarou"/>
          <w:sz w:val="16"/>
          <w:szCs w:val="16"/>
        </w:rPr>
        <w:footnoteRef/>
      </w:r>
      <w:r w:rsidRPr="003D19E8">
        <w:rPr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 w:rsidRPr="003D19E8">
        <w:rPr>
          <w:sz w:val="16"/>
          <w:szCs w:val="16"/>
        </w:rPr>
        <w:t xml:space="preserve">umy na jednotlivé práce (pomocné a odborné) boli stanovené na základe výšky priemernej mesačnej mzdy vybraných zamestnaní, uvedených v Informačnom </w:t>
      </w:r>
      <w:proofErr w:type="spellStart"/>
      <w:r w:rsidRPr="003D19E8">
        <w:rPr>
          <w:sz w:val="16"/>
          <w:szCs w:val="16"/>
        </w:rPr>
        <w:t>systémé</w:t>
      </w:r>
      <w:proofErr w:type="spellEnd"/>
      <w:r w:rsidRPr="003D19E8">
        <w:rPr>
          <w:sz w:val="16"/>
          <w:szCs w:val="16"/>
        </w:rPr>
        <w:t xml:space="preserve"> o priemerných zárobkoch (2Q/2014). Podrobná informácia je uvedená v hárku s názvom „prepočet na transfery“, ktorý je súčasťou rozpočtu NP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02" w:rsidRDefault="00A64B02" w:rsidP="0065142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72E"/>
    <w:multiLevelType w:val="hybridMultilevel"/>
    <w:tmpl w:val="EFE8511E"/>
    <w:lvl w:ilvl="0" w:tplc="591AA57E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816409"/>
    <w:multiLevelType w:val="hybridMultilevel"/>
    <w:tmpl w:val="F5068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F7C03"/>
    <w:multiLevelType w:val="singleLevel"/>
    <w:tmpl w:val="E37C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abstractNum w:abstractNumId="3">
    <w:nsid w:val="0DE5459D"/>
    <w:multiLevelType w:val="hybridMultilevel"/>
    <w:tmpl w:val="D26C2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41272"/>
    <w:multiLevelType w:val="hybridMultilevel"/>
    <w:tmpl w:val="A0F42F16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7EE8"/>
    <w:multiLevelType w:val="hybridMultilevel"/>
    <w:tmpl w:val="5D9A75F6"/>
    <w:lvl w:ilvl="0" w:tplc="DCCAD9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444F"/>
    <w:multiLevelType w:val="hybridMultilevel"/>
    <w:tmpl w:val="F97EF846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4031F"/>
    <w:multiLevelType w:val="hybridMultilevel"/>
    <w:tmpl w:val="B8CA90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5ED"/>
    <w:multiLevelType w:val="hybridMultilevel"/>
    <w:tmpl w:val="C3F2A318"/>
    <w:lvl w:ilvl="0" w:tplc="B1F24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D0984"/>
    <w:multiLevelType w:val="hybridMultilevel"/>
    <w:tmpl w:val="51F0F7AE"/>
    <w:lvl w:ilvl="0" w:tplc="B248F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65495"/>
    <w:multiLevelType w:val="hybridMultilevel"/>
    <w:tmpl w:val="4D6EECAC"/>
    <w:lvl w:ilvl="0" w:tplc="B024DD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AD1CAAE0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20AA9EB6">
      <w:start w:val="2"/>
      <w:numFmt w:val="decimal"/>
      <w:lvlText w:val="%3.1"/>
      <w:lvlJc w:val="left"/>
      <w:pPr>
        <w:ind w:left="2520" w:hanging="18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9F302F"/>
    <w:multiLevelType w:val="hybridMultilevel"/>
    <w:tmpl w:val="6BF29B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50E8C"/>
    <w:multiLevelType w:val="hybridMultilevel"/>
    <w:tmpl w:val="916E9A3A"/>
    <w:lvl w:ilvl="0" w:tplc="5B3ED150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94D2F"/>
    <w:multiLevelType w:val="hybridMultilevel"/>
    <w:tmpl w:val="4782972C"/>
    <w:lvl w:ilvl="0" w:tplc="D9FC3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02C1D"/>
    <w:multiLevelType w:val="hybridMultilevel"/>
    <w:tmpl w:val="FBC69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4819C9"/>
    <w:multiLevelType w:val="hybridMultilevel"/>
    <w:tmpl w:val="C0AC2524"/>
    <w:lvl w:ilvl="0" w:tplc="664AB89C">
      <w:start w:val="2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66EC9"/>
    <w:multiLevelType w:val="hybridMultilevel"/>
    <w:tmpl w:val="A3A22C58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46CB0"/>
    <w:multiLevelType w:val="hybridMultilevel"/>
    <w:tmpl w:val="2FC61F2E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72E15"/>
    <w:multiLevelType w:val="hybridMultilevel"/>
    <w:tmpl w:val="2A9291D6"/>
    <w:lvl w:ilvl="0" w:tplc="14240010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5D3C35"/>
    <w:multiLevelType w:val="hybridMultilevel"/>
    <w:tmpl w:val="E82C7276"/>
    <w:lvl w:ilvl="0" w:tplc="543A9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70C4F"/>
    <w:multiLevelType w:val="hybridMultilevel"/>
    <w:tmpl w:val="C72C6B9A"/>
    <w:lvl w:ilvl="0" w:tplc="1424001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70EA5"/>
    <w:multiLevelType w:val="hybridMultilevel"/>
    <w:tmpl w:val="1F6E428E"/>
    <w:lvl w:ilvl="0" w:tplc="14240010">
      <w:start w:val="2"/>
      <w:numFmt w:val="bullet"/>
      <w:lvlText w:val="-"/>
      <w:lvlJc w:val="left"/>
      <w:pPr>
        <w:ind w:left="723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>
    <w:nsid w:val="36575857"/>
    <w:multiLevelType w:val="multilevel"/>
    <w:tmpl w:val="C0AC252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A85421"/>
    <w:multiLevelType w:val="hybridMultilevel"/>
    <w:tmpl w:val="EC646030"/>
    <w:lvl w:ilvl="0" w:tplc="6D12C4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1049E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172CC"/>
    <w:multiLevelType w:val="hybridMultilevel"/>
    <w:tmpl w:val="1AD6C5BA"/>
    <w:lvl w:ilvl="0" w:tplc="237A6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042A73"/>
    <w:multiLevelType w:val="hybridMultilevel"/>
    <w:tmpl w:val="A2460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73D7C"/>
    <w:multiLevelType w:val="hybridMultilevel"/>
    <w:tmpl w:val="7838851C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262B05"/>
    <w:multiLevelType w:val="hybridMultilevel"/>
    <w:tmpl w:val="11E4A2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4F3256"/>
    <w:multiLevelType w:val="hybridMultilevel"/>
    <w:tmpl w:val="53B81DA6"/>
    <w:lvl w:ilvl="0" w:tplc="B1DA93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6A665A"/>
    <w:multiLevelType w:val="hybridMultilevel"/>
    <w:tmpl w:val="D15A2A2E"/>
    <w:lvl w:ilvl="0" w:tplc="4FFCE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A848A2"/>
    <w:multiLevelType w:val="multilevel"/>
    <w:tmpl w:val="CF5A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3">
    <w:nsid w:val="480F2428"/>
    <w:multiLevelType w:val="hybridMultilevel"/>
    <w:tmpl w:val="642692CE"/>
    <w:lvl w:ilvl="0" w:tplc="7E0E6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2F368A"/>
    <w:multiLevelType w:val="hybridMultilevel"/>
    <w:tmpl w:val="937C800E"/>
    <w:lvl w:ilvl="0" w:tplc="C3901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471EAB"/>
    <w:multiLevelType w:val="hybridMultilevel"/>
    <w:tmpl w:val="A2460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A74D74"/>
    <w:multiLevelType w:val="hybridMultilevel"/>
    <w:tmpl w:val="6220C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0FD35FA"/>
    <w:multiLevelType w:val="hybridMultilevel"/>
    <w:tmpl w:val="E86037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DF15A0"/>
    <w:multiLevelType w:val="hybridMultilevel"/>
    <w:tmpl w:val="3AE272A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C91922"/>
    <w:multiLevelType w:val="hybridMultilevel"/>
    <w:tmpl w:val="A4D64958"/>
    <w:lvl w:ilvl="0" w:tplc="A75622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09140E"/>
    <w:multiLevelType w:val="hybridMultilevel"/>
    <w:tmpl w:val="2BA01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94878B3"/>
    <w:multiLevelType w:val="hybridMultilevel"/>
    <w:tmpl w:val="5CD8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ACC0E49"/>
    <w:multiLevelType w:val="hybridMultilevel"/>
    <w:tmpl w:val="AAA4FB3A"/>
    <w:lvl w:ilvl="0" w:tplc="E93AF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9A7BFF"/>
    <w:multiLevelType w:val="hybridMultilevel"/>
    <w:tmpl w:val="6DF82C14"/>
    <w:lvl w:ilvl="0" w:tplc="946EE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460AEE"/>
    <w:multiLevelType w:val="hybridMultilevel"/>
    <w:tmpl w:val="0EF66404"/>
    <w:lvl w:ilvl="0" w:tplc="B0F2CEA0">
      <w:start w:val="1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3D1FDE"/>
    <w:multiLevelType w:val="hybridMultilevel"/>
    <w:tmpl w:val="7B481736"/>
    <w:lvl w:ilvl="0" w:tplc="1424001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DF7701"/>
    <w:multiLevelType w:val="hybridMultilevel"/>
    <w:tmpl w:val="A61889B8"/>
    <w:lvl w:ilvl="0" w:tplc="142400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7625B01"/>
    <w:multiLevelType w:val="hybridMultilevel"/>
    <w:tmpl w:val="9F680644"/>
    <w:lvl w:ilvl="0" w:tplc="E38C2C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183F63"/>
    <w:multiLevelType w:val="hybridMultilevel"/>
    <w:tmpl w:val="A1665B2A"/>
    <w:lvl w:ilvl="0" w:tplc="041B0011">
      <w:start w:val="1"/>
      <w:numFmt w:val="decimal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>
    <w:nsid w:val="68B1293F"/>
    <w:multiLevelType w:val="hybridMultilevel"/>
    <w:tmpl w:val="0FFE0030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6B927C3A"/>
    <w:multiLevelType w:val="hybridMultilevel"/>
    <w:tmpl w:val="55AAB86C"/>
    <w:lvl w:ilvl="0" w:tplc="C75838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>
    <w:nsid w:val="6C2B0E0C"/>
    <w:multiLevelType w:val="hybridMultilevel"/>
    <w:tmpl w:val="34249A58"/>
    <w:lvl w:ilvl="0" w:tplc="484AC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9E32EC"/>
    <w:multiLevelType w:val="hybridMultilevel"/>
    <w:tmpl w:val="0B9A7574"/>
    <w:lvl w:ilvl="0" w:tplc="08C49D3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3">
    <w:nsid w:val="70EE1E98"/>
    <w:multiLevelType w:val="multilevel"/>
    <w:tmpl w:val="BE50A1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75AC1BBA"/>
    <w:multiLevelType w:val="hybridMultilevel"/>
    <w:tmpl w:val="BE9291C6"/>
    <w:lvl w:ilvl="0" w:tplc="B24EE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007E4C"/>
    <w:multiLevelType w:val="hybridMultilevel"/>
    <w:tmpl w:val="D3749632"/>
    <w:lvl w:ilvl="0" w:tplc="4A506B32"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57">
    <w:nsid w:val="783F4F8B"/>
    <w:multiLevelType w:val="hybridMultilevel"/>
    <w:tmpl w:val="D1A43088"/>
    <w:lvl w:ilvl="0" w:tplc="E4309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8FE0550"/>
    <w:multiLevelType w:val="hybridMultilevel"/>
    <w:tmpl w:val="E3421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94361E1"/>
    <w:multiLevelType w:val="hybridMultilevel"/>
    <w:tmpl w:val="6A025B0A"/>
    <w:lvl w:ilvl="0" w:tplc="661A7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DD644B"/>
    <w:multiLevelType w:val="hybridMultilevel"/>
    <w:tmpl w:val="4B8EE92C"/>
    <w:lvl w:ilvl="0" w:tplc="C5B2B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FF792E"/>
    <w:multiLevelType w:val="hybridMultilevel"/>
    <w:tmpl w:val="39BAEE94"/>
    <w:lvl w:ilvl="0" w:tplc="661A7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C962AA"/>
    <w:multiLevelType w:val="hybridMultilevel"/>
    <w:tmpl w:val="A46EA5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B23823"/>
    <w:multiLevelType w:val="hybridMultilevel"/>
    <w:tmpl w:val="B3DEFE2E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8"/>
  </w:num>
  <w:num w:numId="3">
    <w:abstractNumId w:val="2"/>
  </w:num>
  <w:num w:numId="4">
    <w:abstractNumId w:val="1"/>
  </w:num>
  <w:num w:numId="5">
    <w:abstractNumId w:val="14"/>
  </w:num>
  <w:num w:numId="6">
    <w:abstractNumId w:val="36"/>
  </w:num>
  <w:num w:numId="7">
    <w:abstractNumId w:val="41"/>
  </w:num>
  <w:num w:numId="8">
    <w:abstractNumId w:val="3"/>
  </w:num>
  <w:num w:numId="9">
    <w:abstractNumId w:val="40"/>
  </w:num>
  <w:num w:numId="10">
    <w:abstractNumId w:val="58"/>
  </w:num>
  <w:num w:numId="11">
    <w:abstractNumId w:val="11"/>
  </w:num>
  <w:num w:numId="12">
    <w:abstractNumId w:val="28"/>
  </w:num>
  <w:num w:numId="13">
    <w:abstractNumId w:val="54"/>
  </w:num>
  <w:num w:numId="14">
    <w:abstractNumId w:val="15"/>
  </w:num>
  <w:num w:numId="15">
    <w:abstractNumId w:val="57"/>
  </w:num>
  <w:num w:numId="16">
    <w:abstractNumId w:val="53"/>
  </w:num>
  <w:num w:numId="17">
    <w:abstractNumId w:val="22"/>
  </w:num>
  <w:num w:numId="18">
    <w:abstractNumId w:val="44"/>
  </w:num>
  <w:num w:numId="19">
    <w:abstractNumId w:val="35"/>
  </w:num>
  <w:num w:numId="20">
    <w:abstractNumId w:val="52"/>
  </w:num>
  <w:num w:numId="21">
    <w:abstractNumId w:val="29"/>
  </w:num>
  <w:num w:numId="22">
    <w:abstractNumId w:val="26"/>
  </w:num>
  <w:num w:numId="23">
    <w:abstractNumId w:val="5"/>
  </w:num>
  <w:num w:numId="24">
    <w:abstractNumId w:val="42"/>
  </w:num>
  <w:num w:numId="25">
    <w:abstractNumId w:val="46"/>
  </w:num>
  <w:num w:numId="26">
    <w:abstractNumId w:val="49"/>
  </w:num>
  <w:num w:numId="27">
    <w:abstractNumId w:val="63"/>
  </w:num>
  <w:num w:numId="28">
    <w:abstractNumId w:val="7"/>
  </w:num>
  <w:num w:numId="29">
    <w:abstractNumId w:val="32"/>
  </w:num>
  <w:num w:numId="30">
    <w:abstractNumId w:val="37"/>
  </w:num>
  <w:num w:numId="31">
    <w:abstractNumId w:val="27"/>
  </w:num>
  <w:num w:numId="32">
    <w:abstractNumId w:val="24"/>
  </w:num>
  <w:num w:numId="33">
    <w:abstractNumId w:val="10"/>
  </w:num>
  <w:num w:numId="34">
    <w:abstractNumId w:val="0"/>
  </w:num>
  <w:num w:numId="35">
    <w:abstractNumId w:val="59"/>
  </w:num>
  <w:num w:numId="36">
    <w:abstractNumId w:val="61"/>
  </w:num>
  <w:num w:numId="37">
    <w:abstractNumId w:val="17"/>
  </w:num>
  <w:num w:numId="38">
    <w:abstractNumId w:val="4"/>
  </w:num>
  <w:num w:numId="39">
    <w:abstractNumId w:val="47"/>
  </w:num>
  <w:num w:numId="40">
    <w:abstractNumId w:val="6"/>
  </w:num>
  <w:num w:numId="41">
    <w:abstractNumId w:val="16"/>
  </w:num>
  <w:num w:numId="42">
    <w:abstractNumId w:val="39"/>
  </w:num>
  <w:num w:numId="43">
    <w:abstractNumId w:val="48"/>
  </w:num>
  <w:num w:numId="44">
    <w:abstractNumId w:val="31"/>
  </w:num>
  <w:num w:numId="45">
    <w:abstractNumId w:val="12"/>
  </w:num>
  <w:num w:numId="46">
    <w:abstractNumId w:val="62"/>
  </w:num>
  <w:num w:numId="47">
    <w:abstractNumId w:val="19"/>
  </w:num>
  <w:num w:numId="48">
    <w:abstractNumId w:val="56"/>
  </w:num>
  <w:num w:numId="49">
    <w:abstractNumId w:val="30"/>
  </w:num>
  <w:num w:numId="50">
    <w:abstractNumId w:val="25"/>
  </w:num>
  <w:num w:numId="51">
    <w:abstractNumId w:val="13"/>
  </w:num>
  <w:num w:numId="52">
    <w:abstractNumId w:val="21"/>
  </w:num>
  <w:num w:numId="53">
    <w:abstractNumId w:val="34"/>
  </w:num>
  <w:num w:numId="54">
    <w:abstractNumId w:val="9"/>
  </w:num>
  <w:num w:numId="55">
    <w:abstractNumId w:val="60"/>
  </w:num>
  <w:num w:numId="56">
    <w:abstractNumId w:val="33"/>
  </w:num>
  <w:num w:numId="57">
    <w:abstractNumId w:val="51"/>
  </w:num>
  <w:num w:numId="58">
    <w:abstractNumId w:val="55"/>
  </w:num>
  <w:num w:numId="59">
    <w:abstractNumId w:val="23"/>
  </w:num>
  <w:num w:numId="60">
    <w:abstractNumId w:val="18"/>
  </w:num>
  <w:num w:numId="61">
    <w:abstractNumId w:val="20"/>
  </w:num>
  <w:num w:numId="62">
    <w:abstractNumId w:val="45"/>
  </w:num>
  <w:num w:numId="63">
    <w:abstractNumId w:val="43"/>
  </w:num>
  <w:num w:numId="64">
    <w:abstractNumId w:val="8"/>
  </w:num>
  <w:num w:numId="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D5"/>
    <w:rsid w:val="00015A24"/>
    <w:rsid w:val="000209C0"/>
    <w:rsid w:val="00023763"/>
    <w:rsid w:val="00027509"/>
    <w:rsid w:val="00033DC1"/>
    <w:rsid w:val="0003756F"/>
    <w:rsid w:val="0006335B"/>
    <w:rsid w:val="0007051E"/>
    <w:rsid w:val="0008396C"/>
    <w:rsid w:val="00084C43"/>
    <w:rsid w:val="00084D9F"/>
    <w:rsid w:val="000931A5"/>
    <w:rsid w:val="000A3889"/>
    <w:rsid w:val="000A7100"/>
    <w:rsid w:val="000B4701"/>
    <w:rsid w:val="000B7904"/>
    <w:rsid w:val="000B7EA1"/>
    <w:rsid w:val="000C4553"/>
    <w:rsid w:val="000C5924"/>
    <w:rsid w:val="000C77D7"/>
    <w:rsid w:val="000D2D2C"/>
    <w:rsid w:val="000D2DCB"/>
    <w:rsid w:val="000D578E"/>
    <w:rsid w:val="000D6A8E"/>
    <w:rsid w:val="000D710A"/>
    <w:rsid w:val="000E37F7"/>
    <w:rsid w:val="000E596C"/>
    <w:rsid w:val="000E6371"/>
    <w:rsid w:val="000F2438"/>
    <w:rsid w:val="000F73E8"/>
    <w:rsid w:val="001009A6"/>
    <w:rsid w:val="0010123A"/>
    <w:rsid w:val="00105311"/>
    <w:rsid w:val="001103E4"/>
    <w:rsid w:val="00113F67"/>
    <w:rsid w:val="00116624"/>
    <w:rsid w:val="00117C71"/>
    <w:rsid w:val="00117F6A"/>
    <w:rsid w:val="00125EF1"/>
    <w:rsid w:val="00137020"/>
    <w:rsid w:val="00137A3B"/>
    <w:rsid w:val="001408B9"/>
    <w:rsid w:val="0014294A"/>
    <w:rsid w:val="00151815"/>
    <w:rsid w:val="001538A1"/>
    <w:rsid w:val="0016157B"/>
    <w:rsid w:val="00161FD8"/>
    <w:rsid w:val="00175200"/>
    <w:rsid w:val="0018252E"/>
    <w:rsid w:val="001832AE"/>
    <w:rsid w:val="00185F10"/>
    <w:rsid w:val="00187677"/>
    <w:rsid w:val="001914C8"/>
    <w:rsid w:val="00193E5D"/>
    <w:rsid w:val="00196FBC"/>
    <w:rsid w:val="001A2561"/>
    <w:rsid w:val="001A5756"/>
    <w:rsid w:val="001B4F48"/>
    <w:rsid w:val="001B52A8"/>
    <w:rsid w:val="001B7250"/>
    <w:rsid w:val="001C4D48"/>
    <w:rsid w:val="001D392D"/>
    <w:rsid w:val="001F3AAC"/>
    <w:rsid w:val="001F5133"/>
    <w:rsid w:val="002024FA"/>
    <w:rsid w:val="00207875"/>
    <w:rsid w:val="00212040"/>
    <w:rsid w:val="00216102"/>
    <w:rsid w:val="0022286C"/>
    <w:rsid w:val="00224E10"/>
    <w:rsid w:val="0022714A"/>
    <w:rsid w:val="00235DFE"/>
    <w:rsid w:val="0023736A"/>
    <w:rsid w:val="00240AA3"/>
    <w:rsid w:val="00240EBA"/>
    <w:rsid w:val="002431F2"/>
    <w:rsid w:val="00246890"/>
    <w:rsid w:val="00250CFF"/>
    <w:rsid w:val="00253C20"/>
    <w:rsid w:val="00256CED"/>
    <w:rsid w:val="0026085E"/>
    <w:rsid w:val="0027454B"/>
    <w:rsid w:val="00275E30"/>
    <w:rsid w:val="00276B0C"/>
    <w:rsid w:val="00294DA4"/>
    <w:rsid w:val="002A07E7"/>
    <w:rsid w:val="002A4631"/>
    <w:rsid w:val="002A4F2E"/>
    <w:rsid w:val="002A7E3B"/>
    <w:rsid w:val="002B7A2C"/>
    <w:rsid w:val="002C01B5"/>
    <w:rsid w:val="002C1453"/>
    <w:rsid w:val="002D3398"/>
    <w:rsid w:val="002D3FF2"/>
    <w:rsid w:val="002D70CF"/>
    <w:rsid w:val="002E3E0C"/>
    <w:rsid w:val="002E4045"/>
    <w:rsid w:val="002E619F"/>
    <w:rsid w:val="002F265C"/>
    <w:rsid w:val="002F2EEA"/>
    <w:rsid w:val="00301B80"/>
    <w:rsid w:val="00303FDD"/>
    <w:rsid w:val="003105C6"/>
    <w:rsid w:val="00311423"/>
    <w:rsid w:val="00317B08"/>
    <w:rsid w:val="00323502"/>
    <w:rsid w:val="0033137F"/>
    <w:rsid w:val="00347EB4"/>
    <w:rsid w:val="003568ED"/>
    <w:rsid w:val="00360A97"/>
    <w:rsid w:val="0036139C"/>
    <w:rsid w:val="00371C8E"/>
    <w:rsid w:val="0038003D"/>
    <w:rsid w:val="00381380"/>
    <w:rsid w:val="003874E5"/>
    <w:rsid w:val="003A024D"/>
    <w:rsid w:val="003A234E"/>
    <w:rsid w:val="003A3426"/>
    <w:rsid w:val="003A375B"/>
    <w:rsid w:val="003B4C58"/>
    <w:rsid w:val="003C26B8"/>
    <w:rsid w:val="003D19E8"/>
    <w:rsid w:val="003D69E5"/>
    <w:rsid w:val="003E76EF"/>
    <w:rsid w:val="003F6DA4"/>
    <w:rsid w:val="004026DA"/>
    <w:rsid w:val="0040575A"/>
    <w:rsid w:val="00415664"/>
    <w:rsid w:val="00415E5F"/>
    <w:rsid w:val="00441109"/>
    <w:rsid w:val="00450BB6"/>
    <w:rsid w:val="004521C9"/>
    <w:rsid w:val="0046195C"/>
    <w:rsid w:val="00462E63"/>
    <w:rsid w:val="00463CA5"/>
    <w:rsid w:val="004645B2"/>
    <w:rsid w:val="00466AE5"/>
    <w:rsid w:val="00483691"/>
    <w:rsid w:val="00491223"/>
    <w:rsid w:val="0049171E"/>
    <w:rsid w:val="0049344B"/>
    <w:rsid w:val="004934E0"/>
    <w:rsid w:val="004D541E"/>
    <w:rsid w:val="004E3715"/>
    <w:rsid w:val="004E430D"/>
    <w:rsid w:val="004E56FD"/>
    <w:rsid w:val="004F5711"/>
    <w:rsid w:val="004F57E5"/>
    <w:rsid w:val="00500A0A"/>
    <w:rsid w:val="00502C1E"/>
    <w:rsid w:val="005063AB"/>
    <w:rsid w:val="005106B3"/>
    <w:rsid w:val="00514910"/>
    <w:rsid w:val="005158D2"/>
    <w:rsid w:val="0052088A"/>
    <w:rsid w:val="00523811"/>
    <w:rsid w:val="00524DEF"/>
    <w:rsid w:val="00541796"/>
    <w:rsid w:val="00546F5B"/>
    <w:rsid w:val="00552416"/>
    <w:rsid w:val="00552F2D"/>
    <w:rsid w:val="00556209"/>
    <w:rsid w:val="00561084"/>
    <w:rsid w:val="005640A8"/>
    <w:rsid w:val="005701D9"/>
    <w:rsid w:val="00593EB9"/>
    <w:rsid w:val="0059473F"/>
    <w:rsid w:val="0059705D"/>
    <w:rsid w:val="005A29AA"/>
    <w:rsid w:val="005C0076"/>
    <w:rsid w:val="005C4670"/>
    <w:rsid w:val="005D01A0"/>
    <w:rsid w:val="005D5772"/>
    <w:rsid w:val="005E4031"/>
    <w:rsid w:val="005E5224"/>
    <w:rsid w:val="005E5E80"/>
    <w:rsid w:val="005F6030"/>
    <w:rsid w:val="006072CA"/>
    <w:rsid w:val="006203DF"/>
    <w:rsid w:val="00620747"/>
    <w:rsid w:val="00621B5B"/>
    <w:rsid w:val="00630B69"/>
    <w:rsid w:val="00632074"/>
    <w:rsid w:val="00634EEA"/>
    <w:rsid w:val="00635B62"/>
    <w:rsid w:val="00641006"/>
    <w:rsid w:val="00647E51"/>
    <w:rsid w:val="0065142C"/>
    <w:rsid w:val="00665A5B"/>
    <w:rsid w:val="00665A88"/>
    <w:rsid w:val="006669CF"/>
    <w:rsid w:val="00667171"/>
    <w:rsid w:val="00667F44"/>
    <w:rsid w:val="006725E4"/>
    <w:rsid w:val="00673DFE"/>
    <w:rsid w:val="00675C52"/>
    <w:rsid w:val="00681FF2"/>
    <w:rsid w:val="00690B08"/>
    <w:rsid w:val="00692257"/>
    <w:rsid w:val="006A5CAB"/>
    <w:rsid w:val="006B69F2"/>
    <w:rsid w:val="006C3F5E"/>
    <w:rsid w:val="006C7E61"/>
    <w:rsid w:val="006D6111"/>
    <w:rsid w:val="006D7697"/>
    <w:rsid w:val="006E7ADA"/>
    <w:rsid w:val="006F40A9"/>
    <w:rsid w:val="006F520D"/>
    <w:rsid w:val="006F5EB3"/>
    <w:rsid w:val="007061B7"/>
    <w:rsid w:val="00711D3E"/>
    <w:rsid w:val="00716C8D"/>
    <w:rsid w:val="007210E0"/>
    <w:rsid w:val="00721801"/>
    <w:rsid w:val="00723342"/>
    <w:rsid w:val="00732350"/>
    <w:rsid w:val="00737940"/>
    <w:rsid w:val="00745DB0"/>
    <w:rsid w:val="00746E14"/>
    <w:rsid w:val="00750923"/>
    <w:rsid w:val="00771D0F"/>
    <w:rsid w:val="0077451A"/>
    <w:rsid w:val="00777602"/>
    <w:rsid w:val="007814FB"/>
    <w:rsid w:val="00783DC9"/>
    <w:rsid w:val="00786F48"/>
    <w:rsid w:val="00796F39"/>
    <w:rsid w:val="007A15AD"/>
    <w:rsid w:val="007A1AEE"/>
    <w:rsid w:val="007B28DF"/>
    <w:rsid w:val="007B32F2"/>
    <w:rsid w:val="007B33C4"/>
    <w:rsid w:val="007B3F12"/>
    <w:rsid w:val="007B4C31"/>
    <w:rsid w:val="007B5C0C"/>
    <w:rsid w:val="007B6207"/>
    <w:rsid w:val="007D1CE9"/>
    <w:rsid w:val="007D34BC"/>
    <w:rsid w:val="007D4C16"/>
    <w:rsid w:val="007E0AB9"/>
    <w:rsid w:val="007E0FE4"/>
    <w:rsid w:val="007E576E"/>
    <w:rsid w:val="00810C28"/>
    <w:rsid w:val="00812D63"/>
    <w:rsid w:val="00814F80"/>
    <w:rsid w:val="00816DC4"/>
    <w:rsid w:val="00823A76"/>
    <w:rsid w:val="0082417B"/>
    <w:rsid w:val="008258C5"/>
    <w:rsid w:val="00854D6E"/>
    <w:rsid w:val="00861097"/>
    <w:rsid w:val="00884D35"/>
    <w:rsid w:val="008A1A27"/>
    <w:rsid w:val="008A22A7"/>
    <w:rsid w:val="008A2846"/>
    <w:rsid w:val="008A746A"/>
    <w:rsid w:val="008B4BCA"/>
    <w:rsid w:val="008B74BF"/>
    <w:rsid w:val="008C3898"/>
    <w:rsid w:val="008E2B8E"/>
    <w:rsid w:val="008E5D7D"/>
    <w:rsid w:val="008E6313"/>
    <w:rsid w:val="00900A84"/>
    <w:rsid w:val="0090112E"/>
    <w:rsid w:val="00902F70"/>
    <w:rsid w:val="00904878"/>
    <w:rsid w:val="00904ACA"/>
    <w:rsid w:val="00904F68"/>
    <w:rsid w:val="009062AB"/>
    <w:rsid w:val="00913FD3"/>
    <w:rsid w:val="0092292F"/>
    <w:rsid w:val="00926BE6"/>
    <w:rsid w:val="009374B8"/>
    <w:rsid w:val="00956565"/>
    <w:rsid w:val="00956ACF"/>
    <w:rsid w:val="00961293"/>
    <w:rsid w:val="00964251"/>
    <w:rsid w:val="0096510B"/>
    <w:rsid w:val="00974420"/>
    <w:rsid w:val="00977CAE"/>
    <w:rsid w:val="00980ED3"/>
    <w:rsid w:val="00984501"/>
    <w:rsid w:val="009869AE"/>
    <w:rsid w:val="00986CA1"/>
    <w:rsid w:val="00987698"/>
    <w:rsid w:val="00990D61"/>
    <w:rsid w:val="00991D02"/>
    <w:rsid w:val="009B4B65"/>
    <w:rsid w:val="009B7C6F"/>
    <w:rsid w:val="009C50E0"/>
    <w:rsid w:val="009E0788"/>
    <w:rsid w:val="009E44D4"/>
    <w:rsid w:val="009E5953"/>
    <w:rsid w:val="009E5D80"/>
    <w:rsid w:val="009E7FBD"/>
    <w:rsid w:val="009F35F0"/>
    <w:rsid w:val="009F64E3"/>
    <w:rsid w:val="00A0556E"/>
    <w:rsid w:val="00A10891"/>
    <w:rsid w:val="00A16012"/>
    <w:rsid w:val="00A43833"/>
    <w:rsid w:val="00A5183C"/>
    <w:rsid w:val="00A52F94"/>
    <w:rsid w:val="00A54FE7"/>
    <w:rsid w:val="00A553F8"/>
    <w:rsid w:val="00A63497"/>
    <w:rsid w:val="00A63741"/>
    <w:rsid w:val="00A64B02"/>
    <w:rsid w:val="00A664A2"/>
    <w:rsid w:val="00A705C6"/>
    <w:rsid w:val="00A73530"/>
    <w:rsid w:val="00A73E72"/>
    <w:rsid w:val="00A86503"/>
    <w:rsid w:val="00A86921"/>
    <w:rsid w:val="00A97DBD"/>
    <w:rsid w:val="00AA4234"/>
    <w:rsid w:val="00AA5B12"/>
    <w:rsid w:val="00AB5491"/>
    <w:rsid w:val="00AC0047"/>
    <w:rsid w:val="00AC2698"/>
    <w:rsid w:val="00AC7B5D"/>
    <w:rsid w:val="00AD1D50"/>
    <w:rsid w:val="00AD2025"/>
    <w:rsid w:val="00AE3FB0"/>
    <w:rsid w:val="00AE46C6"/>
    <w:rsid w:val="00AE4CFD"/>
    <w:rsid w:val="00AE6C37"/>
    <w:rsid w:val="00AF31D5"/>
    <w:rsid w:val="00AF5DA1"/>
    <w:rsid w:val="00B17A97"/>
    <w:rsid w:val="00B2268D"/>
    <w:rsid w:val="00B24CCC"/>
    <w:rsid w:val="00B33564"/>
    <w:rsid w:val="00B36439"/>
    <w:rsid w:val="00B3787A"/>
    <w:rsid w:val="00B44BF2"/>
    <w:rsid w:val="00B4641B"/>
    <w:rsid w:val="00B46DA7"/>
    <w:rsid w:val="00B46F19"/>
    <w:rsid w:val="00B4710D"/>
    <w:rsid w:val="00B52A8C"/>
    <w:rsid w:val="00B5676A"/>
    <w:rsid w:val="00B57782"/>
    <w:rsid w:val="00B62C32"/>
    <w:rsid w:val="00B65515"/>
    <w:rsid w:val="00B90AF8"/>
    <w:rsid w:val="00B91859"/>
    <w:rsid w:val="00B92272"/>
    <w:rsid w:val="00B957F8"/>
    <w:rsid w:val="00B95C32"/>
    <w:rsid w:val="00B977E6"/>
    <w:rsid w:val="00BA1E1E"/>
    <w:rsid w:val="00BA3FA6"/>
    <w:rsid w:val="00BB27E7"/>
    <w:rsid w:val="00BB5DD5"/>
    <w:rsid w:val="00BB64D6"/>
    <w:rsid w:val="00BC4C47"/>
    <w:rsid w:val="00BC50B9"/>
    <w:rsid w:val="00BC79CA"/>
    <w:rsid w:val="00BD1706"/>
    <w:rsid w:val="00BD6208"/>
    <w:rsid w:val="00BE25CD"/>
    <w:rsid w:val="00BE34ED"/>
    <w:rsid w:val="00BE49D8"/>
    <w:rsid w:val="00BE6CD7"/>
    <w:rsid w:val="00BF608D"/>
    <w:rsid w:val="00BF6C09"/>
    <w:rsid w:val="00C02AA6"/>
    <w:rsid w:val="00C03104"/>
    <w:rsid w:val="00C03745"/>
    <w:rsid w:val="00C15A2A"/>
    <w:rsid w:val="00C173F0"/>
    <w:rsid w:val="00C217A1"/>
    <w:rsid w:val="00C2627E"/>
    <w:rsid w:val="00C410AB"/>
    <w:rsid w:val="00C54141"/>
    <w:rsid w:val="00C9077D"/>
    <w:rsid w:val="00C97A71"/>
    <w:rsid w:val="00CA2C02"/>
    <w:rsid w:val="00CA3D77"/>
    <w:rsid w:val="00CB623D"/>
    <w:rsid w:val="00CB78FD"/>
    <w:rsid w:val="00CC0764"/>
    <w:rsid w:val="00CC0A50"/>
    <w:rsid w:val="00CD2B9C"/>
    <w:rsid w:val="00CD5369"/>
    <w:rsid w:val="00CD5E89"/>
    <w:rsid w:val="00CE2997"/>
    <w:rsid w:val="00CE5928"/>
    <w:rsid w:val="00CF1C86"/>
    <w:rsid w:val="00CF7300"/>
    <w:rsid w:val="00D11405"/>
    <w:rsid w:val="00D22EBC"/>
    <w:rsid w:val="00D33A86"/>
    <w:rsid w:val="00D371DF"/>
    <w:rsid w:val="00D41C31"/>
    <w:rsid w:val="00D4737A"/>
    <w:rsid w:val="00D50D3F"/>
    <w:rsid w:val="00D51980"/>
    <w:rsid w:val="00D51BEC"/>
    <w:rsid w:val="00D53143"/>
    <w:rsid w:val="00D546DE"/>
    <w:rsid w:val="00D62CE4"/>
    <w:rsid w:val="00D63D45"/>
    <w:rsid w:val="00D76638"/>
    <w:rsid w:val="00D77EE8"/>
    <w:rsid w:val="00D82667"/>
    <w:rsid w:val="00DA1BD2"/>
    <w:rsid w:val="00DA2FCE"/>
    <w:rsid w:val="00DB177A"/>
    <w:rsid w:val="00DC129E"/>
    <w:rsid w:val="00DC4CC8"/>
    <w:rsid w:val="00DC5299"/>
    <w:rsid w:val="00DD77E8"/>
    <w:rsid w:val="00DE5DE3"/>
    <w:rsid w:val="00DE72D6"/>
    <w:rsid w:val="00E02922"/>
    <w:rsid w:val="00E113BB"/>
    <w:rsid w:val="00E11AE7"/>
    <w:rsid w:val="00E17C37"/>
    <w:rsid w:val="00E20673"/>
    <w:rsid w:val="00E22053"/>
    <w:rsid w:val="00E24727"/>
    <w:rsid w:val="00E25DDD"/>
    <w:rsid w:val="00E32F27"/>
    <w:rsid w:val="00E339C0"/>
    <w:rsid w:val="00E37395"/>
    <w:rsid w:val="00E37885"/>
    <w:rsid w:val="00E42CD5"/>
    <w:rsid w:val="00E45722"/>
    <w:rsid w:val="00E45D96"/>
    <w:rsid w:val="00E5566D"/>
    <w:rsid w:val="00E61F62"/>
    <w:rsid w:val="00E665F0"/>
    <w:rsid w:val="00E66E02"/>
    <w:rsid w:val="00E74255"/>
    <w:rsid w:val="00E752B7"/>
    <w:rsid w:val="00E75F11"/>
    <w:rsid w:val="00E83E09"/>
    <w:rsid w:val="00E85089"/>
    <w:rsid w:val="00EA0283"/>
    <w:rsid w:val="00EA0CCB"/>
    <w:rsid w:val="00EA5B14"/>
    <w:rsid w:val="00EB09EE"/>
    <w:rsid w:val="00EB1FC0"/>
    <w:rsid w:val="00EB2CB8"/>
    <w:rsid w:val="00EC1841"/>
    <w:rsid w:val="00EC3158"/>
    <w:rsid w:val="00EC4D59"/>
    <w:rsid w:val="00ED03D5"/>
    <w:rsid w:val="00ED1DCB"/>
    <w:rsid w:val="00EE128C"/>
    <w:rsid w:val="00F03D1D"/>
    <w:rsid w:val="00F06F4D"/>
    <w:rsid w:val="00F170AE"/>
    <w:rsid w:val="00F26FAE"/>
    <w:rsid w:val="00F3023A"/>
    <w:rsid w:val="00F36102"/>
    <w:rsid w:val="00F42787"/>
    <w:rsid w:val="00F5353C"/>
    <w:rsid w:val="00F63D8A"/>
    <w:rsid w:val="00F65CDE"/>
    <w:rsid w:val="00F704E7"/>
    <w:rsid w:val="00F82677"/>
    <w:rsid w:val="00F845D0"/>
    <w:rsid w:val="00F85E8F"/>
    <w:rsid w:val="00F86396"/>
    <w:rsid w:val="00F97DFC"/>
    <w:rsid w:val="00FA0B46"/>
    <w:rsid w:val="00FA1152"/>
    <w:rsid w:val="00FA1F8A"/>
    <w:rsid w:val="00FA7FC9"/>
    <w:rsid w:val="00FB3502"/>
    <w:rsid w:val="00FB397B"/>
    <w:rsid w:val="00FB3D54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5DD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B5DD5"/>
    <w:pPr>
      <w:keepNext/>
      <w:spacing w:before="240" w:after="120"/>
      <w:outlineLvl w:val="0"/>
    </w:pPr>
    <w:rPr>
      <w:rFonts w:ascii="Arial Narrow" w:hAnsi="Arial Narrow"/>
      <w:b/>
      <w:bCs/>
      <w:kern w:val="32"/>
      <w:sz w:val="28"/>
      <w:szCs w:val="32"/>
      <w:lang w:val="cs-CZ" w:eastAsia="cs-CZ"/>
    </w:rPr>
  </w:style>
  <w:style w:type="paragraph" w:styleId="Nadpis4">
    <w:name w:val="heading 4"/>
    <w:basedOn w:val="Normlny"/>
    <w:next w:val="Normlny"/>
    <w:qFormat/>
    <w:rsid w:val="00BB5D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Char1,_Poznámka pod čiarou,Schriftart: 9 pt,Schriftart: 10 pt,Schriftart: 8 pt,Schriftart: 8 pt Char Char Char,Schriftart: 8 pt Char,Char,Text poznámky pod čiarou Char1 Char1,Char Char Char,f"/>
    <w:basedOn w:val="Normlny"/>
    <w:link w:val="TextpoznmkypodiarouChar"/>
    <w:uiPriority w:val="99"/>
    <w:rsid w:val="00BB5DD5"/>
    <w:rPr>
      <w:sz w:val="20"/>
    </w:rPr>
  </w:style>
  <w:style w:type="character" w:customStyle="1" w:styleId="TextpoznmkypodiarouChar">
    <w:name w:val="Text poznámky pod čiarou Char"/>
    <w:aliases w:val="Text poznámky pod čiarou 007 Char,Char1 Char,_Poznámka pod čiarou Char,Schriftart: 9 pt Char,Schriftart: 10 pt Char,Schriftart: 8 pt Char1,Schriftart: 8 pt Char Char Char Char,Schriftart: 8 pt Char Char,Char Char,f Char"/>
    <w:link w:val="Textpoznmkypodiarou"/>
    <w:uiPriority w:val="99"/>
    <w:locked/>
    <w:rsid w:val="00BB5DD5"/>
    <w:rPr>
      <w:lang w:val="sk-SK" w:eastAsia="sk-SK" w:bidi="ar-SA"/>
    </w:rPr>
  </w:style>
  <w:style w:type="character" w:styleId="Odkaznapoznmkupodiarou">
    <w:name w:val="footnote reference"/>
    <w:aliases w:val="Footnote,Footnotes refss,Footnote Reference Superscript,BVI fnr,Footnote symbol,Footnote symboFußnotenzeichen,Footnote sign,Footnote Reference text,SUPERS,Footnote reference number,note TESI,-E Fußnotenzeichen,number,Char Ch"/>
    <w:uiPriority w:val="99"/>
    <w:rsid w:val="00BB5DD5"/>
    <w:rPr>
      <w:rFonts w:cs="Times New Roman"/>
      <w:vertAlign w:val="superscript"/>
    </w:rPr>
  </w:style>
  <w:style w:type="character" w:customStyle="1" w:styleId="Nadpis1Char">
    <w:name w:val="Nadpis 1 Char"/>
    <w:link w:val="Nadpis1"/>
    <w:locked/>
    <w:rsid w:val="00BB5DD5"/>
    <w:rPr>
      <w:rFonts w:ascii="Arial Narrow" w:hAnsi="Arial Narrow"/>
      <w:b/>
      <w:bCs/>
      <w:kern w:val="32"/>
      <w:sz w:val="28"/>
      <w:szCs w:val="32"/>
      <w:lang w:val="cs-CZ" w:eastAsia="cs-CZ" w:bidi="ar-SA"/>
    </w:rPr>
  </w:style>
  <w:style w:type="character" w:styleId="Odkaznakomentr">
    <w:name w:val="annotation reference"/>
    <w:rsid w:val="00BB5DD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BB5DD5"/>
    <w:rPr>
      <w:sz w:val="20"/>
    </w:rPr>
  </w:style>
  <w:style w:type="character" w:customStyle="1" w:styleId="TextkomentraChar">
    <w:name w:val="Text komentára Char"/>
    <w:link w:val="Textkomentra"/>
    <w:locked/>
    <w:rsid w:val="00BB5DD5"/>
    <w:rPr>
      <w:lang w:val="sk-SK" w:eastAsia="sk-SK" w:bidi="ar-SA"/>
    </w:rPr>
  </w:style>
  <w:style w:type="paragraph" w:styleId="Hlavika">
    <w:name w:val="header"/>
    <w:basedOn w:val="Normlny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Pta">
    <w:name w:val="footer"/>
    <w:basedOn w:val="Normlny"/>
    <w:link w:val="PtaChar"/>
    <w:uiPriority w:val="99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Textbubliny">
    <w:name w:val="Balloon Text"/>
    <w:basedOn w:val="Normlny"/>
    <w:semiHidden/>
    <w:rsid w:val="00BB5DD5"/>
    <w:rPr>
      <w:rFonts w:ascii="Tahoma" w:hAnsi="Tahoma" w:cs="Tahoma"/>
      <w:sz w:val="16"/>
      <w:szCs w:val="16"/>
    </w:rPr>
  </w:style>
  <w:style w:type="paragraph" w:customStyle="1" w:styleId="Nadpis2">
    <w:name w:val="Nadpis2"/>
    <w:basedOn w:val="Nadpis1"/>
    <w:link w:val="Nadpis2Char"/>
    <w:qFormat/>
    <w:rsid w:val="00BB5DD5"/>
    <w:pPr>
      <w:numPr>
        <w:ilvl w:val="1"/>
        <w:numId w:val="13"/>
      </w:numPr>
      <w:tabs>
        <w:tab w:val="num" w:pos="360"/>
      </w:tabs>
      <w:spacing w:before="120"/>
      <w:ind w:left="0" w:firstLine="0"/>
    </w:pPr>
    <w:rPr>
      <w:bCs w:val="0"/>
      <w:sz w:val="32"/>
      <w:szCs w:val="20"/>
      <w:lang w:eastAsia="sk-SK"/>
    </w:rPr>
  </w:style>
  <w:style w:type="paragraph" w:customStyle="1" w:styleId="Nadpis3">
    <w:name w:val="Nadpis3"/>
    <w:basedOn w:val="Nadpis2"/>
    <w:link w:val="Nadpis3Char"/>
    <w:qFormat/>
    <w:rsid w:val="00BB5DD5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BB5DD5"/>
    <w:rPr>
      <w:rFonts w:ascii="Arial Narrow" w:hAnsi="Arial Narrow"/>
      <w:b/>
      <w:kern w:val="32"/>
      <w:lang w:val="cs-CZ" w:eastAsia="sk-SK" w:bidi="ar-SA"/>
    </w:rPr>
  </w:style>
  <w:style w:type="character" w:styleId="Hypertextovprepojenie">
    <w:name w:val="Hyperlink"/>
    <w:rsid w:val="00BB5DD5"/>
    <w:rPr>
      <w:rFonts w:cs="Times New Roman"/>
      <w:color w:val="0000FF"/>
      <w:u w:val="single"/>
    </w:rPr>
  </w:style>
  <w:style w:type="character" w:customStyle="1" w:styleId="Nadpis2Char">
    <w:name w:val="Nadpis2 Char"/>
    <w:link w:val="Nadpis2"/>
    <w:locked/>
    <w:rsid w:val="00BB5DD5"/>
    <w:rPr>
      <w:rFonts w:ascii="Arial Narrow" w:hAnsi="Arial Narrow"/>
      <w:b/>
      <w:kern w:val="32"/>
      <w:sz w:val="32"/>
      <w:lang w:val="cs-CZ" w:eastAsia="sk-SK" w:bidi="ar-SA"/>
    </w:rPr>
  </w:style>
  <w:style w:type="paragraph" w:styleId="Predmetkomentra">
    <w:name w:val="annotation subject"/>
    <w:basedOn w:val="Textkomentra"/>
    <w:next w:val="Textkomentra"/>
    <w:semiHidden/>
    <w:rsid w:val="0038003D"/>
    <w:rPr>
      <w:b/>
      <w:bCs/>
    </w:rPr>
  </w:style>
  <w:style w:type="paragraph" w:customStyle="1" w:styleId="Texttabulky">
    <w:name w:val="Text tabulky"/>
    <w:rsid w:val="005D01A0"/>
    <w:pPr>
      <w:overflowPunct w:val="0"/>
      <w:autoSpaceDE w:val="0"/>
      <w:autoSpaceDN w:val="0"/>
      <w:adjustRightInd w:val="0"/>
      <w:textAlignment w:val="baseline"/>
    </w:pPr>
    <w:rPr>
      <w:rFonts w:ascii="KabelE" w:hAnsi="KabelE" w:cs="Mangal"/>
      <w:color w:val="000000"/>
      <w:sz w:val="16"/>
      <w:szCs w:val="16"/>
      <w:lang w:val="en-GB" w:eastAsia="cs-CZ" w:bidi="hi-IN"/>
    </w:rPr>
  </w:style>
  <w:style w:type="paragraph" w:styleId="Zkladntext">
    <w:name w:val="Body Text"/>
    <w:basedOn w:val="Normlny"/>
    <w:rsid w:val="005D01A0"/>
    <w:pPr>
      <w:overflowPunct w:val="0"/>
      <w:autoSpaceDE w:val="0"/>
      <w:autoSpaceDN w:val="0"/>
      <w:adjustRightInd w:val="0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paragraph" w:customStyle="1" w:styleId="Bullet1">
    <w:name w:val="Bullet 1"/>
    <w:rsid w:val="005D01A0"/>
    <w:pPr>
      <w:overflowPunct w:val="0"/>
      <w:autoSpaceDE w:val="0"/>
      <w:autoSpaceDN w:val="0"/>
      <w:adjustRightInd w:val="0"/>
      <w:ind w:left="288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table" w:styleId="Mriekatabuky">
    <w:name w:val="Table Grid"/>
    <w:basedOn w:val="Normlnatabuka"/>
    <w:rsid w:val="00301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1">
    <w:name w:val="Odsek zoznamu1"/>
    <w:basedOn w:val="Normlny"/>
    <w:rsid w:val="00A86503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rsid w:val="00EA0C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CCB"/>
    <w:rPr>
      <w:sz w:val="24"/>
    </w:rPr>
  </w:style>
  <w:style w:type="paragraph" w:customStyle="1" w:styleId="Odsekzoznamu2">
    <w:name w:val="Odsek zoznamu2"/>
    <w:basedOn w:val="Normlny"/>
    <w:rsid w:val="00777602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99"/>
    <w:qFormat/>
    <w:rsid w:val="007776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77602"/>
    <w:rPr>
      <w:rFonts w:ascii="Calibri" w:hAnsi="Calibri"/>
      <w:sz w:val="22"/>
      <w:szCs w:val="22"/>
    </w:rPr>
  </w:style>
  <w:style w:type="paragraph" w:styleId="Bezriadkovania">
    <w:name w:val="No Spacing"/>
    <w:uiPriority w:val="1"/>
    <w:qFormat/>
    <w:rsid w:val="00AD2025"/>
    <w:rPr>
      <w:rFonts w:ascii="Calibri" w:hAnsi="Calibr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C02AA6"/>
    <w:rPr>
      <w:sz w:val="24"/>
      <w:lang w:eastAsia="en-US"/>
    </w:rPr>
  </w:style>
  <w:style w:type="paragraph" w:styleId="Revzia">
    <w:name w:val="Revision"/>
    <w:hidden/>
    <w:uiPriority w:val="99"/>
    <w:semiHidden/>
    <w:rsid w:val="003A342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5DD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B5DD5"/>
    <w:pPr>
      <w:keepNext/>
      <w:spacing w:before="240" w:after="120"/>
      <w:outlineLvl w:val="0"/>
    </w:pPr>
    <w:rPr>
      <w:rFonts w:ascii="Arial Narrow" w:hAnsi="Arial Narrow"/>
      <w:b/>
      <w:bCs/>
      <w:kern w:val="32"/>
      <w:sz w:val="28"/>
      <w:szCs w:val="32"/>
      <w:lang w:val="cs-CZ" w:eastAsia="cs-CZ"/>
    </w:rPr>
  </w:style>
  <w:style w:type="paragraph" w:styleId="Nadpis4">
    <w:name w:val="heading 4"/>
    <w:basedOn w:val="Normlny"/>
    <w:next w:val="Normlny"/>
    <w:qFormat/>
    <w:rsid w:val="00BB5D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Char1,_Poznámka pod čiarou,Schriftart: 9 pt,Schriftart: 10 pt,Schriftart: 8 pt,Schriftart: 8 pt Char Char Char,Schriftart: 8 pt Char,Char,Text poznámky pod čiarou Char1 Char1,Char Char Char,f"/>
    <w:basedOn w:val="Normlny"/>
    <w:link w:val="TextpoznmkypodiarouChar"/>
    <w:uiPriority w:val="99"/>
    <w:rsid w:val="00BB5DD5"/>
    <w:rPr>
      <w:sz w:val="20"/>
    </w:rPr>
  </w:style>
  <w:style w:type="character" w:customStyle="1" w:styleId="TextpoznmkypodiarouChar">
    <w:name w:val="Text poznámky pod čiarou Char"/>
    <w:aliases w:val="Text poznámky pod čiarou 007 Char,Char1 Char,_Poznámka pod čiarou Char,Schriftart: 9 pt Char,Schriftart: 10 pt Char,Schriftart: 8 pt Char1,Schriftart: 8 pt Char Char Char Char,Schriftart: 8 pt Char Char,Char Char,f Char"/>
    <w:link w:val="Textpoznmkypodiarou"/>
    <w:uiPriority w:val="99"/>
    <w:locked/>
    <w:rsid w:val="00BB5DD5"/>
    <w:rPr>
      <w:lang w:val="sk-SK" w:eastAsia="sk-SK" w:bidi="ar-SA"/>
    </w:rPr>
  </w:style>
  <w:style w:type="character" w:styleId="Odkaznapoznmkupodiarou">
    <w:name w:val="footnote reference"/>
    <w:aliases w:val="Footnote,Footnotes refss,Footnote Reference Superscript,BVI fnr,Footnote symbol,Footnote symboFußnotenzeichen,Footnote sign,Footnote Reference text,SUPERS,Footnote reference number,note TESI,-E Fußnotenzeichen,number,Char Ch"/>
    <w:uiPriority w:val="99"/>
    <w:rsid w:val="00BB5DD5"/>
    <w:rPr>
      <w:rFonts w:cs="Times New Roman"/>
      <w:vertAlign w:val="superscript"/>
    </w:rPr>
  </w:style>
  <w:style w:type="character" w:customStyle="1" w:styleId="Nadpis1Char">
    <w:name w:val="Nadpis 1 Char"/>
    <w:link w:val="Nadpis1"/>
    <w:locked/>
    <w:rsid w:val="00BB5DD5"/>
    <w:rPr>
      <w:rFonts w:ascii="Arial Narrow" w:hAnsi="Arial Narrow"/>
      <w:b/>
      <w:bCs/>
      <w:kern w:val="32"/>
      <w:sz w:val="28"/>
      <w:szCs w:val="32"/>
      <w:lang w:val="cs-CZ" w:eastAsia="cs-CZ" w:bidi="ar-SA"/>
    </w:rPr>
  </w:style>
  <w:style w:type="character" w:styleId="Odkaznakomentr">
    <w:name w:val="annotation reference"/>
    <w:rsid w:val="00BB5DD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BB5DD5"/>
    <w:rPr>
      <w:sz w:val="20"/>
    </w:rPr>
  </w:style>
  <w:style w:type="character" w:customStyle="1" w:styleId="TextkomentraChar">
    <w:name w:val="Text komentára Char"/>
    <w:link w:val="Textkomentra"/>
    <w:locked/>
    <w:rsid w:val="00BB5DD5"/>
    <w:rPr>
      <w:lang w:val="sk-SK" w:eastAsia="sk-SK" w:bidi="ar-SA"/>
    </w:rPr>
  </w:style>
  <w:style w:type="paragraph" w:styleId="Hlavika">
    <w:name w:val="header"/>
    <w:basedOn w:val="Normlny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Pta">
    <w:name w:val="footer"/>
    <w:basedOn w:val="Normlny"/>
    <w:link w:val="PtaChar"/>
    <w:uiPriority w:val="99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Textbubliny">
    <w:name w:val="Balloon Text"/>
    <w:basedOn w:val="Normlny"/>
    <w:semiHidden/>
    <w:rsid w:val="00BB5DD5"/>
    <w:rPr>
      <w:rFonts w:ascii="Tahoma" w:hAnsi="Tahoma" w:cs="Tahoma"/>
      <w:sz w:val="16"/>
      <w:szCs w:val="16"/>
    </w:rPr>
  </w:style>
  <w:style w:type="paragraph" w:customStyle="1" w:styleId="Nadpis2">
    <w:name w:val="Nadpis2"/>
    <w:basedOn w:val="Nadpis1"/>
    <w:link w:val="Nadpis2Char"/>
    <w:qFormat/>
    <w:rsid w:val="00BB5DD5"/>
    <w:pPr>
      <w:numPr>
        <w:ilvl w:val="1"/>
        <w:numId w:val="13"/>
      </w:numPr>
      <w:tabs>
        <w:tab w:val="num" w:pos="360"/>
      </w:tabs>
      <w:spacing w:before="120"/>
      <w:ind w:left="0" w:firstLine="0"/>
    </w:pPr>
    <w:rPr>
      <w:bCs w:val="0"/>
      <w:sz w:val="32"/>
      <w:szCs w:val="20"/>
      <w:lang w:eastAsia="sk-SK"/>
    </w:rPr>
  </w:style>
  <w:style w:type="paragraph" w:customStyle="1" w:styleId="Nadpis3">
    <w:name w:val="Nadpis3"/>
    <w:basedOn w:val="Nadpis2"/>
    <w:link w:val="Nadpis3Char"/>
    <w:qFormat/>
    <w:rsid w:val="00BB5DD5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BB5DD5"/>
    <w:rPr>
      <w:rFonts w:ascii="Arial Narrow" w:hAnsi="Arial Narrow"/>
      <w:b/>
      <w:kern w:val="32"/>
      <w:lang w:val="cs-CZ" w:eastAsia="sk-SK" w:bidi="ar-SA"/>
    </w:rPr>
  </w:style>
  <w:style w:type="character" w:styleId="Hypertextovprepojenie">
    <w:name w:val="Hyperlink"/>
    <w:rsid w:val="00BB5DD5"/>
    <w:rPr>
      <w:rFonts w:cs="Times New Roman"/>
      <w:color w:val="0000FF"/>
      <w:u w:val="single"/>
    </w:rPr>
  </w:style>
  <w:style w:type="character" w:customStyle="1" w:styleId="Nadpis2Char">
    <w:name w:val="Nadpis2 Char"/>
    <w:link w:val="Nadpis2"/>
    <w:locked/>
    <w:rsid w:val="00BB5DD5"/>
    <w:rPr>
      <w:rFonts w:ascii="Arial Narrow" w:hAnsi="Arial Narrow"/>
      <w:b/>
      <w:kern w:val="32"/>
      <w:sz w:val="32"/>
      <w:lang w:val="cs-CZ" w:eastAsia="sk-SK" w:bidi="ar-SA"/>
    </w:rPr>
  </w:style>
  <w:style w:type="paragraph" w:styleId="Predmetkomentra">
    <w:name w:val="annotation subject"/>
    <w:basedOn w:val="Textkomentra"/>
    <w:next w:val="Textkomentra"/>
    <w:semiHidden/>
    <w:rsid w:val="0038003D"/>
    <w:rPr>
      <w:b/>
      <w:bCs/>
    </w:rPr>
  </w:style>
  <w:style w:type="paragraph" w:customStyle="1" w:styleId="Texttabulky">
    <w:name w:val="Text tabulky"/>
    <w:rsid w:val="005D01A0"/>
    <w:pPr>
      <w:overflowPunct w:val="0"/>
      <w:autoSpaceDE w:val="0"/>
      <w:autoSpaceDN w:val="0"/>
      <w:adjustRightInd w:val="0"/>
      <w:textAlignment w:val="baseline"/>
    </w:pPr>
    <w:rPr>
      <w:rFonts w:ascii="KabelE" w:hAnsi="KabelE" w:cs="Mangal"/>
      <w:color w:val="000000"/>
      <w:sz w:val="16"/>
      <w:szCs w:val="16"/>
      <w:lang w:val="en-GB" w:eastAsia="cs-CZ" w:bidi="hi-IN"/>
    </w:rPr>
  </w:style>
  <w:style w:type="paragraph" w:styleId="Zkladntext">
    <w:name w:val="Body Text"/>
    <w:basedOn w:val="Normlny"/>
    <w:rsid w:val="005D01A0"/>
    <w:pPr>
      <w:overflowPunct w:val="0"/>
      <w:autoSpaceDE w:val="0"/>
      <w:autoSpaceDN w:val="0"/>
      <w:adjustRightInd w:val="0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paragraph" w:customStyle="1" w:styleId="Bullet1">
    <w:name w:val="Bullet 1"/>
    <w:rsid w:val="005D01A0"/>
    <w:pPr>
      <w:overflowPunct w:val="0"/>
      <w:autoSpaceDE w:val="0"/>
      <w:autoSpaceDN w:val="0"/>
      <w:adjustRightInd w:val="0"/>
      <w:ind w:left="288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table" w:styleId="Mriekatabuky">
    <w:name w:val="Table Grid"/>
    <w:basedOn w:val="Normlnatabuka"/>
    <w:rsid w:val="00301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1">
    <w:name w:val="Odsek zoznamu1"/>
    <w:basedOn w:val="Normlny"/>
    <w:rsid w:val="00A86503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rsid w:val="00EA0C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CCB"/>
    <w:rPr>
      <w:sz w:val="24"/>
    </w:rPr>
  </w:style>
  <w:style w:type="paragraph" w:customStyle="1" w:styleId="Odsekzoznamu2">
    <w:name w:val="Odsek zoznamu2"/>
    <w:basedOn w:val="Normlny"/>
    <w:rsid w:val="00777602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99"/>
    <w:qFormat/>
    <w:rsid w:val="007776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77602"/>
    <w:rPr>
      <w:rFonts w:ascii="Calibri" w:hAnsi="Calibri"/>
      <w:sz w:val="22"/>
      <w:szCs w:val="22"/>
    </w:rPr>
  </w:style>
  <w:style w:type="paragraph" w:styleId="Bezriadkovania">
    <w:name w:val="No Spacing"/>
    <w:uiPriority w:val="1"/>
    <w:qFormat/>
    <w:rsid w:val="00AD2025"/>
    <w:rPr>
      <w:rFonts w:ascii="Calibri" w:hAnsi="Calibr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C02AA6"/>
    <w:rPr>
      <w:sz w:val="24"/>
      <w:lang w:eastAsia="en-US"/>
    </w:rPr>
  </w:style>
  <w:style w:type="paragraph" w:styleId="Revzia">
    <w:name w:val="Revision"/>
    <w:hidden/>
    <w:uiPriority w:val="99"/>
    <w:semiHidden/>
    <w:rsid w:val="003A34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E9F6-E38A-44E0-9177-BB81FD63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3112</Words>
  <Characters>17739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mpsvr</dc:creator>
  <cp:lastModifiedBy>Popaďáková Lenka</cp:lastModifiedBy>
  <cp:revision>28</cp:revision>
  <cp:lastPrinted>2014-07-11T08:40:00Z</cp:lastPrinted>
  <dcterms:created xsi:type="dcterms:W3CDTF">2014-12-08T08:06:00Z</dcterms:created>
  <dcterms:modified xsi:type="dcterms:W3CDTF">2015-07-09T13:49:00Z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