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D5" w:rsidRPr="00321189" w:rsidRDefault="00535EB4" w:rsidP="00BB5DD5">
      <w:pPr>
        <w:jc w:val="both"/>
      </w:pPr>
      <w:r>
        <w:rPr>
          <w:noProof/>
        </w:rPr>
        <w:drawing>
          <wp:anchor distT="0" distB="0" distL="114300" distR="114300" simplePos="0" relativeHeight="251658240" behindDoc="1" locked="0" layoutInCell="1" allowOverlap="1">
            <wp:simplePos x="0" y="0"/>
            <wp:positionH relativeFrom="column">
              <wp:posOffset>4500245</wp:posOffset>
            </wp:positionH>
            <wp:positionV relativeFrom="paragraph">
              <wp:posOffset>-178435</wp:posOffset>
            </wp:positionV>
            <wp:extent cx="1250950" cy="760730"/>
            <wp:effectExtent l="0" t="0" r="6350" b="1270"/>
            <wp:wrapTight wrapText="bothSides">
              <wp:wrapPolygon edited="0">
                <wp:start x="0" y="0"/>
                <wp:lineTo x="0" y="21095"/>
                <wp:lineTo x="21381" y="21095"/>
                <wp:lineTo x="21381"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950" cy="760730"/>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-139700</wp:posOffset>
            </wp:positionH>
            <wp:positionV relativeFrom="paragraph">
              <wp:posOffset>2540</wp:posOffset>
            </wp:positionV>
            <wp:extent cx="1943100" cy="426720"/>
            <wp:effectExtent l="0" t="0" r="0" b="0"/>
            <wp:wrapTight wrapText="bothSides">
              <wp:wrapPolygon edited="0">
                <wp:start x="0" y="0"/>
                <wp:lineTo x="0" y="20250"/>
                <wp:lineTo x="21388" y="20250"/>
                <wp:lineTo x="21388"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426720"/>
                    </a:xfrm>
                    <a:prstGeom prst="rect">
                      <a:avLst/>
                    </a:prstGeom>
                    <a:noFill/>
                  </pic:spPr>
                </pic:pic>
              </a:graphicData>
            </a:graphic>
          </wp:anchor>
        </w:drawing>
      </w:r>
    </w:p>
    <w:p w:rsidR="00BB5DD5" w:rsidRPr="00321189" w:rsidRDefault="00535EB4" w:rsidP="00BB5DD5">
      <w:pPr>
        <w:jc w:val="both"/>
      </w:pPr>
      <w:r>
        <w:rPr>
          <w:noProof/>
        </w:rPr>
        <w:drawing>
          <wp:anchor distT="0" distB="0" distL="114300" distR="114300" simplePos="0" relativeHeight="251656192" behindDoc="0" locked="0" layoutInCell="1" allowOverlap="1">
            <wp:simplePos x="0" y="0"/>
            <wp:positionH relativeFrom="column">
              <wp:posOffset>343535</wp:posOffset>
            </wp:positionH>
            <wp:positionV relativeFrom="paragraph">
              <wp:posOffset>-466090</wp:posOffset>
            </wp:positionV>
            <wp:extent cx="1156970" cy="1072515"/>
            <wp:effectExtent l="0" t="0" r="508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6970" cy="1072515"/>
                    </a:xfrm>
                    <a:prstGeom prst="rect">
                      <a:avLst/>
                    </a:prstGeom>
                    <a:noFill/>
                  </pic:spPr>
                </pic:pic>
              </a:graphicData>
            </a:graphic>
          </wp:anchor>
        </w:drawing>
      </w: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tbl>
      <w:tblPr>
        <w:tblW w:w="0" w:type="auto"/>
        <w:tblLook w:val="01E0"/>
      </w:tblPr>
      <w:tblGrid>
        <w:gridCol w:w="9212"/>
      </w:tblGrid>
      <w:tr w:rsidR="00BB5DD5" w:rsidRPr="00321189" w:rsidTr="00235DFE">
        <w:tc>
          <w:tcPr>
            <w:tcW w:w="9212" w:type="dxa"/>
          </w:tcPr>
          <w:p w:rsidR="00BB5DD5" w:rsidRDefault="00BB5DD5" w:rsidP="00235DFE">
            <w:pPr>
              <w:jc w:val="center"/>
              <w:rPr>
                <w:sz w:val="44"/>
                <w:szCs w:val="44"/>
              </w:rPr>
            </w:pPr>
          </w:p>
          <w:p w:rsidR="00B740BB" w:rsidRDefault="00B740BB" w:rsidP="00235DFE">
            <w:pPr>
              <w:jc w:val="center"/>
              <w:rPr>
                <w:sz w:val="44"/>
                <w:szCs w:val="44"/>
              </w:rPr>
            </w:pPr>
          </w:p>
          <w:p w:rsidR="00B740BB" w:rsidRPr="00321189" w:rsidRDefault="00B740BB" w:rsidP="00235DFE">
            <w:pPr>
              <w:jc w:val="center"/>
              <w:rPr>
                <w:sz w:val="44"/>
                <w:szCs w:val="44"/>
              </w:rPr>
            </w:pPr>
          </w:p>
          <w:p w:rsidR="00BB5DD5" w:rsidRPr="00321189" w:rsidRDefault="00BB5DD5" w:rsidP="00B740BB">
            <w:pPr>
              <w:jc w:val="center"/>
              <w:rPr>
                <w:b/>
                <w:caps/>
                <w:color w:val="0000FF"/>
                <w:sz w:val="36"/>
                <w:szCs w:val="36"/>
              </w:rPr>
            </w:pPr>
            <w:r w:rsidRPr="00321189">
              <w:rPr>
                <w:b/>
                <w:caps/>
                <w:sz w:val="44"/>
                <w:szCs w:val="44"/>
              </w:rPr>
              <w:t>Opis projektu</w:t>
            </w:r>
          </w:p>
        </w:tc>
      </w:tr>
    </w:tbl>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478"/>
        <w:gridCol w:w="5060"/>
      </w:tblGrid>
      <w:tr w:rsidR="00B8630E" w:rsidRPr="00321189" w:rsidTr="00235DFE">
        <w:trPr>
          <w:trHeight w:val="397"/>
          <w:jc w:val="center"/>
        </w:trPr>
        <w:tc>
          <w:tcPr>
            <w:tcW w:w="4478" w:type="dxa"/>
          </w:tcPr>
          <w:p w:rsidR="00B8630E" w:rsidRPr="00321189" w:rsidRDefault="00B8630E" w:rsidP="00235DFE">
            <w:pPr>
              <w:jc w:val="both"/>
              <w:rPr>
                <w:b/>
                <w:bCs/>
                <w:szCs w:val="24"/>
              </w:rPr>
            </w:pPr>
            <w:r w:rsidRPr="00321189">
              <w:rPr>
                <w:b/>
                <w:szCs w:val="24"/>
              </w:rPr>
              <w:t>Názov projektu:</w:t>
            </w:r>
          </w:p>
        </w:tc>
        <w:tc>
          <w:tcPr>
            <w:tcW w:w="5060" w:type="dxa"/>
          </w:tcPr>
          <w:p w:rsidR="00B8630E" w:rsidRPr="00C52CFB" w:rsidRDefault="00386313" w:rsidP="005B60DB">
            <w:pPr>
              <w:jc w:val="both"/>
              <w:rPr>
                <w:b/>
                <w:bCs/>
                <w:szCs w:val="24"/>
              </w:rPr>
            </w:pPr>
            <w:r w:rsidRPr="00C52CFB">
              <w:rPr>
                <w:b/>
              </w:rPr>
              <w:t>P</w:t>
            </w:r>
            <w:r w:rsidR="005B60DB" w:rsidRPr="00C52CFB">
              <w:rPr>
                <w:b/>
              </w:rPr>
              <w:t>rognózy vývoja na trhu práce v BSK</w:t>
            </w:r>
          </w:p>
        </w:tc>
      </w:tr>
      <w:tr w:rsidR="00B8630E" w:rsidRPr="00321189" w:rsidTr="00235DFE">
        <w:trPr>
          <w:trHeight w:val="397"/>
          <w:jc w:val="center"/>
        </w:trPr>
        <w:tc>
          <w:tcPr>
            <w:tcW w:w="4478" w:type="dxa"/>
          </w:tcPr>
          <w:p w:rsidR="00B8630E" w:rsidRPr="00321189" w:rsidRDefault="00B8630E" w:rsidP="00235DFE">
            <w:pPr>
              <w:jc w:val="both"/>
              <w:rPr>
                <w:b/>
                <w:bCs/>
                <w:szCs w:val="24"/>
              </w:rPr>
            </w:pPr>
            <w:r w:rsidRPr="00321189">
              <w:rPr>
                <w:b/>
                <w:szCs w:val="24"/>
              </w:rPr>
              <w:t>Žiadateľ</w:t>
            </w:r>
            <w:r>
              <w:rPr>
                <w:b/>
                <w:szCs w:val="24"/>
              </w:rPr>
              <w:t xml:space="preserve"> o NFP</w:t>
            </w:r>
            <w:r w:rsidRPr="00321189">
              <w:rPr>
                <w:b/>
                <w:szCs w:val="24"/>
              </w:rPr>
              <w:t>:</w:t>
            </w:r>
          </w:p>
        </w:tc>
        <w:tc>
          <w:tcPr>
            <w:tcW w:w="5060" w:type="dxa"/>
          </w:tcPr>
          <w:p w:rsidR="00B8630E" w:rsidRPr="00161354" w:rsidRDefault="00386313" w:rsidP="00235DFE">
            <w:pPr>
              <w:jc w:val="both"/>
              <w:rPr>
                <w:b/>
                <w:bCs/>
                <w:szCs w:val="24"/>
              </w:rPr>
            </w:pPr>
            <w:r w:rsidRPr="00161354">
              <w:rPr>
                <w:b/>
                <w:bCs/>
              </w:rPr>
              <w:t>Ústredie práce, sociálnych vecí a rodiny</w:t>
            </w:r>
          </w:p>
        </w:tc>
      </w:tr>
      <w:tr w:rsidR="00132743" w:rsidRPr="00321189" w:rsidTr="00235DFE">
        <w:trPr>
          <w:trHeight w:val="397"/>
          <w:jc w:val="center"/>
        </w:trPr>
        <w:tc>
          <w:tcPr>
            <w:tcW w:w="4478" w:type="dxa"/>
          </w:tcPr>
          <w:p w:rsidR="00132743" w:rsidRPr="00741250" w:rsidRDefault="00132743" w:rsidP="00235DFE">
            <w:pPr>
              <w:jc w:val="both"/>
              <w:rPr>
                <w:b/>
                <w:szCs w:val="24"/>
              </w:rPr>
            </w:pPr>
            <w:r w:rsidRPr="00741250">
              <w:rPr>
                <w:b/>
                <w:szCs w:val="24"/>
              </w:rPr>
              <w:t>Dĺžka realizácie aktivít projektu</w:t>
            </w:r>
          </w:p>
          <w:p w:rsidR="00132743" w:rsidRPr="00741250" w:rsidRDefault="00132743" w:rsidP="00B740BB">
            <w:pPr>
              <w:jc w:val="both"/>
              <w:rPr>
                <w:b/>
                <w:szCs w:val="24"/>
              </w:rPr>
            </w:pPr>
            <w:r w:rsidRPr="00741250">
              <w:rPr>
                <w:b/>
                <w:szCs w:val="24"/>
              </w:rPr>
              <w:t>(</w:t>
            </w:r>
            <w:proofErr w:type="spellStart"/>
            <w:r w:rsidRPr="00741250">
              <w:rPr>
                <w:b/>
                <w:szCs w:val="24"/>
              </w:rPr>
              <w:t>od-do</w:t>
            </w:r>
            <w:proofErr w:type="spellEnd"/>
            <w:r w:rsidRPr="00741250">
              <w:rPr>
                <w:b/>
                <w:szCs w:val="24"/>
              </w:rPr>
              <w:t>):</w:t>
            </w:r>
          </w:p>
        </w:tc>
        <w:tc>
          <w:tcPr>
            <w:tcW w:w="5060" w:type="dxa"/>
          </w:tcPr>
          <w:p w:rsidR="00132743" w:rsidRPr="00161354" w:rsidRDefault="00CF0364" w:rsidP="00EF73EF">
            <w:pPr>
              <w:jc w:val="both"/>
              <w:rPr>
                <w:b/>
                <w:bCs/>
                <w:szCs w:val="24"/>
              </w:rPr>
            </w:pPr>
            <w:r w:rsidRPr="00161354">
              <w:rPr>
                <w:b/>
                <w:bCs/>
                <w:szCs w:val="24"/>
              </w:rPr>
              <w:t>02/2014 - 11/2015</w:t>
            </w:r>
          </w:p>
        </w:tc>
      </w:tr>
    </w:tbl>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E6446C" w:rsidP="00BB5DD5">
      <w:pPr>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69.55pt;height:98.35pt;z-index:-251657216;visibility:visible;mso-position-horizontal:center" wrapcoords="-96 -165 -96 21435 21696 21435 21696 -165 -96 -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" strokecolor="white [3212]">
            <v:textbox style="mso-fit-shape-to-text:t">
              <w:txbxContent>
                <w:p w:rsidR="00B740BB" w:rsidRPr="00491FE8" w:rsidRDefault="00B740BB" w:rsidP="00BB5DD5">
                  <w:pPr>
                    <w:jc w:val="center"/>
                    <w:rPr>
                      <w:smallCaps/>
                      <w:outline/>
                      <w:sz w:val="32"/>
                      <w:szCs w:val="32"/>
                    </w:rPr>
                  </w:pPr>
                  <w:r>
                    <w:rPr>
                      <w:smallCaps/>
                      <w:noProof/>
                      <w:sz w:val="32"/>
                      <w:szCs w:val="32"/>
                    </w:rPr>
                    <w:drawing>
                      <wp:inline distT="0" distB="0" distL="0" distR="0">
                        <wp:extent cx="1265555" cy="114808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5555" cy="1148080"/>
                                </a:xfrm>
                                <a:prstGeom prst="rect">
                                  <a:avLst/>
                                </a:prstGeom>
                                <a:noFill/>
                                <a:ln>
                                  <a:noFill/>
                                </a:ln>
                              </pic:spPr>
                            </pic:pic>
                          </a:graphicData>
                        </a:graphic>
                      </wp:inline>
                    </w:drawing>
                  </w:r>
                </w:p>
              </w:txbxContent>
            </v:textbox>
            <w10:wrap type="tight"/>
          </v:shape>
        </w:pict>
      </w: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center"/>
        <w:rPr>
          <w:sz w:val="28"/>
          <w:szCs w:val="28"/>
        </w:rPr>
      </w:pPr>
      <w:bookmarkStart w:id="0" w:name="_Toc185408052"/>
      <w:r w:rsidRPr="00321189">
        <w:rPr>
          <w:sz w:val="28"/>
          <w:szCs w:val="28"/>
        </w:rPr>
        <w:t>Programové obdobie 2007 – 2013</w:t>
      </w:r>
      <w:bookmarkEnd w:id="0"/>
    </w:p>
    <w:p w:rsidR="00BB5DD5" w:rsidRPr="00321189" w:rsidRDefault="00BB5DD5" w:rsidP="00BB5DD5">
      <w:pPr>
        <w:jc w:val="center"/>
        <w:sectPr w:rsidR="00BB5DD5" w:rsidRPr="00321189" w:rsidSect="00EC3158">
          <w:footerReference w:type="default" r:id="rId12"/>
          <w:pgSz w:w="11906" w:h="16838"/>
          <w:pgMar w:top="1417" w:right="1417" w:bottom="1417" w:left="1417" w:header="708" w:footer="708" w:gutter="0"/>
          <w:cols w:space="708"/>
          <w:docGrid w:linePitch="360"/>
        </w:sectPr>
      </w:pPr>
    </w:p>
    <w:p w:rsidR="00BB5DD5" w:rsidRDefault="00BB5DD5" w:rsidP="00B740BB">
      <w:pPr>
        <w:spacing w:before="120"/>
        <w:jc w:val="both"/>
        <w:rPr>
          <w:b/>
          <w:szCs w:val="24"/>
          <w:u w:val="single"/>
        </w:rPr>
      </w:pPr>
      <w:r w:rsidRPr="00105311">
        <w:rPr>
          <w:b/>
          <w:szCs w:val="24"/>
          <w:u w:val="single"/>
        </w:rPr>
        <w:lastRenderedPageBreak/>
        <w:t>Matica projektu</w:t>
      </w:r>
    </w:p>
    <w:p w:rsidR="00105311" w:rsidRPr="00105311" w:rsidRDefault="00105311" w:rsidP="00105311">
      <w:pPr>
        <w:spacing w:before="120"/>
        <w:ind w:left="113"/>
        <w:jc w:val="both"/>
        <w:rPr>
          <w:b/>
          <w:szCs w:val="24"/>
          <w:u w:val="single"/>
        </w:rPr>
      </w:pPr>
    </w:p>
    <w:tbl>
      <w:tblPr>
        <w:tblW w:w="14879" w:type="dxa"/>
        <w:tblInd w:w="-429" w:type="dxa"/>
        <w:tblLayout w:type="fixed"/>
        <w:tblCellMar>
          <w:left w:w="70" w:type="dxa"/>
          <w:right w:w="70" w:type="dxa"/>
        </w:tblCellMar>
        <w:tblLook w:val="0000"/>
      </w:tblPr>
      <w:tblGrid>
        <w:gridCol w:w="5177"/>
        <w:gridCol w:w="3969"/>
        <w:gridCol w:w="2749"/>
        <w:gridCol w:w="2984"/>
      </w:tblGrid>
      <w:tr w:rsidR="00FC4141" w:rsidRPr="002024FA" w:rsidTr="00E94FA8">
        <w:trPr>
          <w:cantSplit/>
        </w:trPr>
        <w:tc>
          <w:tcPr>
            <w:tcW w:w="5177" w:type="dxa"/>
            <w:tcBorders>
              <w:top w:val="single" w:sz="6" w:space="0" w:color="auto"/>
              <w:left w:val="single" w:sz="6" w:space="0" w:color="auto"/>
              <w:bottom w:val="single" w:sz="6" w:space="0" w:color="auto"/>
              <w:right w:val="single" w:sz="6" w:space="0" w:color="auto"/>
            </w:tcBorders>
          </w:tcPr>
          <w:p w:rsidR="00FC4141" w:rsidRPr="00386313" w:rsidRDefault="00FC4141" w:rsidP="00FC4141">
            <w:pPr>
              <w:spacing w:before="20" w:after="20" w:line="194" w:lineRule="exact"/>
              <w:rPr>
                <w:sz w:val="20"/>
              </w:rPr>
            </w:pPr>
            <w:r w:rsidRPr="00386313">
              <w:rPr>
                <w:sz w:val="20"/>
              </w:rPr>
              <w:t>Celkový cieľ</w:t>
            </w:r>
          </w:p>
          <w:p w:rsidR="00FC4141" w:rsidRPr="00386313" w:rsidRDefault="00FC4141" w:rsidP="00FC4141">
            <w:pPr>
              <w:rPr>
                <w:sz w:val="20"/>
              </w:rPr>
            </w:pPr>
          </w:p>
        </w:tc>
        <w:tc>
          <w:tcPr>
            <w:tcW w:w="3969" w:type="dxa"/>
            <w:tcBorders>
              <w:top w:val="single" w:sz="6" w:space="0" w:color="auto"/>
              <w:left w:val="single" w:sz="6" w:space="0" w:color="auto"/>
              <w:bottom w:val="single" w:sz="6" w:space="0" w:color="auto"/>
              <w:right w:val="single" w:sz="6" w:space="0" w:color="auto"/>
            </w:tcBorders>
          </w:tcPr>
          <w:p w:rsidR="00FC4141" w:rsidRPr="00386313" w:rsidRDefault="00FC4141" w:rsidP="00FC4141">
            <w:pPr>
              <w:pStyle w:val="Pta"/>
              <w:tabs>
                <w:tab w:val="left" w:pos="-70"/>
              </w:tabs>
              <w:spacing w:before="20" w:after="20" w:line="194" w:lineRule="exact"/>
              <w:rPr>
                <w:sz w:val="20"/>
              </w:rPr>
            </w:pPr>
            <w:r w:rsidRPr="00386313">
              <w:rPr>
                <w:sz w:val="20"/>
              </w:rPr>
              <w:t>Objektívne overiteľný ukazovateľ</w:t>
            </w:r>
          </w:p>
          <w:p w:rsidR="00FC4141" w:rsidRPr="00386313" w:rsidRDefault="00FC4141" w:rsidP="00FC4141">
            <w:pPr>
              <w:pStyle w:val="Pta"/>
              <w:tabs>
                <w:tab w:val="left" w:pos="-70"/>
              </w:tabs>
              <w:spacing w:before="20" w:after="20" w:line="194" w:lineRule="exact"/>
              <w:rPr>
                <w:sz w:val="20"/>
              </w:rPr>
            </w:pPr>
          </w:p>
        </w:tc>
        <w:tc>
          <w:tcPr>
            <w:tcW w:w="2749" w:type="dxa"/>
            <w:tcBorders>
              <w:top w:val="single" w:sz="6" w:space="0" w:color="auto"/>
              <w:left w:val="single" w:sz="6" w:space="0" w:color="auto"/>
              <w:bottom w:val="single" w:sz="6" w:space="0" w:color="auto"/>
              <w:right w:val="single" w:sz="6" w:space="0" w:color="auto"/>
            </w:tcBorders>
          </w:tcPr>
          <w:p w:rsidR="00FC4141" w:rsidRPr="00FD38CC" w:rsidRDefault="00FC4141" w:rsidP="00FC4141">
            <w:pPr>
              <w:pStyle w:val="Pta"/>
              <w:spacing w:before="20" w:after="20" w:line="194" w:lineRule="exact"/>
              <w:rPr>
                <w:sz w:val="20"/>
              </w:rPr>
            </w:pPr>
            <w:r w:rsidRPr="00FD38CC">
              <w:rPr>
                <w:sz w:val="20"/>
              </w:rPr>
              <w:t>Zdroje overenia</w:t>
            </w:r>
          </w:p>
          <w:p w:rsidR="00FC4141" w:rsidRPr="00FD38CC" w:rsidRDefault="00FC4141" w:rsidP="00FC4141">
            <w:pPr>
              <w:pStyle w:val="Pta"/>
              <w:spacing w:before="20" w:after="20" w:line="194" w:lineRule="exact"/>
              <w:rPr>
                <w:sz w:val="20"/>
              </w:rPr>
            </w:pPr>
          </w:p>
        </w:tc>
        <w:tc>
          <w:tcPr>
            <w:tcW w:w="2984" w:type="dxa"/>
            <w:tcBorders>
              <w:left w:val="single" w:sz="6" w:space="0" w:color="auto"/>
            </w:tcBorders>
          </w:tcPr>
          <w:p w:rsidR="00FC4141" w:rsidRPr="00386313" w:rsidRDefault="00FC4141" w:rsidP="00FC4141">
            <w:pPr>
              <w:pStyle w:val="Pta"/>
              <w:tabs>
                <w:tab w:val="left" w:pos="53"/>
              </w:tabs>
              <w:spacing w:before="20" w:after="20" w:line="194" w:lineRule="exact"/>
              <w:rPr>
                <w:sz w:val="20"/>
              </w:rPr>
            </w:pPr>
          </w:p>
        </w:tc>
      </w:tr>
      <w:tr w:rsidR="00FC4141" w:rsidRPr="002024FA" w:rsidTr="00E94FA8">
        <w:trPr>
          <w:cantSplit/>
        </w:trPr>
        <w:tc>
          <w:tcPr>
            <w:tcW w:w="5177" w:type="dxa"/>
            <w:tcBorders>
              <w:left w:val="single" w:sz="6" w:space="0" w:color="auto"/>
              <w:right w:val="single" w:sz="6" w:space="0" w:color="auto"/>
            </w:tcBorders>
          </w:tcPr>
          <w:p w:rsidR="00FC4141" w:rsidRPr="00AA4064" w:rsidRDefault="00FC4141" w:rsidP="00FC4141">
            <w:pPr>
              <w:pStyle w:val="Pta"/>
              <w:spacing w:before="20" w:after="20" w:line="194" w:lineRule="exact"/>
              <w:rPr>
                <w:sz w:val="20"/>
              </w:rPr>
            </w:pPr>
            <w:r w:rsidRPr="00AA4064">
              <w:rPr>
                <w:sz w:val="20"/>
              </w:rPr>
              <w:t xml:space="preserve">Poskytovanie informácií o štruktúre VPM a vypracovávanie  a aktualizovanie prognóz ponuky zručností a potrieb trhu práce </w:t>
            </w:r>
          </w:p>
          <w:p w:rsidR="00FC4141" w:rsidRPr="00AA4064" w:rsidRDefault="00FC4141" w:rsidP="00FC4141">
            <w:pPr>
              <w:pStyle w:val="Pta"/>
              <w:spacing w:before="20" w:after="20" w:line="194" w:lineRule="exact"/>
              <w:rPr>
                <w:sz w:val="20"/>
              </w:rPr>
            </w:pPr>
          </w:p>
        </w:tc>
        <w:tc>
          <w:tcPr>
            <w:tcW w:w="3969" w:type="dxa"/>
            <w:tcBorders>
              <w:left w:val="single" w:sz="6" w:space="0" w:color="auto"/>
              <w:right w:val="single" w:sz="6" w:space="0" w:color="auto"/>
            </w:tcBorders>
          </w:tcPr>
          <w:p w:rsidR="00FC4141" w:rsidRPr="00AA4064" w:rsidRDefault="00FC4141" w:rsidP="00FC4141">
            <w:pPr>
              <w:tabs>
                <w:tab w:val="left" w:pos="-70"/>
              </w:tabs>
              <w:spacing w:before="20" w:after="20" w:line="194" w:lineRule="exact"/>
              <w:rPr>
                <w:sz w:val="20"/>
              </w:rPr>
            </w:pPr>
            <w:r w:rsidRPr="00AA4064">
              <w:rPr>
                <w:sz w:val="20"/>
              </w:rPr>
              <w:t>Počet vypracovaných štúdií, analýz, strategických dokumentov: 15</w:t>
            </w:r>
          </w:p>
        </w:tc>
        <w:tc>
          <w:tcPr>
            <w:tcW w:w="2749" w:type="dxa"/>
            <w:tcBorders>
              <w:left w:val="single" w:sz="6" w:space="0" w:color="auto"/>
              <w:right w:val="single" w:sz="6" w:space="0" w:color="auto"/>
            </w:tcBorders>
          </w:tcPr>
          <w:p w:rsidR="00FC4141" w:rsidRPr="00AA4064" w:rsidRDefault="00FC4141" w:rsidP="00FC4141">
            <w:pPr>
              <w:spacing w:before="20" w:after="20" w:line="194" w:lineRule="exact"/>
              <w:rPr>
                <w:sz w:val="20"/>
              </w:rPr>
            </w:pPr>
            <w:r w:rsidRPr="00AA4064">
              <w:rPr>
                <w:sz w:val="20"/>
              </w:rPr>
              <w:t>Záverečná monitorovacia správa</w:t>
            </w:r>
          </w:p>
        </w:tc>
        <w:tc>
          <w:tcPr>
            <w:tcW w:w="2984" w:type="dxa"/>
            <w:tcBorders>
              <w:left w:val="single" w:sz="6" w:space="0" w:color="auto"/>
            </w:tcBorders>
          </w:tcPr>
          <w:p w:rsidR="00FC4141" w:rsidRPr="008700DC" w:rsidRDefault="00FC4141" w:rsidP="00FC4141">
            <w:pPr>
              <w:tabs>
                <w:tab w:val="left" w:pos="53"/>
              </w:tabs>
              <w:spacing w:before="20" w:after="20" w:line="194" w:lineRule="exact"/>
              <w:rPr>
                <w:sz w:val="20"/>
              </w:rPr>
            </w:pPr>
          </w:p>
        </w:tc>
      </w:tr>
      <w:tr w:rsidR="00FC4141" w:rsidRPr="00161354" w:rsidTr="00E94FA8">
        <w:trPr>
          <w:cantSplit/>
        </w:trPr>
        <w:tc>
          <w:tcPr>
            <w:tcW w:w="5177" w:type="dxa"/>
            <w:tcBorders>
              <w:top w:val="single" w:sz="6" w:space="0" w:color="auto"/>
              <w:left w:val="single" w:sz="6" w:space="0" w:color="auto"/>
              <w:bottom w:val="single" w:sz="6" w:space="0" w:color="auto"/>
              <w:right w:val="single" w:sz="6" w:space="0" w:color="auto"/>
            </w:tcBorders>
          </w:tcPr>
          <w:p w:rsidR="00FC4141" w:rsidRPr="00161354" w:rsidRDefault="00FC4141" w:rsidP="00FC4141">
            <w:pPr>
              <w:spacing w:before="20" w:after="20" w:line="194" w:lineRule="exact"/>
              <w:rPr>
                <w:sz w:val="20"/>
              </w:rPr>
            </w:pPr>
            <w:r w:rsidRPr="00161354">
              <w:rPr>
                <w:sz w:val="20"/>
              </w:rPr>
              <w:t>Špecifický cieľ resp. ciele</w:t>
            </w:r>
          </w:p>
          <w:p w:rsidR="00FC4141" w:rsidRPr="00161354" w:rsidRDefault="00FC4141" w:rsidP="00FC4141">
            <w:pPr>
              <w:spacing w:before="20" w:after="20" w:line="194" w:lineRule="exact"/>
              <w:rPr>
                <w:sz w:val="20"/>
              </w:rPr>
            </w:pPr>
          </w:p>
        </w:tc>
        <w:tc>
          <w:tcPr>
            <w:tcW w:w="3969" w:type="dxa"/>
            <w:tcBorders>
              <w:top w:val="single" w:sz="6" w:space="0" w:color="auto"/>
              <w:left w:val="single" w:sz="6" w:space="0" w:color="auto"/>
              <w:bottom w:val="single" w:sz="6" w:space="0" w:color="auto"/>
              <w:right w:val="single" w:sz="6" w:space="0" w:color="auto"/>
            </w:tcBorders>
          </w:tcPr>
          <w:p w:rsidR="00FC4141" w:rsidRPr="00161354" w:rsidRDefault="00FC4141" w:rsidP="00FC4141">
            <w:pPr>
              <w:pStyle w:val="Nadpis4"/>
              <w:tabs>
                <w:tab w:val="left" w:pos="-70"/>
              </w:tabs>
              <w:spacing w:before="0" w:after="0"/>
              <w:rPr>
                <w:b w:val="0"/>
                <w:bCs w:val="0"/>
                <w:sz w:val="20"/>
                <w:szCs w:val="20"/>
              </w:rPr>
            </w:pPr>
            <w:r w:rsidRPr="00161354">
              <w:rPr>
                <w:b w:val="0"/>
                <w:bCs w:val="0"/>
                <w:sz w:val="20"/>
                <w:szCs w:val="20"/>
              </w:rPr>
              <w:t>Objektívne overiteľné ukazovatele</w:t>
            </w:r>
          </w:p>
          <w:p w:rsidR="00FC4141" w:rsidRPr="00161354" w:rsidRDefault="00FC4141" w:rsidP="00FC4141">
            <w:pPr>
              <w:rPr>
                <w:sz w:val="20"/>
              </w:rPr>
            </w:pPr>
          </w:p>
        </w:tc>
        <w:tc>
          <w:tcPr>
            <w:tcW w:w="2749" w:type="dxa"/>
            <w:tcBorders>
              <w:top w:val="single" w:sz="6" w:space="0" w:color="auto"/>
              <w:left w:val="single" w:sz="6" w:space="0" w:color="auto"/>
              <w:bottom w:val="single" w:sz="6" w:space="0" w:color="auto"/>
              <w:right w:val="single" w:sz="6" w:space="0" w:color="auto"/>
            </w:tcBorders>
          </w:tcPr>
          <w:p w:rsidR="00FC4141" w:rsidRPr="00161354" w:rsidRDefault="00FC4141" w:rsidP="00FC4141">
            <w:pPr>
              <w:spacing w:before="20" w:after="20" w:line="194" w:lineRule="exact"/>
              <w:rPr>
                <w:sz w:val="20"/>
              </w:rPr>
            </w:pPr>
            <w:r w:rsidRPr="00161354">
              <w:rPr>
                <w:sz w:val="20"/>
              </w:rPr>
              <w:t>Zdroje overenia</w:t>
            </w:r>
          </w:p>
          <w:p w:rsidR="00FC4141" w:rsidRPr="00161354" w:rsidRDefault="00FC4141" w:rsidP="00FC4141">
            <w:pPr>
              <w:spacing w:before="20" w:after="20" w:line="194" w:lineRule="exact"/>
              <w:rPr>
                <w:sz w:val="20"/>
              </w:rPr>
            </w:pPr>
          </w:p>
        </w:tc>
        <w:tc>
          <w:tcPr>
            <w:tcW w:w="2984" w:type="dxa"/>
            <w:tcBorders>
              <w:top w:val="single" w:sz="6" w:space="0" w:color="auto"/>
              <w:left w:val="single" w:sz="6" w:space="0" w:color="auto"/>
              <w:bottom w:val="single" w:sz="6" w:space="0" w:color="auto"/>
              <w:right w:val="single" w:sz="6" w:space="0" w:color="auto"/>
            </w:tcBorders>
          </w:tcPr>
          <w:p w:rsidR="00FC4141" w:rsidRPr="00161354" w:rsidRDefault="00FC4141" w:rsidP="00FC4141">
            <w:pPr>
              <w:tabs>
                <w:tab w:val="left" w:pos="53"/>
              </w:tabs>
              <w:spacing w:before="20" w:after="20" w:line="194" w:lineRule="exact"/>
              <w:rPr>
                <w:sz w:val="20"/>
              </w:rPr>
            </w:pPr>
            <w:r w:rsidRPr="00161354">
              <w:rPr>
                <w:sz w:val="20"/>
              </w:rPr>
              <w:t>Predpoklady</w:t>
            </w:r>
          </w:p>
          <w:p w:rsidR="00FC4141" w:rsidRPr="00161354" w:rsidRDefault="00FC4141" w:rsidP="00FC4141">
            <w:pPr>
              <w:tabs>
                <w:tab w:val="left" w:pos="53"/>
              </w:tabs>
              <w:spacing w:before="20" w:after="20" w:line="194" w:lineRule="exact"/>
              <w:rPr>
                <w:sz w:val="20"/>
              </w:rPr>
            </w:pPr>
          </w:p>
        </w:tc>
      </w:tr>
      <w:tr w:rsidR="00FC4141" w:rsidRPr="00161354" w:rsidTr="00B740BB">
        <w:trPr>
          <w:cantSplit/>
          <w:trHeight w:val="2280"/>
        </w:trPr>
        <w:tc>
          <w:tcPr>
            <w:tcW w:w="5177" w:type="dxa"/>
            <w:tcBorders>
              <w:left w:val="single" w:sz="6" w:space="0" w:color="auto"/>
              <w:bottom w:val="single" w:sz="4" w:space="0" w:color="auto"/>
              <w:right w:val="single" w:sz="6" w:space="0" w:color="auto"/>
            </w:tcBorders>
          </w:tcPr>
          <w:p w:rsidR="00FC4141" w:rsidRPr="00161354" w:rsidRDefault="00FC4141" w:rsidP="001C2E01">
            <w:pPr>
              <w:pStyle w:val="Pta"/>
              <w:numPr>
                <w:ilvl w:val="0"/>
                <w:numId w:val="8"/>
              </w:numPr>
              <w:spacing w:before="20" w:after="20" w:line="194" w:lineRule="exact"/>
              <w:ind w:left="287" w:hanging="284"/>
              <w:rPr>
                <w:sz w:val="20"/>
              </w:rPr>
            </w:pPr>
            <w:r w:rsidRPr="00161354">
              <w:rPr>
                <w:sz w:val="20"/>
              </w:rPr>
              <w:t>Kontinuálne a systematické poskytovanie  informácií o štruktúre VPM  a pracovných príležitostiach na úrovni zamestnaní</w:t>
            </w:r>
          </w:p>
          <w:p w:rsidR="00FC4141" w:rsidRPr="00161354" w:rsidRDefault="00FC4141" w:rsidP="001C2E01">
            <w:pPr>
              <w:pStyle w:val="Pta"/>
              <w:numPr>
                <w:ilvl w:val="0"/>
                <w:numId w:val="8"/>
              </w:numPr>
              <w:spacing w:before="20" w:after="20" w:line="194" w:lineRule="exact"/>
              <w:ind w:left="287" w:hanging="284"/>
              <w:rPr>
                <w:sz w:val="20"/>
              </w:rPr>
            </w:pPr>
            <w:r w:rsidRPr="00161354">
              <w:rPr>
                <w:sz w:val="20"/>
              </w:rPr>
              <w:t>Skvalitnenie predvídania potrieb v oblasti požadovaných zručností pracovnej sily</w:t>
            </w:r>
          </w:p>
          <w:p w:rsidR="00FC4141" w:rsidRPr="00161354" w:rsidRDefault="00FC4141" w:rsidP="001C2E01">
            <w:pPr>
              <w:pStyle w:val="Pta"/>
              <w:numPr>
                <w:ilvl w:val="0"/>
                <w:numId w:val="8"/>
              </w:numPr>
              <w:spacing w:before="20" w:after="20" w:line="194" w:lineRule="exact"/>
              <w:ind w:left="287" w:hanging="284"/>
              <w:rPr>
                <w:sz w:val="20"/>
              </w:rPr>
            </w:pPr>
            <w:r w:rsidRPr="00161354">
              <w:rPr>
                <w:sz w:val="20"/>
              </w:rPr>
              <w:t>Riešenie nezamestnanosti mladých ľudí odstraňovaním nesúladu medzi ponúkanými a požadovanými zručnosťami na trhu práce</w:t>
            </w:r>
          </w:p>
          <w:p w:rsidR="00FC4141" w:rsidRPr="00161354" w:rsidRDefault="00FC4141" w:rsidP="001C2E01">
            <w:pPr>
              <w:pStyle w:val="Pta"/>
              <w:numPr>
                <w:ilvl w:val="0"/>
                <w:numId w:val="8"/>
              </w:numPr>
              <w:spacing w:before="20" w:after="20" w:line="194" w:lineRule="exact"/>
              <w:ind w:left="287" w:hanging="284"/>
              <w:rPr>
                <w:sz w:val="20"/>
              </w:rPr>
            </w:pPr>
            <w:r w:rsidRPr="00161354">
              <w:rPr>
                <w:sz w:val="20"/>
              </w:rPr>
              <w:t xml:space="preserve">Zabezpečenie systematického vypracovávania analýz a prognóz vývoja na trhu práce podľa platných legislatívnych rámcov EÚ ale najmä SR </w:t>
            </w:r>
          </w:p>
          <w:p w:rsidR="00FC4141" w:rsidRPr="00161354" w:rsidRDefault="00FC4141" w:rsidP="00FC4141">
            <w:pPr>
              <w:pStyle w:val="Pta"/>
              <w:spacing w:before="20" w:after="20" w:line="194" w:lineRule="exact"/>
              <w:ind w:left="287"/>
              <w:rPr>
                <w:sz w:val="20"/>
              </w:rPr>
            </w:pPr>
          </w:p>
          <w:p w:rsidR="00FC4141" w:rsidRPr="00161354" w:rsidRDefault="00FC4141" w:rsidP="00FC4141">
            <w:pPr>
              <w:pStyle w:val="Pta"/>
              <w:spacing w:before="20" w:after="20" w:line="194" w:lineRule="exact"/>
              <w:ind w:left="287"/>
              <w:rPr>
                <w:sz w:val="20"/>
              </w:rPr>
            </w:pPr>
          </w:p>
          <w:p w:rsidR="00FC4141" w:rsidRPr="00161354" w:rsidRDefault="00FC4141" w:rsidP="00FC4141">
            <w:pPr>
              <w:pStyle w:val="Pta"/>
              <w:spacing w:before="20" w:after="20" w:line="194" w:lineRule="exact"/>
              <w:ind w:left="287"/>
              <w:rPr>
                <w:sz w:val="20"/>
              </w:rPr>
            </w:pPr>
          </w:p>
          <w:p w:rsidR="00FC4141" w:rsidRPr="00161354" w:rsidRDefault="00FC4141" w:rsidP="00FC4141">
            <w:pPr>
              <w:pStyle w:val="Pta"/>
              <w:spacing w:before="20" w:after="20" w:line="194" w:lineRule="exact"/>
              <w:ind w:left="287"/>
              <w:rPr>
                <w:sz w:val="20"/>
              </w:rPr>
            </w:pPr>
          </w:p>
        </w:tc>
        <w:tc>
          <w:tcPr>
            <w:tcW w:w="3969" w:type="dxa"/>
            <w:tcBorders>
              <w:left w:val="single" w:sz="6" w:space="0" w:color="auto"/>
              <w:bottom w:val="single" w:sz="4" w:space="0" w:color="auto"/>
              <w:right w:val="single" w:sz="6" w:space="0" w:color="auto"/>
            </w:tcBorders>
          </w:tcPr>
          <w:p w:rsidR="00FC4141" w:rsidRPr="00161354" w:rsidRDefault="00FC4141" w:rsidP="00FC4141">
            <w:pPr>
              <w:pStyle w:val="Pta"/>
              <w:spacing w:before="20" w:after="20" w:line="194" w:lineRule="exact"/>
              <w:rPr>
                <w:sz w:val="20"/>
              </w:rPr>
            </w:pPr>
            <w:r w:rsidRPr="00161354">
              <w:rPr>
                <w:sz w:val="20"/>
              </w:rPr>
              <w:t>Počet realizovaných analýz, štúdií a správ v súvislosti s prípravou, implementáciou, monitorovaním a hodnotením programu: 15</w:t>
            </w:r>
          </w:p>
        </w:tc>
        <w:tc>
          <w:tcPr>
            <w:tcW w:w="2749" w:type="dxa"/>
            <w:tcBorders>
              <w:left w:val="single" w:sz="6" w:space="0" w:color="auto"/>
              <w:bottom w:val="single" w:sz="4" w:space="0" w:color="auto"/>
              <w:right w:val="single" w:sz="6" w:space="0" w:color="auto"/>
            </w:tcBorders>
          </w:tcPr>
          <w:p w:rsidR="00FC4141" w:rsidRPr="00161354" w:rsidRDefault="00FC4141" w:rsidP="00FC4141">
            <w:pPr>
              <w:spacing w:before="20" w:after="20" w:line="194" w:lineRule="exact"/>
              <w:rPr>
                <w:sz w:val="20"/>
              </w:rPr>
            </w:pPr>
            <w:r w:rsidRPr="00161354">
              <w:rPr>
                <w:sz w:val="20"/>
              </w:rPr>
              <w:t>Priebežné monitorovacie správy</w:t>
            </w:r>
          </w:p>
          <w:p w:rsidR="00FC4141" w:rsidRPr="00161354" w:rsidRDefault="00FC4141" w:rsidP="00FC4141">
            <w:pPr>
              <w:spacing w:before="20" w:after="20" w:line="194" w:lineRule="exact"/>
              <w:rPr>
                <w:sz w:val="20"/>
              </w:rPr>
            </w:pPr>
            <w:r w:rsidRPr="00161354">
              <w:rPr>
                <w:sz w:val="20"/>
              </w:rPr>
              <w:t>Výstupy z ITMS</w:t>
            </w:r>
          </w:p>
          <w:p w:rsidR="00FC4141" w:rsidRPr="00161354" w:rsidRDefault="00FC4141" w:rsidP="00FC4141">
            <w:pPr>
              <w:spacing w:before="20" w:after="20" w:line="194" w:lineRule="exact"/>
              <w:rPr>
                <w:sz w:val="20"/>
              </w:rPr>
            </w:pPr>
            <w:r w:rsidRPr="00161354">
              <w:rPr>
                <w:sz w:val="20"/>
              </w:rPr>
              <w:t xml:space="preserve">Výstupy v papierovej a elektronickej podobe a zverejnené na </w:t>
            </w:r>
            <w:proofErr w:type="spellStart"/>
            <w:r w:rsidRPr="00161354">
              <w:rPr>
                <w:sz w:val="20"/>
              </w:rPr>
              <w:t>webstránke</w:t>
            </w:r>
            <w:proofErr w:type="spellEnd"/>
            <w:r w:rsidRPr="00161354">
              <w:rPr>
                <w:sz w:val="20"/>
              </w:rPr>
              <w:t xml:space="preserve"> </w:t>
            </w:r>
            <w:hyperlink r:id="rId13" w:history="1">
              <w:r w:rsidRPr="00161354">
                <w:rPr>
                  <w:rStyle w:val="Hypertextovprepojenie"/>
                  <w:color w:val="auto"/>
                  <w:sz w:val="20"/>
                </w:rPr>
                <w:t>www.upsvar.sk</w:t>
              </w:r>
            </w:hyperlink>
          </w:p>
          <w:p w:rsidR="00FC4141" w:rsidRPr="00161354" w:rsidRDefault="00FC4141" w:rsidP="00FC4141">
            <w:pPr>
              <w:spacing w:before="20" w:after="20" w:line="194" w:lineRule="exact"/>
              <w:rPr>
                <w:sz w:val="20"/>
              </w:rPr>
            </w:pPr>
            <w:r w:rsidRPr="00161354">
              <w:rPr>
                <w:sz w:val="20"/>
              </w:rPr>
              <w:t>Záverečná monitorovacia správa</w:t>
            </w:r>
          </w:p>
          <w:p w:rsidR="00FC4141" w:rsidRPr="00161354" w:rsidRDefault="00FC4141" w:rsidP="00FC4141">
            <w:pPr>
              <w:spacing w:before="20" w:after="20" w:line="194" w:lineRule="exact"/>
              <w:rPr>
                <w:sz w:val="20"/>
              </w:rPr>
            </w:pPr>
          </w:p>
        </w:tc>
        <w:tc>
          <w:tcPr>
            <w:tcW w:w="2984" w:type="dxa"/>
            <w:tcBorders>
              <w:left w:val="single" w:sz="6" w:space="0" w:color="auto"/>
              <w:bottom w:val="single" w:sz="4" w:space="0" w:color="auto"/>
              <w:right w:val="single" w:sz="6" w:space="0" w:color="auto"/>
            </w:tcBorders>
          </w:tcPr>
          <w:p w:rsidR="00FC4141" w:rsidRPr="00161354" w:rsidRDefault="00FC4141" w:rsidP="00FC4141">
            <w:pPr>
              <w:spacing w:before="20" w:after="20" w:line="194" w:lineRule="exact"/>
              <w:rPr>
                <w:sz w:val="20"/>
              </w:rPr>
            </w:pPr>
            <w:r w:rsidRPr="00161354">
              <w:rPr>
                <w:sz w:val="20"/>
              </w:rPr>
              <w:t>Kvalita výstupov a dodržanie časového harmonogramu, zmluvných podmienok</w:t>
            </w:r>
          </w:p>
          <w:p w:rsidR="00FC4141" w:rsidRPr="00161354" w:rsidRDefault="00FC4141" w:rsidP="00FC4141">
            <w:pPr>
              <w:spacing w:before="20" w:after="20" w:line="194" w:lineRule="exact"/>
              <w:rPr>
                <w:sz w:val="20"/>
              </w:rPr>
            </w:pPr>
            <w:r w:rsidRPr="00161354">
              <w:rPr>
                <w:sz w:val="20"/>
              </w:rPr>
              <w:t>Spolupráca zhotoviteľa s významnými zamestnávateľskými subjektmi</w:t>
            </w:r>
          </w:p>
        </w:tc>
      </w:tr>
    </w:tbl>
    <w:p w:rsidR="00B740BB" w:rsidRDefault="00B740BB"/>
    <w:p w:rsidR="00B740BB" w:rsidRDefault="00B740BB"/>
    <w:p w:rsidR="00B740BB" w:rsidRDefault="00B740BB"/>
    <w:p w:rsidR="00B740BB" w:rsidRDefault="00B740BB"/>
    <w:p w:rsidR="00B740BB" w:rsidRDefault="00B740BB"/>
    <w:p w:rsidR="00B740BB" w:rsidRDefault="00B740BB"/>
    <w:p w:rsidR="00B740BB" w:rsidRDefault="00B740BB"/>
    <w:p w:rsidR="00B740BB" w:rsidRDefault="00B740BB"/>
    <w:p w:rsidR="00B740BB" w:rsidRDefault="00B740BB"/>
    <w:p w:rsidR="00B740BB" w:rsidRDefault="00B740BB"/>
    <w:p w:rsidR="00B740BB" w:rsidRDefault="00B740BB"/>
    <w:p w:rsidR="00B740BB" w:rsidRDefault="00B740BB"/>
    <w:tbl>
      <w:tblPr>
        <w:tblW w:w="14879" w:type="dxa"/>
        <w:tblInd w:w="-429" w:type="dxa"/>
        <w:tblLayout w:type="fixed"/>
        <w:tblCellMar>
          <w:left w:w="70" w:type="dxa"/>
          <w:right w:w="70" w:type="dxa"/>
        </w:tblCellMar>
        <w:tblLook w:val="0000"/>
      </w:tblPr>
      <w:tblGrid>
        <w:gridCol w:w="5177"/>
        <w:gridCol w:w="3969"/>
        <w:gridCol w:w="2749"/>
        <w:gridCol w:w="2984"/>
      </w:tblGrid>
      <w:tr w:rsidR="00FC4141" w:rsidRPr="00161354" w:rsidTr="00E94FA8">
        <w:trPr>
          <w:cantSplit/>
        </w:trPr>
        <w:tc>
          <w:tcPr>
            <w:tcW w:w="5177" w:type="dxa"/>
            <w:tcBorders>
              <w:top w:val="single" w:sz="6" w:space="0" w:color="auto"/>
              <w:left w:val="single" w:sz="6" w:space="0" w:color="auto"/>
              <w:bottom w:val="single" w:sz="4" w:space="0" w:color="auto"/>
              <w:right w:val="single" w:sz="6" w:space="0" w:color="auto"/>
            </w:tcBorders>
          </w:tcPr>
          <w:p w:rsidR="00FC4141" w:rsidRPr="00161354" w:rsidRDefault="00FC4141" w:rsidP="00FC4141">
            <w:pPr>
              <w:spacing w:before="20" w:after="20" w:line="194" w:lineRule="exact"/>
              <w:rPr>
                <w:sz w:val="20"/>
              </w:rPr>
            </w:pPr>
            <w:r w:rsidRPr="00161354">
              <w:rPr>
                <w:sz w:val="20"/>
              </w:rPr>
              <w:t>Výsledky projektu</w:t>
            </w:r>
          </w:p>
          <w:p w:rsidR="00FC4141" w:rsidRPr="00161354" w:rsidRDefault="00FC4141" w:rsidP="00FC4141">
            <w:pPr>
              <w:spacing w:before="20" w:after="20" w:line="194" w:lineRule="exact"/>
              <w:rPr>
                <w:sz w:val="20"/>
              </w:rPr>
            </w:pPr>
          </w:p>
        </w:tc>
        <w:tc>
          <w:tcPr>
            <w:tcW w:w="3969" w:type="dxa"/>
            <w:tcBorders>
              <w:top w:val="single" w:sz="6" w:space="0" w:color="auto"/>
              <w:left w:val="single" w:sz="6" w:space="0" w:color="auto"/>
              <w:bottom w:val="single" w:sz="4" w:space="0" w:color="auto"/>
              <w:right w:val="single" w:sz="6" w:space="0" w:color="auto"/>
            </w:tcBorders>
          </w:tcPr>
          <w:p w:rsidR="00FC4141" w:rsidRPr="00161354" w:rsidRDefault="00FC4141" w:rsidP="00FC4141">
            <w:pPr>
              <w:spacing w:before="20" w:after="20" w:line="194" w:lineRule="exact"/>
              <w:rPr>
                <w:sz w:val="20"/>
              </w:rPr>
            </w:pPr>
            <w:r w:rsidRPr="00161354">
              <w:rPr>
                <w:sz w:val="20"/>
              </w:rPr>
              <w:t>Objektívne overiteľné ukazovatele</w:t>
            </w:r>
          </w:p>
          <w:p w:rsidR="00FC4141" w:rsidRPr="00161354" w:rsidRDefault="00FC4141" w:rsidP="00FC4141">
            <w:pPr>
              <w:spacing w:before="20" w:after="20" w:line="194" w:lineRule="exact"/>
              <w:rPr>
                <w:sz w:val="20"/>
              </w:rPr>
            </w:pPr>
          </w:p>
        </w:tc>
        <w:tc>
          <w:tcPr>
            <w:tcW w:w="2749" w:type="dxa"/>
            <w:tcBorders>
              <w:top w:val="single" w:sz="6" w:space="0" w:color="auto"/>
              <w:left w:val="single" w:sz="6" w:space="0" w:color="auto"/>
              <w:bottom w:val="single" w:sz="4" w:space="0" w:color="auto"/>
              <w:right w:val="single" w:sz="6" w:space="0" w:color="auto"/>
            </w:tcBorders>
          </w:tcPr>
          <w:p w:rsidR="00FC4141" w:rsidRPr="00161354" w:rsidRDefault="00FC4141" w:rsidP="00FC4141">
            <w:pPr>
              <w:spacing w:before="20" w:after="20" w:line="194" w:lineRule="exact"/>
              <w:rPr>
                <w:sz w:val="20"/>
              </w:rPr>
            </w:pPr>
            <w:r w:rsidRPr="00161354">
              <w:rPr>
                <w:sz w:val="20"/>
              </w:rPr>
              <w:t>Zdroje overenia</w:t>
            </w:r>
          </w:p>
          <w:p w:rsidR="00FC4141" w:rsidRPr="00161354" w:rsidRDefault="00FC4141" w:rsidP="00FC4141">
            <w:pPr>
              <w:spacing w:before="20" w:after="20" w:line="194" w:lineRule="exact"/>
              <w:rPr>
                <w:sz w:val="20"/>
              </w:rPr>
            </w:pPr>
          </w:p>
        </w:tc>
        <w:tc>
          <w:tcPr>
            <w:tcW w:w="2984" w:type="dxa"/>
            <w:tcBorders>
              <w:top w:val="single" w:sz="6" w:space="0" w:color="auto"/>
              <w:left w:val="single" w:sz="6" w:space="0" w:color="auto"/>
              <w:bottom w:val="single" w:sz="4" w:space="0" w:color="auto"/>
              <w:right w:val="single" w:sz="6" w:space="0" w:color="auto"/>
            </w:tcBorders>
          </w:tcPr>
          <w:p w:rsidR="00FC4141" w:rsidRPr="00161354" w:rsidRDefault="00FC4141" w:rsidP="00FC4141">
            <w:pPr>
              <w:tabs>
                <w:tab w:val="left" w:pos="53"/>
              </w:tabs>
              <w:spacing w:before="20" w:after="20" w:line="194" w:lineRule="exact"/>
              <w:rPr>
                <w:sz w:val="20"/>
              </w:rPr>
            </w:pPr>
            <w:r w:rsidRPr="00161354">
              <w:rPr>
                <w:sz w:val="20"/>
              </w:rPr>
              <w:t>Predpoklady</w:t>
            </w:r>
          </w:p>
          <w:p w:rsidR="00FC4141" w:rsidRPr="00161354" w:rsidRDefault="00FC4141" w:rsidP="00FC4141">
            <w:pPr>
              <w:tabs>
                <w:tab w:val="left" w:pos="53"/>
              </w:tabs>
              <w:spacing w:before="20" w:after="20" w:line="194" w:lineRule="exact"/>
              <w:rPr>
                <w:sz w:val="20"/>
              </w:rPr>
            </w:pPr>
          </w:p>
        </w:tc>
      </w:tr>
      <w:tr w:rsidR="00FC4141" w:rsidRPr="00161354" w:rsidTr="00B740BB">
        <w:trPr>
          <w:cantSplit/>
          <w:trHeight w:val="7050"/>
        </w:trPr>
        <w:tc>
          <w:tcPr>
            <w:tcW w:w="5177" w:type="dxa"/>
            <w:tcBorders>
              <w:top w:val="single" w:sz="4" w:space="0" w:color="auto"/>
              <w:left w:val="single" w:sz="4" w:space="0" w:color="auto"/>
              <w:bottom w:val="single" w:sz="4" w:space="0" w:color="auto"/>
              <w:right w:val="single" w:sz="4" w:space="0" w:color="auto"/>
            </w:tcBorders>
            <w:vAlign w:val="center"/>
          </w:tcPr>
          <w:p w:rsidR="00FC4141" w:rsidRPr="00161354" w:rsidRDefault="00FC4141" w:rsidP="001C2E01">
            <w:pPr>
              <w:pStyle w:val="Pta"/>
              <w:numPr>
                <w:ilvl w:val="0"/>
                <w:numId w:val="14"/>
              </w:numPr>
              <w:spacing w:before="20" w:after="20" w:line="194" w:lineRule="exact"/>
              <w:ind w:left="287" w:hanging="284"/>
              <w:rPr>
                <w:rFonts w:eastAsia="Arial"/>
                <w:sz w:val="20"/>
              </w:rPr>
            </w:pPr>
            <w:r w:rsidRPr="00161354">
              <w:rPr>
                <w:rFonts w:eastAsia="Arial"/>
                <w:sz w:val="20"/>
              </w:rPr>
              <w:lastRenderedPageBreak/>
              <w:t>Retrospektívna analýza zamestnanosti a komparácie štruktúr v národnom hospodárstve v období r. 2000 – 1. polrok 2013</w:t>
            </w:r>
          </w:p>
          <w:p w:rsidR="00FC4141" w:rsidRPr="00161354" w:rsidRDefault="00FC4141" w:rsidP="001C2E01">
            <w:pPr>
              <w:pStyle w:val="Pta"/>
              <w:numPr>
                <w:ilvl w:val="0"/>
                <w:numId w:val="14"/>
              </w:numPr>
              <w:spacing w:before="20" w:after="20" w:line="194" w:lineRule="exact"/>
              <w:ind w:left="287" w:hanging="284"/>
              <w:rPr>
                <w:rFonts w:eastAsia="Arial"/>
                <w:sz w:val="20"/>
              </w:rPr>
            </w:pPr>
            <w:r w:rsidRPr="00161354">
              <w:rPr>
                <w:rFonts w:eastAsia="Arial"/>
                <w:sz w:val="20"/>
              </w:rPr>
              <w:t xml:space="preserve">Retrospektívna analýza zamestnanosti  a komparácie štruktúr v národnom hospodárstve v období r. </w:t>
            </w:r>
            <w:r w:rsidRPr="00161354">
              <w:rPr>
                <w:sz w:val="20"/>
              </w:rPr>
              <w:t>2011 – 1. polrok 2014</w:t>
            </w:r>
          </w:p>
          <w:p w:rsidR="00FC4141" w:rsidRPr="00161354" w:rsidRDefault="00FC4141" w:rsidP="001C2E01">
            <w:pPr>
              <w:pStyle w:val="Pta"/>
              <w:numPr>
                <w:ilvl w:val="0"/>
                <w:numId w:val="14"/>
              </w:numPr>
              <w:spacing w:before="20" w:after="20" w:line="194" w:lineRule="exact"/>
              <w:ind w:left="287" w:hanging="284"/>
              <w:rPr>
                <w:rFonts w:eastAsia="Arial"/>
                <w:sz w:val="20"/>
              </w:rPr>
            </w:pPr>
            <w:r w:rsidRPr="00161354">
              <w:rPr>
                <w:rFonts w:eastAsia="Arial"/>
                <w:sz w:val="20"/>
              </w:rPr>
              <w:t>Správa o priebehu a zistených výsledkoch z výberových kvalitatívnych prieskumov vychádzajúce z relevantných údajov za rok 2014</w:t>
            </w:r>
          </w:p>
          <w:p w:rsidR="00FC4141" w:rsidRPr="00161354" w:rsidRDefault="00FC4141" w:rsidP="001C2E01">
            <w:pPr>
              <w:pStyle w:val="Pta"/>
              <w:numPr>
                <w:ilvl w:val="0"/>
                <w:numId w:val="14"/>
              </w:numPr>
              <w:spacing w:before="20" w:after="20" w:line="194" w:lineRule="exact"/>
              <w:ind w:left="287" w:hanging="284"/>
              <w:rPr>
                <w:rFonts w:eastAsia="Arial"/>
                <w:sz w:val="20"/>
              </w:rPr>
            </w:pPr>
            <w:r w:rsidRPr="00161354">
              <w:rPr>
                <w:rFonts w:eastAsia="Arial"/>
                <w:sz w:val="20"/>
              </w:rPr>
              <w:t>Správa o priebehu a zistených výsledkoch z výberových kvalitatívnych prieskumov vychádzajúce z relevantných údajov za rok 2015</w:t>
            </w:r>
          </w:p>
          <w:p w:rsidR="00FC4141" w:rsidRPr="00161354" w:rsidRDefault="00FC4141" w:rsidP="001C2E01">
            <w:pPr>
              <w:pStyle w:val="Pta"/>
              <w:numPr>
                <w:ilvl w:val="0"/>
                <w:numId w:val="14"/>
              </w:numPr>
              <w:spacing w:before="20" w:after="20" w:line="194" w:lineRule="exact"/>
              <w:ind w:left="287" w:hanging="284"/>
              <w:rPr>
                <w:rFonts w:eastAsia="Arial"/>
                <w:sz w:val="20"/>
              </w:rPr>
            </w:pPr>
            <w:r w:rsidRPr="00161354">
              <w:rPr>
                <w:rFonts w:eastAsia="Arial"/>
                <w:sz w:val="20"/>
              </w:rPr>
              <w:t xml:space="preserve">Demografická analýza  a vývojové trendy </w:t>
            </w:r>
            <w:r w:rsidRPr="00161354">
              <w:rPr>
                <w:sz w:val="20"/>
              </w:rPr>
              <w:t>pracovných síl v období r. 2001 – 2010 a 2011 -  I. polroku 2013</w:t>
            </w:r>
          </w:p>
          <w:p w:rsidR="00CF0364" w:rsidRPr="00161354" w:rsidRDefault="00CF0364" w:rsidP="00CF0364">
            <w:pPr>
              <w:pStyle w:val="Pta"/>
              <w:numPr>
                <w:ilvl w:val="0"/>
                <w:numId w:val="14"/>
              </w:numPr>
              <w:spacing w:before="20" w:after="20" w:line="194" w:lineRule="exact"/>
              <w:ind w:left="287" w:hanging="284"/>
              <w:rPr>
                <w:rFonts w:eastAsia="Arial"/>
                <w:sz w:val="20"/>
              </w:rPr>
            </w:pPr>
            <w:r w:rsidRPr="00161354">
              <w:rPr>
                <w:rFonts w:eastAsia="Arial"/>
                <w:sz w:val="20"/>
              </w:rPr>
              <w:t xml:space="preserve">Demografická analýza  a vývojové trendy </w:t>
            </w:r>
            <w:r w:rsidRPr="00161354">
              <w:rPr>
                <w:sz w:val="20"/>
              </w:rPr>
              <w:t>pracovných síl za II. polrok 2013 do roku 2014</w:t>
            </w:r>
          </w:p>
          <w:p w:rsidR="00FC4141" w:rsidRPr="00161354" w:rsidRDefault="00FC4141" w:rsidP="001C2E01">
            <w:pPr>
              <w:pStyle w:val="Pta"/>
              <w:numPr>
                <w:ilvl w:val="0"/>
                <w:numId w:val="14"/>
              </w:numPr>
              <w:spacing w:before="20" w:after="20" w:line="194" w:lineRule="exact"/>
              <w:ind w:left="287" w:hanging="284"/>
              <w:rPr>
                <w:rFonts w:eastAsia="Arial"/>
                <w:sz w:val="20"/>
              </w:rPr>
            </w:pPr>
            <w:r w:rsidRPr="00161354">
              <w:rPr>
                <w:rFonts w:eastAsia="Arial"/>
                <w:sz w:val="20"/>
              </w:rPr>
              <w:t>Komplexná analýza uplatniteľnosti absolventov na trhu práce za 1. polrok 2014</w:t>
            </w:r>
          </w:p>
          <w:p w:rsidR="00FC4141" w:rsidRPr="00161354" w:rsidRDefault="00FC4141" w:rsidP="001C2E01">
            <w:pPr>
              <w:pStyle w:val="Pta"/>
              <w:numPr>
                <w:ilvl w:val="0"/>
                <w:numId w:val="14"/>
              </w:numPr>
              <w:spacing w:before="20" w:after="20" w:line="194" w:lineRule="exact"/>
              <w:ind w:left="287" w:hanging="284"/>
              <w:rPr>
                <w:rFonts w:eastAsia="Arial"/>
                <w:sz w:val="20"/>
              </w:rPr>
            </w:pPr>
            <w:r w:rsidRPr="00161354">
              <w:rPr>
                <w:rFonts w:eastAsia="Arial"/>
                <w:sz w:val="20"/>
              </w:rPr>
              <w:t>Komplexná analýza uplatniteľnosti absolventov na trhu práce za 1. polrok 2015</w:t>
            </w:r>
          </w:p>
          <w:p w:rsidR="00FC4141" w:rsidRPr="00161354" w:rsidRDefault="00FC4141" w:rsidP="001C2E01">
            <w:pPr>
              <w:pStyle w:val="Pta"/>
              <w:numPr>
                <w:ilvl w:val="0"/>
                <w:numId w:val="14"/>
              </w:numPr>
              <w:spacing w:before="20" w:after="20" w:line="194" w:lineRule="exact"/>
              <w:ind w:left="287" w:hanging="284"/>
              <w:rPr>
                <w:rFonts w:eastAsia="Arial"/>
                <w:sz w:val="20"/>
              </w:rPr>
            </w:pPr>
            <w:r w:rsidRPr="00161354">
              <w:rPr>
                <w:rFonts w:eastAsia="Arial"/>
                <w:sz w:val="20"/>
              </w:rPr>
              <w:t>Metodika a sústava modelov pre tvorbu a verifikáciu prognóz vývoja na trhu práce</w:t>
            </w:r>
          </w:p>
          <w:p w:rsidR="00FC4141" w:rsidRPr="00161354" w:rsidRDefault="00FC4141" w:rsidP="001C2E01">
            <w:pPr>
              <w:pStyle w:val="Pta"/>
              <w:numPr>
                <w:ilvl w:val="0"/>
                <w:numId w:val="14"/>
              </w:numPr>
              <w:tabs>
                <w:tab w:val="clear" w:pos="4536"/>
                <w:tab w:val="center" w:pos="0"/>
              </w:tabs>
              <w:spacing w:before="20" w:after="20" w:line="194" w:lineRule="exact"/>
              <w:ind w:left="287" w:hanging="284"/>
              <w:jc w:val="both"/>
              <w:rPr>
                <w:rFonts w:eastAsia="Arial"/>
                <w:sz w:val="20"/>
              </w:rPr>
            </w:pPr>
            <w:r w:rsidRPr="00161354">
              <w:rPr>
                <w:rFonts w:eastAsia="Arial"/>
                <w:sz w:val="20"/>
              </w:rPr>
              <w:t>Prognóza očakávaných budúcich potrieb zamestnancov v roku 2015</w:t>
            </w:r>
          </w:p>
          <w:p w:rsidR="00FC4141" w:rsidRPr="00161354" w:rsidRDefault="00FC4141" w:rsidP="001C2E01">
            <w:pPr>
              <w:pStyle w:val="Pta"/>
              <w:numPr>
                <w:ilvl w:val="0"/>
                <w:numId w:val="14"/>
              </w:numPr>
              <w:tabs>
                <w:tab w:val="clear" w:pos="4536"/>
                <w:tab w:val="center" w:pos="0"/>
              </w:tabs>
              <w:spacing w:before="20" w:after="20" w:line="194" w:lineRule="exact"/>
              <w:ind w:left="287" w:hanging="284"/>
              <w:jc w:val="both"/>
              <w:rPr>
                <w:rFonts w:eastAsia="Arial"/>
                <w:sz w:val="20"/>
              </w:rPr>
            </w:pPr>
            <w:r w:rsidRPr="00161354">
              <w:rPr>
                <w:rFonts w:eastAsia="Arial"/>
                <w:sz w:val="20"/>
              </w:rPr>
              <w:t>Prognóza očakávaných budúcich potrieb zamestnancov v roku 2016</w:t>
            </w:r>
          </w:p>
          <w:p w:rsidR="00FC4141" w:rsidRPr="00161354" w:rsidRDefault="00FC4141" w:rsidP="001C2E01">
            <w:pPr>
              <w:pStyle w:val="Pta"/>
              <w:numPr>
                <w:ilvl w:val="0"/>
                <w:numId w:val="14"/>
              </w:numPr>
              <w:tabs>
                <w:tab w:val="clear" w:pos="4536"/>
                <w:tab w:val="center" w:pos="0"/>
              </w:tabs>
              <w:spacing w:before="20" w:after="20" w:line="194" w:lineRule="exact"/>
              <w:ind w:left="287" w:hanging="284"/>
              <w:jc w:val="both"/>
              <w:rPr>
                <w:rFonts w:eastAsia="Arial"/>
                <w:sz w:val="20"/>
              </w:rPr>
            </w:pPr>
            <w:r w:rsidRPr="00161354">
              <w:rPr>
                <w:rFonts w:eastAsia="Arial"/>
                <w:sz w:val="20"/>
              </w:rPr>
              <w:t>Prognóza očakávaných budúcich potrieb zamestnancov do roku 2019</w:t>
            </w:r>
          </w:p>
          <w:p w:rsidR="00FC4141" w:rsidRPr="00161354" w:rsidRDefault="00FC4141" w:rsidP="001C2E01">
            <w:pPr>
              <w:pStyle w:val="Pta"/>
              <w:numPr>
                <w:ilvl w:val="0"/>
                <w:numId w:val="14"/>
              </w:numPr>
              <w:tabs>
                <w:tab w:val="clear" w:pos="4536"/>
                <w:tab w:val="center" w:pos="0"/>
              </w:tabs>
              <w:spacing w:before="20" w:after="20" w:line="194" w:lineRule="exact"/>
              <w:ind w:left="287" w:hanging="284"/>
              <w:jc w:val="both"/>
              <w:rPr>
                <w:rFonts w:eastAsia="Arial"/>
                <w:sz w:val="20"/>
              </w:rPr>
            </w:pPr>
            <w:r w:rsidRPr="00161354">
              <w:rPr>
                <w:rFonts w:eastAsia="Arial"/>
                <w:sz w:val="20"/>
              </w:rPr>
              <w:t>Prognóza očakávaných budúcich potrieb zamestnancov do roku 2020</w:t>
            </w:r>
          </w:p>
          <w:p w:rsidR="00FC4141" w:rsidRPr="00161354" w:rsidRDefault="00FC4141" w:rsidP="001C2E01">
            <w:pPr>
              <w:pStyle w:val="Pta"/>
              <w:numPr>
                <w:ilvl w:val="0"/>
                <w:numId w:val="14"/>
              </w:numPr>
              <w:tabs>
                <w:tab w:val="clear" w:pos="4536"/>
                <w:tab w:val="center" w:pos="0"/>
              </w:tabs>
              <w:spacing w:before="20" w:after="20" w:line="194" w:lineRule="exact"/>
              <w:ind w:left="287" w:hanging="284"/>
              <w:jc w:val="both"/>
              <w:rPr>
                <w:rFonts w:eastAsia="Arial"/>
                <w:sz w:val="20"/>
              </w:rPr>
            </w:pPr>
            <w:r w:rsidRPr="00161354">
              <w:rPr>
                <w:rFonts w:eastAsia="Arial"/>
                <w:sz w:val="20"/>
              </w:rPr>
              <w:t>Návrh odporúčaní vyplývajúcich z prognózy vývoja na trhu práce v roku 2014</w:t>
            </w:r>
          </w:p>
          <w:p w:rsidR="00FC4141" w:rsidRPr="00B740BB" w:rsidRDefault="00FC4141" w:rsidP="00FC4141">
            <w:pPr>
              <w:pStyle w:val="Pta"/>
              <w:numPr>
                <w:ilvl w:val="0"/>
                <w:numId w:val="14"/>
              </w:numPr>
              <w:tabs>
                <w:tab w:val="clear" w:pos="4536"/>
                <w:tab w:val="center" w:pos="0"/>
              </w:tabs>
              <w:spacing w:before="20" w:after="20" w:line="194" w:lineRule="exact"/>
              <w:ind w:left="287" w:hanging="284"/>
              <w:jc w:val="both"/>
              <w:rPr>
                <w:rFonts w:eastAsia="Arial"/>
                <w:sz w:val="20"/>
              </w:rPr>
            </w:pPr>
            <w:r w:rsidRPr="00161354">
              <w:rPr>
                <w:rFonts w:eastAsia="Arial"/>
                <w:sz w:val="20"/>
              </w:rPr>
              <w:t>Návrh odporúčaní vyplývajúcich z prognózy vývoja na trhu práce v roku 2015</w:t>
            </w:r>
          </w:p>
        </w:tc>
        <w:tc>
          <w:tcPr>
            <w:tcW w:w="3969" w:type="dxa"/>
            <w:tcBorders>
              <w:top w:val="single" w:sz="4" w:space="0" w:color="auto"/>
              <w:left w:val="single" w:sz="4" w:space="0" w:color="auto"/>
              <w:bottom w:val="single" w:sz="4" w:space="0" w:color="auto"/>
              <w:right w:val="single" w:sz="4" w:space="0" w:color="auto"/>
            </w:tcBorders>
          </w:tcPr>
          <w:p w:rsidR="00FC4141" w:rsidRPr="00161354" w:rsidRDefault="00FC4141" w:rsidP="00FC4141">
            <w:pPr>
              <w:tabs>
                <w:tab w:val="left" w:pos="-70"/>
              </w:tabs>
              <w:spacing w:before="20" w:after="20"/>
              <w:rPr>
                <w:sz w:val="20"/>
              </w:rPr>
            </w:pPr>
            <w:r w:rsidRPr="00161354">
              <w:rPr>
                <w:sz w:val="20"/>
              </w:rPr>
              <w:t>Počet vypracovaných štúdií, analýz, strategických dokumentov: 15</w:t>
            </w:r>
          </w:p>
          <w:p w:rsidR="00FC4141" w:rsidRPr="00161354" w:rsidRDefault="00FC4141" w:rsidP="00FC4141">
            <w:pPr>
              <w:tabs>
                <w:tab w:val="left" w:pos="-70"/>
              </w:tabs>
              <w:spacing w:before="20" w:after="20"/>
              <w:rPr>
                <w:sz w:val="20"/>
              </w:rPr>
            </w:pPr>
          </w:p>
        </w:tc>
        <w:tc>
          <w:tcPr>
            <w:tcW w:w="2749" w:type="dxa"/>
            <w:tcBorders>
              <w:top w:val="single" w:sz="4" w:space="0" w:color="auto"/>
              <w:left w:val="single" w:sz="4" w:space="0" w:color="auto"/>
              <w:bottom w:val="single" w:sz="4" w:space="0" w:color="auto"/>
              <w:right w:val="single" w:sz="4" w:space="0" w:color="auto"/>
            </w:tcBorders>
          </w:tcPr>
          <w:p w:rsidR="00FC4141" w:rsidRPr="00161354" w:rsidRDefault="00FC4141" w:rsidP="00FC4141">
            <w:pPr>
              <w:spacing w:before="20" w:after="20" w:line="194" w:lineRule="exact"/>
              <w:rPr>
                <w:sz w:val="20"/>
              </w:rPr>
            </w:pPr>
            <w:r w:rsidRPr="00161354">
              <w:rPr>
                <w:sz w:val="20"/>
              </w:rPr>
              <w:t xml:space="preserve">Výstupy v papierovej a elektronickej podobe a zverejnené na </w:t>
            </w:r>
            <w:proofErr w:type="spellStart"/>
            <w:r w:rsidRPr="00161354">
              <w:rPr>
                <w:sz w:val="20"/>
              </w:rPr>
              <w:t>webstránke</w:t>
            </w:r>
            <w:proofErr w:type="spellEnd"/>
          </w:p>
          <w:p w:rsidR="00FC4141" w:rsidRPr="00161354" w:rsidRDefault="00FC4141" w:rsidP="00FC4141">
            <w:pPr>
              <w:spacing w:before="20" w:after="20" w:line="194" w:lineRule="exact"/>
              <w:rPr>
                <w:sz w:val="20"/>
              </w:rPr>
            </w:pPr>
            <w:r w:rsidRPr="00161354">
              <w:rPr>
                <w:sz w:val="20"/>
              </w:rPr>
              <w:t>ITMS</w:t>
            </w:r>
          </w:p>
          <w:p w:rsidR="00FC4141" w:rsidRPr="00161354" w:rsidRDefault="00FC4141" w:rsidP="00FC4141">
            <w:pPr>
              <w:spacing w:before="20" w:after="20" w:line="194" w:lineRule="exact"/>
              <w:rPr>
                <w:sz w:val="20"/>
              </w:rPr>
            </w:pPr>
            <w:r w:rsidRPr="00161354">
              <w:rPr>
                <w:sz w:val="20"/>
              </w:rPr>
              <w:t>Záverečná monitorovacia správa</w:t>
            </w:r>
          </w:p>
          <w:p w:rsidR="00FC4141" w:rsidRPr="00161354" w:rsidRDefault="00FC4141" w:rsidP="00FC4141">
            <w:pPr>
              <w:spacing w:before="20" w:after="20" w:line="194" w:lineRule="exact"/>
              <w:rPr>
                <w:sz w:val="20"/>
              </w:rPr>
            </w:pPr>
          </w:p>
        </w:tc>
        <w:tc>
          <w:tcPr>
            <w:tcW w:w="2984" w:type="dxa"/>
            <w:tcBorders>
              <w:top w:val="single" w:sz="4" w:space="0" w:color="auto"/>
              <w:left w:val="single" w:sz="4" w:space="0" w:color="auto"/>
              <w:bottom w:val="single" w:sz="4" w:space="0" w:color="auto"/>
              <w:right w:val="single" w:sz="4" w:space="0" w:color="auto"/>
            </w:tcBorders>
          </w:tcPr>
          <w:p w:rsidR="00FC4141" w:rsidRPr="00161354" w:rsidRDefault="00FC4141" w:rsidP="00FC4141">
            <w:pPr>
              <w:rPr>
                <w:sz w:val="20"/>
              </w:rPr>
            </w:pPr>
            <w:r w:rsidRPr="00161354">
              <w:rPr>
                <w:sz w:val="20"/>
              </w:rPr>
              <w:t xml:space="preserve">Plnenie časového harmonogramu realizácie projektu a dodržanie kvality výstupov. </w:t>
            </w:r>
          </w:p>
          <w:p w:rsidR="00CD6E41" w:rsidRPr="00161354" w:rsidRDefault="00CD6E41" w:rsidP="00CD6E41">
            <w:pPr>
              <w:rPr>
                <w:sz w:val="20"/>
              </w:rPr>
            </w:pPr>
            <w:r w:rsidRPr="00161354">
              <w:rPr>
                <w:sz w:val="20"/>
              </w:rPr>
              <w:t>Vzájomná komunikácia Ústredia práce, sociálnych vecí a rodiny s cieľovými skupinami a užívateľmi výsledkov projektu</w:t>
            </w:r>
          </w:p>
          <w:p w:rsidR="00FC4141" w:rsidRPr="00161354" w:rsidRDefault="00FC4141" w:rsidP="00FC4141">
            <w:pPr>
              <w:spacing w:before="20" w:after="20" w:line="194" w:lineRule="exact"/>
              <w:rPr>
                <w:sz w:val="20"/>
              </w:rPr>
            </w:pPr>
          </w:p>
        </w:tc>
      </w:tr>
    </w:tbl>
    <w:p w:rsidR="00B740BB" w:rsidRDefault="00B740BB"/>
    <w:p w:rsidR="00B740BB" w:rsidRDefault="00B740BB"/>
    <w:p w:rsidR="00B740BB" w:rsidRDefault="00B740BB"/>
    <w:p w:rsidR="00B740BB" w:rsidRDefault="00B740BB"/>
    <w:p w:rsidR="00B740BB" w:rsidRDefault="00B740BB"/>
    <w:p w:rsidR="00B740BB" w:rsidRDefault="00B740BB"/>
    <w:tbl>
      <w:tblPr>
        <w:tblW w:w="14879" w:type="dxa"/>
        <w:tblInd w:w="-429" w:type="dxa"/>
        <w:tblLayout w:type="fixed"/>
        <w:tblCellMar>
          <w:left w:w="70" w:type="dxa"/>
          <w:right w:w="70" w:type="dxa"/>
        </w:tblCellMar>
        <w:tblLook w:val="0000"/>
      </w:tblPr>
      <w:tblGrid>
        <w:gridCol w:w="5177"/>
        <w:gridCol w:w="3969"/>
        <w:gridCol w:w="2749"/>
        <w:gridCol w:w="2984"/>
      </w:tblGrid>
      <w:tr w:rsidR="00FC4141" w:rsidRPr="00161354" w:rsidTr="00E94FA8">
        <w:trPr>
          <w:cantSplit/>
          <w:trHeight w:val="343"/>
        </w:trPr>
        <w:tc>
          <w:tcPr>
            <w:tcW w:w="5177" w:type="dxa"/>
            <w:tcBorders>
              <w:top w:val="single" w:sz="4" w:space="0" w:color="auto"/>
              <w:left w:val="single" w:sz="4" w:space="0" w:color="auto"/>
              <w:bottom w:val="single" w:sz="4" w:space="0" w:color="auto"/>
              <w:right w:val="single" w:sz="4" w:space="0" w:color="auto"/>
            </w:tcBorders>
          </w:tcPr>
          <w:p w:rsidR="00FC4141" w:rsidRPr="00161354" w:rsidRDefault="00FC4141" w:rsidP="00FC4141">
            <w:pPr>
              <w:rPr>
                <w:sz w:val="20"/>
              </w:rPr>
            </w:pPr>
            <w:r w:rsidRPr="00161354">
              <w:rPr>
                <w:sz w:val="20"/>
              </w:rPr>
              <w:t>Aktivity</w:t>
            </w:r>
          </w:p>
          <w:p w:rsidR="00FC4141" w:rsidRPr="00161354" w:rsidRDefault="00FC4141" w:rsidP="00FC4141">
            <w:pPr>
              <w:rPr>
                <w:sz w:val="20"/>
              </w:rPr>
            </w:pPr>
          </w:p>
        </w:tc>
        <w:tc>
          <w:tcPr>
            <w:tcW w:w="3969" w:type="dxa"/>
            <w:tcBorders>
              <w:top w:val="single" w:sz="4" w:space="0" w:color="auto"/>
              <w:left w:val="single" w:sz="4" w:space="0" w:color="auto"/>
              <w:bottom w:val="single" w:sz="4" w:space="0" w:color="auto"/>
              <w:right w:val="single" w:sz="4" w:space="0" w:color="auto"/>
            </w:tcBorders>
          </w:tcPr>
          <w:p w:rsidR="00FC4141" w:rsidRPr="00161354" w:rsidRDefault="00FC4141" w:rsidP="00FC4141">
            <w:pPr>
              <w:tabs>
                <w:tab w:val="left" w:pos="-70"/>
              </w:tabs>
              <w:spacing w:before="20" w:after="20" w:line="194" w:lineRule="exact"/>
              <w:rPr>
                <w:sz w:val="20"/>
              </w:rPr>
            </w:pPr>
            <w:r w:rsidRPr="00161354">
              <w:rPr>
                <w:sz w:val="20"/>
              </w:rPr>
              <w:t>Prostriedky</w:t>
            </w:r>
          </w:p>
          <w:p w:rsidR="00FC4141" w:rsidRPr="00161354" w:rsidRDefault="00FC4141" w:rsidP="00FC4141">
            <w:pPr>
              <w:spacing w:before="20" w:after="20" w:line="194" w:lineRule="exact"/>
              <w:rPr>
                <w:sz w:val="20"/>
              </w:rPr>
            </w:pPr>
          </w:p>
        </w:tc>
        <w:tc>
          <w:tcPr>
            <w:tcW w:w="2749" w:type="dxa"/>
            <w:tcBorders>
              <w:top w:val="single" w:sz="4" w:space="0" w:color="auto"/>
              <w:left w:val="single" w:sz="4" w:space="0" w:color="auto"/>
              <w:bottom w:val="single" w:sz="4" w:space="0" w:color="auto"/>
              <w:right w:val="single" w:sz="4" w:space="0" w:color="auto"/>
            </w:tcBorders>
          </w:tcPr>
          <w:p w:rsidR="00FC4141" w:rsidRPr="00161354" w:rsidRDefault="00FC4141" w:rsidP="00FC4141">
            <w:pPr>
              <w:spacing w:before="20" w:after="20" w:line="194" w:lineRule="exact"/>
              <w:rPr>
                <w:sz w:val="20"/>
              </w:rPr>
            </w:pPr>
            <w:r w:rsidRPr="00161354">
              <w:rPr>
                <w:sz w:val="20"/>
              </w:rPr>
              <w:t>Náklady</w:t>
            </w:r>
          </w:p>
          <w:p w:rsidR="00FC4141" w:rsidRPr="00161354" w:rsidRDefault="00FC4141" w:rsidP="00FC4141">
            <w:pPr>
              <w:spacing w:before="20" w:after="20" w:line="194" w:lineRule="exact"/>
              <w:rPr>
                <w:sz w:val="20"/>
              </w:rPr>
            </w:pPr>
          </w:p>
        </w:tc>
        <w:tc>
          <w:tcPr>
            <w:tcW w:w="2984" w:type="dxa"/>
            <w:tcBorders>
              <w:top w:val="single" w:sz="4" w:space="0" w:color="auto"/>
              <w:left w:val="single" w:sz="4" w:space="0" w:color="auto"/>
              <w:bottom w:val="single" w:sz="4" w:space="0" w:color="auto"/>
              <w:right w:val="single" w:sz="4" w:space="0" w:color="auto"/>
            </w:tcBorders>
          </w:tcPr>
          <w:p w:rsidR="00FC4141" w:rsidRPr="00161354" w:rsidRDefault="00FC4141" w:rsidP="00FC4141">
            <w:pPr>
              <w:pStyle w:val="Nadpis4"/>
              <w:spacing w:before="0" w:after="0"/>
              <w:rPr>
                <w:b w:val="0"/>
                <w:bCs w:val="0"/>
                <w:sz w:val="20"/>
                <w:szCs w:val="20"/>
              </w:rPr>
            </w:pPr>
            <w:r w:rsidRPr="00161354">
              <w:rPr>
                <w:b w:val="0"/>
                <w:bCs w:val="0"/>
                <w:sz w:val="20"/>
                <w:szCs w:val="20"/>
              </w:rPr>
              <w:t>Predpoklady</w:t>
            </w:r>
          </w:p>
          <w:p w:rsidR="00FC4141" w:rsidRPr="00161354" w:rsidRDefault="00FC4141" w:rsidP="00FC4141">
            <w:pPr>
              <w:rPr>
                <w:sz w:val="20"/>
              </w:rPr>
            </w:pPr>
          </w:p>
        </w:tc>
      </w:tr>
      <w:tr w:rsidR="00FC4141" w:rsidRPr="00161354" w:rsidTr="00E94FA8">
        <w:trPr>
          <w:cantSplit/>
          <w:trHeight w:val="4223"/>
        </w:trPr>
        <w:tc>
          <w:tcPr>
            <w:tcW w:w="5177" w:type="dxa"/>
            <w:vMerge w:val="restart"/>
            <w:tcBorders>
              <w:top w:val="single" w:sz="4" w:space="0" w:color="auto"/>
              <w:left w:val="single" w:sz="4" w:space="0" w:color="auto"/>
              <w:right w:val="single" w:sz="4" w:space="0" w:color="auto"/>
            </w:tcBorders>
          </w:tcPr>
          <w:p w:rsidR="00FC4141" w:rsidRPr="00161354" w:rsidRDefault="00FC4141" w:rsidP="00FC4141">
            <w:pPr>
              <w:pStyle w:val="Pta"/>
              <w:spacing w:before="20" w:after="20" w:line="194" w:lineRule="exact"/>
              <w:rPr>
                <w:sz w:val="20"/>
                <w:u w:val="single"/>
              </w:rPr>
            </w:pPr>
            <w:r w:rsidRPr="00161354">
              <w:rPr>
                <w:sz w:val="20"/>
                <w:u w:val="single"/>
              </w:rPr>
              <w:t>Hlavné aktivity:</w:t>
            </w:r>
          </w:p>
          <w:p w:rsidR="00FC4141" w:rsidRPr="00161354" w:rsidRDefault="00FC4141" w:rsidP="00FC4141">
            <w:pPr>
              <w:pStyle w:val="Pta"/>
              <w:spacing w:before="20" w:after="20" w:line="194" w:lineRule="exact"/>
              <w:ind w:left="287"/>
              <w:rPr>
                <w:sz w:val="20"/>
              </w:rPr>
            </w:pPr>
            <w:r w:rsidRPr="00161354">
              <w:rPr>
                <w:b/>
                <w:sz w:val="20"/>
              </w:rPr>
              <w:t xml:space="preserve">Aktivita 1 – Analýzy a kvalitatívne prieskumy ponuky a dopytu po práci na trhu práce </w:t>
            </w:r>
          </w:p>
          <w:p w:rsidR="00FC4141" w:rsidRPr="00161354" w:rsidRDefault="00FC4141" w:rsidP="001C2E01">
            <w:pPr>
              <w:pStyle w:val="Pta"/>
              <w:numPr>
                <w:ilvl w:val="0"/>
                <w:numId w:val="15"/>
              </w:numPr>
              <w:spacing w:before="20" w:after="20" w:line="194" w:lineRule="exact"/>
              <w:ind w:left="287" w:hanging="284"/>
              <w:rPr>
                <w:sz w:val="20"/>
              </w:rPr>
            </w:pPr>
            <w:proofErr w:type="spellStart"/>
            <w:r w:rsidRPr="00161354">
              <w:rPr>
                <w:sz w:val="20"/>
              </w:rPr>
              <w:t>Podaktivita</w:t>
            </w:r>
            <w:proofErr w:type="spellEnd"/>
            <w:r w:rsidRPr="00161354">
              <w:rPr>
                <w:sz w:val="20"/>
              </w:rPr>
              <w:t xml:space="preserve"> 1.1 - Retrospektívna analýza trendov v oblasti zamestnanosti v národnom hospodárstve</w:t>
            </w:r>
          </w:p>
          <w:p w:rsidR="00FC4141" w:rsidRPr="00161354" w:rsidRDefault="00FC4141" w:rsidP="001C2E01">
            <w:pPr>
              <w:pStyle w:val="Pta"/>
              <w:numPr>
                <w:ilvl w:val="0"/>
                <w:numId w:val="15"/>
              </w:numPr>
              <w:spacing w:before="20" w:after="20" w:line="194" w:lineRule="exact"/>
              <w:ind w:left="287" w:hanging="284"/>
              <w:rPr>
                <w:sz w:val="20"/>
              </w:rPr>
            </w:pPr>
            <w:proofErr w:type="spellStart"/>
            <w:r w:rsidRPr="00161354">
              <w:rPr>
                <w:sz w:val="20"/>
              </w:rPr>
              <w:t>Podaktivita</w:t>
            </w:r>
            <w:proofErr w:type="spellEnd"/>
            <w:r w:rsidRPr="00161354">
              <w:rPr>
                <w:sz w:val="20"/>
              </w:rPr>
              <w:t xml:space="preserve"> 1.2 - Kvalitatívne a kvantitatívne prieskumy vo vybraných skupinách odvetví </w:t>
            </w:r>
          </w:p>
          <w:p w:rsidR="00FC4141" w:rsidRPr="00161354" w:rsidRDefault="00FC4141" w:rsidP="001C2E01">
            <w:pPr>
              <w:pStyle w:val="Pta"/>
              <w:numPr>
                <w:ilvl w:val="0"/>
                <w:numId w:val="15"/>
              </w:numPr>
              <w:spacing w:before="20" w:after="20" w:line="194" w:lineRule="exact"/>
              <w:ind w:left="287" w:hanging="284"/>
              <w:rPr>
                <w:sz w:val="20"/>
              </w:rPr>
            </w:pPr>
            <w:proofErr w:type="spellStart"/>
            <w:r w:rsidRPr="00161354">
              <w:rPr>
                <w:sz w:val="20"/>
              </w:rPr>
              <w:t>Podaktivita</w:t>
            </w:r>
            <w:proofErr w:type="spellEnd"/>
            <w:r w:rsidRPr="00161354">
              <w:rPr>
                <w:sz w:val="20"/>
              </w:rPr>
              <w:t xml:space="preserve"> 1.3 - Komplexná analýza demografických štruktúr a vývojových trendov pracovných síl </w:t>
            </w:r>
          </w:p>
          <w:p w:rsidR="00FC4141" w:rsidRPr="00161354" w:rsidRDefault="00FC4141" w:rsidP="001C2E01">
            <w:pPr>
              <w:pStyle w:val="Pta"/>
              <w:numPr>
                <w:ilvl w:val="0"/>
                <w:numId w:val="15"/>
              </w:numPr>
              <w:spacing w:before="20" w:after="20" w:line="194" w:lineRule="exact"/>
              <w:ind w:left="287" w:hanging="284"/>
              <w:rPr>
                <w:sz w:val="20"/>
              </w:rPr>
            </w:pPr>
            <w:proofErr w:type="spellStart"/>
            <w:r w:rsidRPr="00161354">
              <w:rPr>
                <w:sz w:val="20"/>
              </w:rPr>
              <w:t>Podaktivita</w:t>
            </w:r>
            <w:proofErr w:type="spellEnd"/>
            <w:r w:rsidRPr="00161354">
              <w:rPr>
                <w:sz w:val="20"/>
              </w:rPr>
              <w:t xml:space="preserve"> 1.4 - Komplexná analýza o miere uplatniteľnosti absolventov na trhu práce podľa odboru vzdelania a vykonávaného zamestnania </w:t>
            </w:r>
          </w:p>
          <w:p w:rsidR="00FC4141" w:rsidRPr="00161354" w:rsidRDefault="00FC4141" w:rsidP="00FC4141">
            <w:pPr>
              <w:pStyle w:val="Pta"/>
              <w:spacing w:before="20" w:after="20" w:line="194" w:lineRule="exact"/>
              <w:ind w:left="287"/>
              <w:rPr>
                <w:b/>
                <w:sz w:val="20"/>
              </w:rPr>
            </w:pPr>
          </w:p>
          <w:p w:rsidR="00FC4141" w:rsidRPr="00161354" w:rsidRDefault="00FC4141" w:rsidP="00FC4141">
            <w:pPr>
              <w:pStyle w:val="Pta"/>
              <w:spacing w:before="20" w:after="20" w:line="194" w:lineRule="exact"/>
              <w:ind w:left="287"/>
              <w:rPr>
                <w:b/>
                <w:sz w:val="20"/>
              </w:rPr>
            </w:pPr>
            <w:r w:rsidRPr="00161354">
              <w:rPr>
                <w:b/>
                <w:sz w:val="20"/>
              </w:rPr>
              <w:t xml:space="preserve">Aktivita 2 - Prognózy vývoja trhu práce </w:t>
            </w:r>
          </w:p>
          <w:p w:rsidR="00FC4141" w:rsidRPr="00161354" w:rsidRDefault="00FC4141" w:rsidP="001C2E01">
            <w:pPr>
              <w:pStyle w:val="Pta"/>
              <w:numPr>
                <w:ilvl w:val="0"/>
                <w:numId w:val="16"/>
              </w:numPr>
              <w:spacing w:before="20" w:after="20" w:line="194" w:lineRule="exact"/>
              <w:ind w:left="287" w:hanging="284"/>
              <w:rPr>
                <w:sz w:val="20"/>
              </w:rPr>
            </w:pPr>
            <w:proofErr w:type="spellStart"/>
            <w:r w:rsidRPr="00161354">
              <w:rPr>
                <w:sz w:val="20"/>
              </w:rPr>
              <w:t>Podaktivita</w:t>
            </w:r>
            <w:proofErr w:type="spellEnd"/>
            <w:r w:rsidRPr="00161354">
              <w:rPr>
                <w:sz w:val="20"/>
              </w:rPr>
              <w:t xml:space="preserve"> 2.1 - Metodika sústavy </w:t>
            </w:r>
            <w:proofErr w:type="spellStart"/>
            <w:r w:rsidRPr="00161354">
              <w:rPr>
                <w:sz w:val="20"/>
              </w:rPr>
              <w:t>ekonometrických</w:t>
            </w:r>
            <w:proofErr w:type="spellEnd"/>
            <w:r w:rsidRPr="00161354">
              <w:rPr>
                <w:sz w:val="20"/>
              </w:rPr>
              <w:t xml:space="preserve"> modelov pre prognózy vývoja na trhu práce </w:t>
            </w:r>
          </w:p>
          <w:p w:rsidR="00FC4141" w:rsidRPr="00161354" w:rsidRDefault="00FC4141" w:rsidP="001C2E01">
            <w:pPr>
              <w:pStyle w:val="Pta"/>
              <w:numPr>
                <w:ilvl w:val="0"/>
                <w:numId w:val="16"/>
              </w:numPr>
              <w:spacing w:before="20" w:after="20" w:line="194" w:lineRule="exact"/>
              <w:ind w:left="287" w:hanging="284"/>
              <w:rPr>
                <w:sz w:val="20"/>
              </w:rPr>
            </w:pPr>
            <w:proofErr w:type="spellStart"/>
            <w:r w:rsidRPr="00161354">
              <w:rPr>
                <w:sz w:val="20"/>
              </w:rPr>
              <w:t>Podaktivita</w:t>
            </w:r>
            <w:proofErr w:type="spellEnd"/>
            <w:r w:rsidRPr="00161354">
              <w:rPr>
                <w:sz w:val="20"/>
              </w:rPr>
              <w:t xml:space="preserve"> 2.2 - Prognóza očakávaných budúcich potrieb zamestnancov v horizonte 1 roka</w:t>
            </w:r>
          </w:p>
          <w:p w:rsidR="00FC4141" w:rsidRPr="00161354" w:rsidRDefault="00FC4141" w:rsidP="001C2E01">
            <w:pPr>
              <w:pStyle w:val="Pta"/>
              <w:numPr>
                <w:ilvl w:val="0"/>
                <w:numId w:val="16"/>
              </w:numPr>
              <w:spacing w:before="20" w:after="20" w:line="194" w:lineRule="exact"/>
              <w:ind w:left="287" w:hanging="284"/>
              <w:rPr>
                <w:sz w:val="20"/>
              </w:rPr>
            </w:pPr>
            <w:proofErr w:type="spellStart"/>
            <w:r w:rsidRPr="00161354">
              <w:rPr>
                <w:sz w:val="20"/>
              </w:rPr>
              <w:t>Podaktivita</w:t>
            </w:r>
            <w:proofErr w:type="spellEnd"/>
            <w:r w:rsidRPr="00161354">
              <w:rPr>
                <w:sz w:val="20"/>
              </w:rPr>
              <w:t xml:space="preserve"> 2.3 - Prognóza očakávaných budúcich potrieb zamestnancov v horizonte 5 rokov</w:t>
            </w:r>
            <w:r w:rsidRPr="00161354" w:rsidDel="0095311F">
              <w:rPr>
                <w:strike/>
                <w:sz w:val="20"/>
              </w:rPr>
              <w:t xml:space="preserve"> </w:t>
            </w:r>
          </w:p>
          <w:p w:rsidR="00FC4141" w:rsidRPr="00161354" w:rsidRDefault="00FC4141" w:rsidP="00FC4141">
            <w:pPr>
              <w:pStyle w:val="Pta"/>
              <w:spacing w:before="20" w:after="20" w:line="194" w:lineRule="exact"/>
              <w:ind w:left="287"/>
              <w:rPr>
                <w:sz w:val="20"/>
              </w:rPr>
            </w:pPr>
            <w:proofErr w:type="spellStart"/>
            <w:r w:rsidRPr="00161354">
              <w:rPr>
                <w:sz w:val="20"/>
              </w:rPr>
              <w:t>Podaktivita</w:t>
            </w:r>
            <w:proofErr w:type="spellEnd"/>
            <w:r w:rsidRPr="00161354">
              <w:rPr>
                <w:sz w:val="20"/>
              </w:rPr>
              <w:t xml:space="preserve"> 2.4 - Návrh odporúčaní vyplývajúcich z prognózy vývoja na trhu práce</w:t>
            </w:r>
            <w:r w:rsidRPr="00161354" w:rsidDel="0095311F">
              <w:rPr>
                <w:sz w:val="20"/>
              </w:rPr>
              <w:t xml:space="preserve"> </w:t>
            </w:r>
          </w:p>
          <w:p w:rsidR="00FC4141" w:rsidRPr="00161354" w:rsidRDefault="00FC4141" w:rsidP="00FC4141">
            <w:pPr>
              <w:pStyle w:val="Pta"/>
              <w:spacing w:before="20" w:after="20" w:line="194" w:lineRule="exact"/>
              <w:ind w:left="287"/>
              <w:rPr>
                <w:sz w:val="20"/>
              </w:rPr>
            </w:pPr>
          </w:p>
          <w:p w:rsidR="00FC4141" w:rsidRPr="00161354" w:rsidRDefault="00FC4141" w:rsidP="00FC4141">
            <w:pPr>
              <w:rPr>
                <w:sz w:val="20"/>
                <w:u w:val="single"/>
              </w:rPr>
            </w:pPr>
            <w:r w:rsidRPr="00161354">
              <w:rPr>
                <w:sz w:val="20"/>
                <w:u w:val="single"/>
              </w:rPr>
              <w:t>Podporné aktivity:</w:t>
            </w:r>
          </w:p>
          <w:p w:rsidR="00FC4141" w:rsidRPr="00161354" w:rsidRDefault="00FC4141" w:rsidP="00FC4141">
            <w:pPr>
              <w:ind w:left="287"/>
              <w:rPr>
                <w:b/>
                <w:sz w:val="20"/>
              </w:rPr>
            </w:pPr>
            <w:r w:rsidRPr="00161354">
              <w:rPr>
                <w:b/>
                <w:sz w:val="20"/>
              </w:rPr>
              <w:t>Riadenie projektu</w:t>
            </w:r>
          </w:p>
          <w:p w:rsidR="00FC4141" w:rsidRPr="00161354" w:rsidRDefault="00FC4141" w:rsidP="00FC4141">
            <w:pPr>
              <w:ind w:left="287"/>
              <w:rPr>
                <w:sz w:val="20"/>
              </w:rPr>
            </w:pPr>
            <w:r w:rsidRPr="00161354">
              <w:rPr>
                <w:b/>
                <w:sz w:val="20"/>
              </w:rPr>
              <w:t>Publicita a informovanosť</w:t>
            </w:r>
          </w:p>
        </w:tc>
        <w:tc>
          <w:tcPr>
            <w:tcW w:w="3969" w:type="dxa"/>
            <w:vMerge w:val="restart"/>
            <w:tcBorders>
              <w:top w:val="single" w:sz="4" w:space="0" w:color="auto"/>
              <w:left w:val="single" w:sz="4" w:space="0" w:color="auto"/>
              <w:right w:val="single" w:sz="4" w:space="0" w:color="auto"/>
            </w:tcBorders>
          </w:tcPr>
          <w:p w:rsidR="00FC4141" w:rsidRPr="00161354" w:rsidRDefault="00FC4141" w:rsidP="00FC4141">
            <w:pPr>
              <w:spacing w:before="20" w:after="20" w:line="194" w:lineRule="exact"/>
              <w:rPr>
                <w:sz w:val="20"/>
              </w:rPr>
            </w:pPr>
            <w:r w:rsidRPr="00161354">
              <w:rPr>
                <w:sz w:val="20"/>
              </w:rPr>
              <w:t>Celkové výdavky projektu vo výške</w:t>
            </w:r>
          </w:p>
          <w:p w:rsidR="00FC4141" w:rsidRPr="00161354" w:rsidRDefault="00FC4141" w:rsidP="004C6CE8">
            <w:pPr>
              <w:spacing w:before="20" w:after="20" w:line="194" w:lineRule="exact"/>
              <w:rPr>
                <w:sz w:val="20"/>
              </w:rPr>
            </w:pPr>
            <w:r w:rsidRPr="00161354">
              <w:rPr>
                <w:sz w:val="20"/>
              </w:rPr>
              <w:t xml:space="preserve"> </w:t>
            </w:r>
            <w:r w:rsidR="00D62938" w:rsidRPr="00161354">
              <w:rPr>
                <w:b/>
                <w:sz w:val="20"/>
              </w:rPr>
              <w:t>272 048,</w:t>
            </w:r>
            <w:r w:rsidR="004C6CE8" w:rsidRPr="000C0959">
              <w:rPr>
                <w:b/>
                <w:sz w:val="20"/>
              </w:rPr>
              <w:t>82</w:t>
            </w:r>
            <w:r w:rsidRPr="000C0959">
              <w:rPr>
                <w:b/>
                <w:sz w:val="20"/>
              </w:rPr>
              <w:t xml:space="preserve"> €</w:t>
            </w:r>
          </w:p>
        </w:tc>
        <w:tc>
          <w:tcPr>
            <w:tcW w:w="2749" w:type="dxa"/>
            <w:vMerge w:val="restart"/>
            <w:tcBorders>
              <w:top w:val="single" w:sz="4" w:space="0" w:color="auto"/>
              <w:left w:val="single" w:sz="4" w:space="0" w:color="auto"/>
              <w:right w:val="single" w:sz="4" w:space="0" w:color="auto"/>
            </w:tcBorders>
          </w:tcPr>
          <w:p w:rsidR="00FC4141" w:rsidRPr="00161354" w:rsidRDefault="00FC4141" w:rsidP="00FC4141">
            <w:pPr>
              <w:spacing w:before="20" w:after="20" w:line="194" w:lineRule="exact"/>
              <w:rPr>
                <w:sz w:val="20"/>
              </w:rPr>
            </w:pPr>
            <w:r w:rsidRPr="00161354">
              <w:rPr>
                <w:sz w:val="20"/>
              </w:rPr>
              <w:t>Náklady projektu:</w:t>
            </w:r>
          </w:p>
          <w:p w:rsidR="00FC4141" w:rsidRPr="00161354" w:rsidRDefault="00FC4141" w:rsidP="00FC4141">
            <w:pPr>
              <w:spacing w:before="20" w:after="20" w:line="194" w:lineRule="exact"/>
              <w:rPr>
                <w:sz w:val="20"/>
              </w:rPr>
            </w:pPr>
          </w:p>
          <w:p w:rsidR="00FC4141" w:rsidRPr="00161354" w:rsidRDefault="00FC4141" w:rsidP="00FC4141">
            <w:pPr>
              <w:pStyle w:val="Pta"/>
              <w:spacing w:before="20" w:after="20" w:line="194" w:lineRule="exact"/>
              <w:rPr>
                <w:sz w:val="20"/>
                <w:u w:val="single"/>
              </w:rPr>
            </w:pPr>
            <w:r w:rsidRPr="00161354">
              <w:rPr>
                <w:sz w:val="20"/>
                <w:u w:val="single"/>
              </w:rPr>
              <w:t>Hlavné aktivity:</w:t>
            </w:r>
          </w:p>
          <w:p w:rsidR="00FC4141" w:rsidRPr="00161354" w:rsidRDefault="00FC4141" w:rsidP="00FC4141">
            <w:pPr>
              <w:spacing w:before="20" w:after="20" w:line="194" w:lineRule="exact"/>
              <w:rPr>
                <w:b/>
                <w:sz w:val="20"/>
              </w:rPr>
            </w:pPr>
            <w:r w:rsidRPr="00161354">
              <w:rPr>
                <w:b/>
                <w:sz w:val="20"/>
              </w:rPr>
              <w:t xml:space="preserve">Aktivita 1- spolu </w:t>
            </w:r>
            <w:r w:rsidR="00D62938" w:rsidRPr="00161354">
              <w:rPr>
                <w:b/>
                <w:sz w:val="20"/>
              </w:rPr>
              <w:t>193 140,86</w:t>
            </w:r>
            <w:r w:rsidRPr="00161354">
              <w:rPr>
                <w:b/>
                <w:sz w:val="20"/>
              </w:rPr>
              <w:t xml:space="preserve"> €</w:t>
            </w:r>
          </w:p>
          <w:p w:rsidR="00FC4141" w:rsidRPr="00161354" w:rsidRDefault="00FC4141" w:rsidP="00FC4141">
            <w:pPr>
              <w:spacing w:before="20" w:after="20" w:line="194" w:lineRule="exact"/>
              <w:rPr>
                <w:sz w:val="20"/>
              </w:rPr>
            </w:pPr>
            <w:proofErr w:type="spellStart"/>
            <w:r w:rsidRPr="00161354">
              <w:rPr>
                <w:sz w:val="20"/>
              </w:rPr>
              <w:t>Podaktivita</w:t>
            </w:r>
            <w:proofErr w:type="spellEnd"/>
            <w:r w:rsidRPr="00161354">
              <w:rPr>
                <w:sz w:val="20"/>
              </w:rPr>
              <w:t xml:space="preserve"> 1.1 </w:t>
            </w:r>
            <w:r w:rsidR="00D62938" w:rsidRPr="00161354">
              <w:rPr>
                <w:sz w:val="20"/>
              </w:rPr>
              <w:t>–</w:t>
            </w:r>
            <w:r w:rsidRPr="00161354">
              <w:rPr>
                <w:sz w:val="20"/>
              </w:rPr>
              <w:t xml:space="preserve"> </w:t>
            </w:r>
            <w:r w:rsidR="00D62938" w:rsidRPr="00161354">
              <w:rPr>
                <w:sz w:val="20"/>
              </w:rPr>
              <w:t>13 301,16</w:t>
            </w:r>
            <w:r w:rsidRPr="00161354">
              <w:rPr>
                <w:sz w:val="20"/>
              </w:rPr>
              <w:t xml:space="preserve"> €</w:t>
            </w:r>
          </w:p>
          <w:p w:rsidR="00FC4141" w:rsidRPr="00161354" w:rsidRDefault="00FC4141" w:rsidP="00FC4141">
            <w:pPr>
              <w:spacing w:before="20" w:after="20" w:line="194" w:lineRule="exact"/>
              <w:rPr>
                <w:sz w:val="20"/>
              </w:rPr>
            </w:pPr>
            <w:proofErr w:type="spellStart"/>
            <w:r w:rsidRPr="00161354">
              <w:rPr>
                <w:sz w:val="20"/>
              </w:rPr>
              <w:t>Podkativita</w:t>
            </w:r>
            <w:proofErr w:type="spellEnd"/>
            <w:r w:rsidRPr="00161354">
              <w:rPr>
                <w:sz w:val="20"/>
              </w:rPr>
              <w:t xml:space="preserve"> 1.2 </w:t>
            </w:r>
            <w:r w:rsidR="00D62938" w:rsidRPr="00161354">
              <w:rPr>
                <w:sz w:val="20"/>
              </w:rPr>
              <w:t>–</w:t>
            </w:r>
            <w:r w:rsidRPr="00161354">
              <w:rPr>
                <w:sz w:val="20"/>
              </w:rPr>
              <w:t xml:space="preserve"> </w:t>
            </w:r>
            <w:r w:rsidR="00D62938" w:rsidRPr="00161354">
              <w:rPr>
                <w:sz w:val="20"/>
              </w:rPr>
              <w:t xml:space="preserve">140 330,58 </w:t>
            </w:r>
            <w:r w:rsidRPr="00161354">
              <w:rPr>
                <w:sz w:val="20"/>
              </w:rPr>
              <w:t>€</w:t>
            </w:r>
          </w:p>
          <w:p w:rsidR="00FC4141" w:rsidRPr="00161354" w:rsidRDefault="00FC4141" w:rsidP="00FC4141">
            <w:pPr>
              <w:spacing w:before="20" w:after="20" w:line="194" w:lineRule="exact"/>
              <w:rPr>
                <w:sz w:val="20"/>
              </w:rPr>
            </w:pPr>
            <w:proofErr w:type="spellStart"/>
            <w:r w:rsidRPr="00161354">
              <w:rPr>
                <w:sz w:val="20"/>
              </w:rPr>
              <w:t>Podaktivita</w:t>
            </w:r>
            <w:proofErr w:type="spellEnd"/>
            <w:r w:rsidRPr="00161354">
              <w:rPr>
                <w:sz w:val="20"/>
              </w:rPr>
              <w:t xml:space="preserve"> 1.3 </w:t>
            </w:r>
            <w:r w:rsidR="00D62938" w:rsidRPr="00161354">
              <w:rPr>
                <w:sz w:val="20"/>
              </w:rPr>
              <w:t>–</w:t>
            </w:r>
            <w:r w:rsidRPr="00161354">
              <w:rPr>
                <w:sz w:val="20"/>
              </w:rPr>
              <w:t xml:space="preserve"> </w:t>
            </w:r>
            <w:r w:rsidR="00D62938" w:rsidRPr="00161354">
              <w:rPr>
                <w:sz w:val="20"/>
              </w:rPr>
              <w:t xml:space="preserve">13 190,87 </w:t>
            </w:r>
            <w:r w:rsidRPr="00161354">
              <w:rPr>
                <w:sz w:val="20"/>
              </w:rPr>
              <w:t>€</w:t>
            </w:r>
          </w:p>
          <w:p w:rsidR="00FC4141" w:rsidRPr="00161354" w:rsidRDefault="00FC4141" w:rsidP="00FC4141">
            <w:pPr>
              <w:spacing w:before="20" w:after="20" w:line="194" w:lineRule="exact"/>
              <w:rPr>
                <w:sz w:val="20"/>
              </w:rPr>
            </w:pPr>
            <w:proofErr w:type="spellStart"/>
            <w:r w:rsidRPr="00161354">
              <w:rPr>
                <w:sz w:val="20"/>
              </w:rPr>
              <w:t>Podaktivita</w:t>
            </w:r>
            <w:proofErr w:type="spellEnd"/>
            <w:r w:rsidRPr="00161354">
              <w:rPr>
                <w:sz w:val="20"/>
              </w:rPr>
              <w:t xml:space="preserve"> 1.4 –</w:t>
            </w:r>
            <w:r w:rsidR="00D62938" w:rsidRPr="00161354">
              <w:rPr>
                <w:sz w:val="20"/>
              </w:rPr>
              <w:t xml:space="preserve">26 318,25 </w:t>
            </w:r>
            <w:r w:rsidRPr="00161354">
              <w:rPr>
                <w:sz w:val="20"/>
              </w:rPr>
              <w:t>€</w:t>
            </w:r>
          </w:p>
          <w:p w:rsidR="00FC4141" w:rsidRPr="00161354" w:rsidRDefault="00FC4141" w:rsidP="00FC4141">
            <w:pPr>
              <w:spacing w:before="20" w:after="20" w:line="194" w:lineRule="exact"/>
              <w:rPr>
                <w:sz w:val="20"/>
              </w:rPr>
            </w:pPr>
          </w:p>
          <w:p w:rsidR="00FC4141" w:rsidRPr="00161354" w:rsidRDefault="00FC4141" w:rsidP="00FC4141">
            <w:pPr>
              <w:spacing w:before="20" w:after="20" w:line="194" w:lineRule="exact"/>
              <w:rPr>
                <w:b/>
                <w:sz w:val="20"/>
              </w:rPr>
            </w:pPr>
            <w:r w:rsidRPr="00161354">
              <w:rPr>
                <w:b/>
                <w:sz w:val="20"/>
              </w:rPr>
              <w:t xml:space="preserve">Aktivita 2 - spolu </w:t>
            </w:r>
            <w:r w:rsidR="00D62938" w:rsidRPr="00161354">
              <w:rPr>
                <w:b/>
                <w:sz w:val="20"/>
              </w:rPr>
              <w:t xml:space="preserve">78 717,47 </w:t>
            </w:r>
            <w:r w:rsidRPr="00161354">
              <w:rPr>
                <w:b/>
                <w:sz w:val="20"/>
              </w:rPr>
              <w:t>€</w:t>
            </w:r>
          </w:p>
          <w:p w:rsidR="00FC4141" w:rsidRPr="00161354" w:rsidRDefault="00FC4141" w:rsidP="00FC4141">
            <w:pPr>
              <w:spacing w:before="20" w:after="20" w:line="194" w:lineRule="exact"/>
              <w:rPr>
                <w:sz w:val="20"/>
              </w:rPr>
            </w:pPr>
            <w:proofErr w:type="spellStart"/>
            <w:r w:rsidRPr="00161354">
              <w:rPr>
                <w:sz w:val="20"/>
              </w:rPr>
              <w:t>Podaktivita</w:t>
            </w:r>
            <w:proofErr w:type="spellEnd"/>
            <w:r w:rsidRPr="00161354">
              <w:rPr>
                <w:sz w:val="20"/>
              </w:rPr>
              <w:t xml:space="preserve"> 2.1 – </w:t>
            </w:r>
            <w:r w:rsidR="00D62938" w:rsidRPr="00161354">
              <w:rPr>
                <w:sz w:val="20"/>
              </w:rPr>
              <w:t>13 842,56</w:t>
            </w:r>
            <w:r w:rsidRPr="00161354">
              <w:rPr>
                <w:sz w:val="20"/>
              </w:rPr>
              <w:t xml:space="preserve"> €</w:t>
            </w:r>
          </w:p>
          <w:p w:rsidR="00FC4141" w:rsidRPr="00161354" w:rsidRDefault="00FC4141" w:rsidP="00FC4141">
            <w:pPr>
              <w:spacing w:before="20" w:after="20" w:line="194" w:lineRule="exact"/>
              <w:rPr>
                <w:sz w:val="20"/>
              </w:rPr>
            </w:pPr>
            <w:proofErr w:type="spellStart"/>
            <w:r w:rsidRPr="00161354">
              <w:rPr>
                <w:sz w:val="20"/>
              </w:rPr>
              <w:t>Podkativita</w:t>
            </w:r>
            <w:proofErr w:type="spellEnd"/>
            <w:r w:rsidRPr="00161354">
              <w:rPr>
                <w:sz w:val="20"/>
              </w:rPr>
              <w:t xml:space="preserve"> 2.2 –</w:t>
            </w:r>
            <w:r w:rsidR="00D62938" w:rsidRPr="00161354">
              <w:rPr>
                <w:sz w:val="20"/>
              </w:rPr>
              <w:t xml:space="preserve">26 802,84 </w:t>
            </w:r>
            <w:r w:rsidRPr="00161354">
              <w:rPr>
                <w:sz w:val="20"/>
              </w:rPr>
              <w:t>€</w:t>
            </w:r>
          </w:p>
          <w:p w:rsidR="00FC4141" w:rsidRPr="00161354" w:rsidRDefault="00FC4141" w:rsidP="00FC4141">
            <w:pPr>
              <w:spacing w:before="20" w:after="20" w:line="194" w:lineRule="exact"/>
              <w:rPr>
                <w:sz w:val="20"/>
              </w:rPr>
            </w:pPr>
            <w:proofErr w:type="spellStart"/>
            <w:r w:rsidRPr="00161354">
              <w:rPr>
                <w:sz w:val="20"/>
              </w:rPr>
              <w:t>Podaktivita</w:t>
            </w:r>
            <w:proofErr w:type="spellEnd"/>
            <w:r w:rsidRPr="00161354">
              <w:rPr>
                <w:sz w:val="20"/>
              </w:rPr>
              <w:t xml:space="preserve"> 2.3 </w:t>
            </w:r>
            <w:r w:rsidR="00D62938" w:rsidRPr="00161354">
              <w:rPr>
                <w:sz w:val="20"/>
              </w:rPr>
              <w:t>–</w:t>
            </w:r>
            <w:r w:rsidRPr="00161354">
              <w:rPr>
                <w:sz w:val="20"/>
              </w:rPr>
              <w:t xml:space="preserve"> </w:t>
            </w:r>
            <w:r w:rsidR="00D62938" w:rsidRPr="00161354">
              <w:rPr>
                <w:sz w:val="20"/>
              </w:rPr>
              <w:t>26 802,84</w:t>
            </w:r>
            <w:r w:rsidRPr="00161354">
              <w:rPr>
                <w:sz w:val="20"/>
              </w:rPr>
              <w:t xml:space="preserve"> €</w:t>
            </w:r>
          </w:p>
          <w:p w:rsidR="00FC4141" w:rsidRPr="00161354" w:rsidRDefault="00FC4141" w:rsidP="00FC4141">
            <w:pPr>
              <w:spacing w:before="20" w:after="20" w:line="194" w:lineRule="exact"/>
              <w:rPr>
                <w:sz w:val="20"/>
              </w:rPr>
            </w:pPr>
            <w:proofErr w:type="spellStart"/>
            <w:r w:rsidRPr="00161354">
              <w:rPr>
                <w:sz w:val="20"/>
              </w:rPr>
              <w:t>Podaktivita</w:t>
            </w:r>
            <w:proofErr w:type="spellEnd"/>
            <w:r w:rsidRPr="00161354">
              <w:rPr>
                <w:sz w:val="20"/>
              </w:rPr>
              <w:t xml:space="preserve"> 2.4 – </w:t>
            </w:r>
            <w:r w:rsidR="00D62938" w:rsidRPr="00161354">
              <w:rPr>
                <w:sz w:val="20"/>
              </w:rPr>
              <w:t>11 269,22</w:t>
            </w:r>
            <w:r w:rsidRPr="00161354">
              <w:rPr>
                <w:sz w:val="20"/>
              </w:rPr>
              <w:t xml:space="preserve"> €</w:t>
            </w:r>
          </w:p>
          <w:p w:rsidR="00FC4141" w:rsidRPr="00161354" w:rsidRDefault="00FC4141" w:rsidP="00FC4141">
            <w:pPr>
              <w:spacing w:before="20" w:after="20" w:line="194" w:lineRule="exact"/>
              <w:rPr>
                <w:sz w:val="20"/>
              </w:rPr>
            </w:pPr>
          </w:p>
          <w:p w:rsidR="00FC4141" w:rsidRPr="00161354" w:rsidRDefault="00FC4141" w:rsidP="00FC4141">
            <w:pPr>
              <w:rPr>
                <w:sz w:val="20"/>
                <w:u w:val="single"/>
              </w:rPr>
            </w:pPr>
            <w:r w:rsidRPr="00161354">
              <w:rPr>
                <w:sz w:val="20"/>
                <w:u w:val="single"/>
              </w:rPr>
              <w:t>Podporné aktivity:</w:t>
            </w:r>
          </w:p>
          <w:p w:rsidR="00FC4141" w:rsidRPr="00161354" w:rsidRDefault="00FC4141" w:rsidP="00FC4141">
            <w:pPr>
              <w:rPr>
                <w:b/>
                <w:sz w:val="20"/>
              </w:rPr>
            </w:pPr>
            <w:r w:rsidRPr="00161354">
              <w:rPr>
                <w:b/>
                <w:sz w:val="20"/>
              </w:rPr>
              <w:t xml:space="preserve">Riadenie projektu – </w:t>
            </w:r>
            <w:r w:rsidR="00D62938" w:rsidRPr="00161354">
              <w:rPr>
                <w:b/>
                <w:sz w:val="20"/>
              </w:rPr>
              <w:t>179,35</w:t>
            </w:r>
            <w:r w:rsidRPr="00161354">
              <w:rPr>
                <w:b/>
                <w:sz w:val="20"/>
              </w:rPr>
              <w:t xml:space="preserve"> €</w:t>
            </w:r>
          </w:p>
          <w:p w:rsidR="00FC4141" w:rsidRPr="00161354" w:rsidRDefault="00FC4141" w:rsidP="00FC4141">
            <w:pPr>
              <w:spacing w:before="20" w:after="20" w:line="194" w:lineRule="exact"/>
              <w:rPr>
                <w:b/>
                <w:sz w:val="20"/>
              </w:rPr>
            </w:pPr>
            <w:r w:rsidRPr="00161354">
              <w:rPr>
                <w:b/>
                <w:sz w:val="20"/>
              </w:rPr>
              <w:t xml:space="preserve">Publicita a informovanosť – </w:t>
            </w:r>
            <w:r w:rsidR="00D62938" w:rsidRPr="00161354">
              <w:rPr>
                <w:b/>
                <w:sz w:val="20"/>
              </w:rPr>
              <w:t>11,14</w:t>
            </w:r>
            <w:r w:rsidRPr="00161354">
              <w:rPr>
                <w:b/>
                <w:sz w:val="20"/>
              </w:rPr>
              <w:t xml:space="preserve"> €</w:t>
            </w:r>
          </w:p>
          <w:p w:rsidR="00FC4141" w:rsidRPr="00161354" w:rsidRDefault="00FC4141" w:rsidP="00FC4141">
            <w:pPr>
              <w:spacing w:before="20" w:after="20" w:line="194" w:lineRule="exact"/>
              <w:rPr>
                <w:b/>
                <w:sz w:val="20"/>
              </w:rPr>
            </w:pPr>
          </w:p>
          <w:p w:rsidR="00FC4141" w:rsidRPr="00161354" w:rsidRDefault="00FC4141" w:rsidP="00FC4141">
            <w:pPr>
              <w:spacing w:before="20" w:after="20" w:line="194" w:lineRule="exact"/>
              <w:rPr>
                <w:sz w:val="20"/>
              </w:rPr>
            </w:pPr>
          </w:p>
        </w:tc>
        <w:tc>
          <w:tcPr>
            <w:tcW w:w="2984" w:type="dxa"/>
            <w:tcBorders>
              <w:top w:val="single" w:sz="4" w:space="0" w:color="auto"/>
              <w:left w:val="single" w:sz="4" w:space="0" w:color="auto"/>
              <w:right w:val="single" w:sz="4" w:space="0" w:color="auto"/>
            </w:tcBorders>
          </w:tcPr>
          <w:p w:rsidR="00FC4141" w:rsidRPr="00161354" w:rsidRDefault="00FC4141" w:rsidP="00FC4141">
            <w:pPr>
              <w:rPr>
                <w:sz w:val="20"/>
              </w:rPr>
            </w:pPr>
            <w:r w:rsidRPr="00161354">
              <w:rPr>
                <w:sz w:val="20"/>
              </w:rPr>
              <w:t>Plnenie časového harmonogramu realizácie projektu a dodržanie kvality výstupov.</w:t>
            </w:r>
          </w:p>
          <w:p w:rsidR="00FC4141" w:rsidRPr="00161354" w:rsidRDefault="00FC4141" w:rsidP="00FC4141">
            <w:pPr>
              <w:rPr>
                <w:sz w:val="20"/>
              </w:rPr>
            </w:pPr>
            <w:r w:rsidRPr="00161354">
              <w:rPr>
                <w:sz w:val="20"/>
              </w:rPr>
              <w:t xml:space="preserve">Dostupnosť a efektívne využitie plánovaných finančných zdrojov. </w:t>
            </w:r>
          </w:p>
        </w:tc>
      </w:tr>
      <w:tr w:rsidR="00FC4141" w:rsidRPr="00161354" w:rsidTr="00E94FA8">
        <w:trPr>
          <w:cantSplit/>
          <w:trHeight w:val="547"/>
        </w:trPr>
        <w:tc>
          <w:tcPr>
            <w:tcW w:w="5177" w:type="dxa"/>
            <w:vMerge/>
            <w:tcBorders>
              <w:left w:val="single" w:sz="4" w:space="0" w:color="auto"/>
              <w:right w:val="single" w:sz="4" w:space="0" w:color="auto"/>
            </w:tcBorders>
          </w:tcPr>
          <w:p w:rsidR="00FC4141" w:rsidRPr="00161354" w:rsidRDefault="00FC4141" w:rsidP="00E94FA8">
            <w:pPr>
              <w:pStyle w:val="Pta"/>
              <w:spacing w:before="20" w:after="20" w:line="194" w:lineRule="exact"/>
              <w:ind w:left="287"/>
              <w:rPr>
                <w:sz w:val="20"/>
                <w:u w:val="single"/>
              </w:rPr>
            </w:pPr>
          </w:p>
        </w:tc>
        <w:tc>
          <w:tcPr>
            <w:tcW w:w="3969" w:type="dxa"/>
            <w:vMerge/>
            <w:tcBorders>
              <w:left w:val="single" w:sz="4" w:space="0" w:color="auto"/>
              <w:right w:val="single" w:sz="4" w:space="0" w:color="auto"/>
            </w:tcBorders>
          </w:tcPr>
          <w:p w:rsidR="00FC4141" w:rsidRPr="00161354" w:rsidRDefault="00FC4141" w:rsidP="00E94FA8">
            <w:pPr>
              <w:spacing w:before="20" w:after="20" w:line="194" w:lineRule="exact"/>
              <w:rPr>
                <w:sz w:val="20"/>
              </w:rPr>
            </w:pPr>
          </w:p>
        </w:tc>
        <w:tc>
          <w:tcPr>
            <w:tcW w:w="2749" w:type="dxa"/>
            <w:vMerge/>
            <w:tcBorders>
              <w:left w:val="single" w:sz="4" w:space="0" w:color="auto"/>
              <w:right w:val="single" w:sz="4" w:space="0" w:color="auto"/>
            </w:tcBorders>
          </w:tcPr>
          <w:p w:rsidR="00FC4141" w:rsidRPr="00161354" w:rsidRDefault="00FC4141" w:rsidP="00E94FA8">
            <w:pPr>
              <w:spacing w:before="20" w:after="20" w:line="194" w:lineRule="exact"/>
              <w:rPr>
                <w:sz w:val="20"/>
              </w:rPr>
            </w:pPr>
          </w:p>
        </w:tc>
        <w:tc>
          <w:tcPr>
            <w:tcW w:w="2984" w:type="dxa"/>
            <w:tcBorders>
              <w:top w:val="single" w:sz="4" w:space="0" w:color="auto"/>
              <w:left w:val="single" w:sz="4" w:space="0" w:color="auto"/>
              <w:bottom w:val="single" w:sz="4" w:space="0" w:color="auto"/>
              <w:right w:val="single" w:sz="4" w:space="0" w:color="auto"/>
            </w:tcBorders>
          </w:tcPr>
          <w:p w:rsidR="00FC4141" w:rsidRPr="00161354" w:rsidRDefault="00FC4141" w:rsidP="00FC4141">
            <w:pPr>
              <w:pStyle w:val="Nadpis1"/>
              <w:keepNext w:val="0"/>
              <w:spacing w:before="20" w:after="20" w:line="194" w:lineRule="exact"/>
              <w:rPr>
                <w:rFonts w:ascii="Times New Roman" w:hAnsi="Times New Roman"/>
                <w:b w:val="0"/>
                <w:bCs w:val="0"/>
                <w:kern w:val="0"/>
                <w:sz w:val="20"/>
                <w:szCs w:val="20"/>
                <w:lang w:val="sk-SK"/>
              </w:rPr>
            </w:pPr>
            <w:r w:rsidRPr="00161354">
              <w:rPr>
                <w:rFonts w:ascii="Times New Roman" w:hAnsi="Times New Roman"/>
                <w:b w:val="0"/>
                <w:bCs w:val="0"/>
                <w:kern w:val="0"/>
                <w:sz w:val="20"/>
                <w:szCs w:val="20"/>
                <w:lang w:val="sk-SK"/>
              </w:rPr>
              <w:t>Celkový predpoklad</w:t>
            </w:r>
          </w:p>
          <w:p w:rsidR="00FC4141" w:rsidRPr="00161354" w:rsidRDefault="00FC4141" w:rsidP="00E94FA8">
            <w:pPr>
              <w:rPr>
                <w:sz w:val="20"/>
              </w:rPr>
            </w:pPr>
          </w:p>
        </w:tc>
      </w:tr>
      <w:tr w:rsidR="00FC4141" w:rsidRPr="00161354" w:rsidTr="00E94FA8">
        <w:trPr>
          <w:cantSplit/>
          <w:trHeight w:val="2100"/>
        </w:trPr>
        <w:tc>
          <w:tcPr>
            <w:tcW w:w="5177" w:type="dxa"/>
            <w:vMerge/>
            <w:tcBorders>
              <w:left w:val="single" w:sz="4" w:space="0" w:color="auto"/>
              <w:bottom w:val="single" w:sz="4" w:space="0" w:color="auto"/>
              <w:right w:val="single" w:sz="4" w:space="0" w:color="auto"/>
            </w:tcBorders>
          </w:tcPr>
          <w:p w:rsidR="00FC4141" w:rsidRPr="00161354" w:rsidRDefault="00FC4141" w:rsidP="00E94FA8">
            <w:pPr>
              <w:pStyle w:val="Pta"/>
              <w:spacing w:before="20" w:after="20" w:line="194" w:lineRule="exact"/>
              <w:ind w:left="287"/>
              <w:rPr>
                <w:sz w:val="20"/>
                <w:u w:val="single"/>
              </w:rPr>
            </w:pPr>
          </w:p>
        </w:tc>
        <w:tc>
          <w:tcPr>
            <w:tcW w:w="3969" w:type="dxa"/>
            <w:vMerge/>
            <w:tcBorders>
              <w:left w:val="single" w:sz="4" w:space="0" w:color="auto"/>
              <w:bottom w:val="single" w:sz="4" w:space="0" w:color="auto"/>
              <w:right w:val="single" w:sz="4" w:space="0" w:color="auto"/>
            </w:tcBorders>
          </w:tcPr>
          <w:p w:rsidR="00FC4141" w:rsidRPr="00161354" w:rsidRDefault="00FC4141" w:rsidP="00E94FA8">
            <w:pPr>
              <w:spacing w:before="20" w:after="20" w:line="194" w:lineRule="exact"/>
              <w:rPr>
                <w:sz w:val="20"/>
              </w:rPr>
            </w:pPr>
          </w:p>
        </w:tc>
        <w:tc>
          <w:tcPr>
            <w:tcW w:w="2749" w:type="dxa"/>
            <w:vMerge/>
            <w:tcBorders>
              <w:left w:val="single" w:sz="4" w:space="0" w:color="auto"/>
              <w:bottom w:val="single" w:sz="4" w:space="0" w:color="auto"/>
              <w:right w:val="single" w:sz="4" w:space="0" w:color="auto"/>
            </w:tcBorders>
          </w:tcPr>
          <w:p w:rsidR="00FC4141" w:rsidRPr="00161354" w:rsidRDefault="00FC4141" w:rsidP="00E94FA8">
            <w:pPr>
              <w:spacing w:before="20" w:after="20" w:line="194" w:lineRule="exact"/>
              <w:rPr>
                <w:sz w:val="20"/>
              </w:rPr>
            </w:pPr>
          </w:p>
        </w:tc>
        <w:tc>
          <w:tcPr>
            <w:tcW w:w="2984" w:type="dxa"/>
            <w:tcBorders>
              <w:top w:val="single" w:sz="4" w:space="0" w:color="auto"/>
              <w:left w:val="single" w:sz="4" w:space="0" w:color="auto"/>
              <w:bottom w:val="single" w:sz="4" w:space="0" w:color="auto"/>
              <w:right w:val="single" w:sz="4" w:space="0" w:color="auto"/>
            </w:tcBorders>
          </w:tcPr>
          <w:p w:rsidR="00FC4141" w:rsidRPr="00161354" w:rsidRDefault="00FC4141" w:rsidP="00FC4141">
            <w:pPr>
              <w:spacing w:before="20" w:after="20" w:line="194" w:lineRule="exact"/>
              <w:jc w:val="both"/>
              <w:rPr>
                <w:sz w:val="20"/>
              </w:rPr>
            </w:pPr>
            <w:r w:rsidRPr="00161354">
              <w:rPr>
                <w:sz w:val="20"/>
              </w:rPr>
              <w:t>Začatie realizácie projektu v stanovenom termíne.</w:t>
            </w:r>
          </w:p>
          <w:p w:rsidR="00FC4141" w:rsidRPr="00161354" w:rsidRDefault="00FC4141" w:rsidP="00FC4141">
            <w:pPr>
              <w:spacing w:before="20" w:line="194" w:lineRule="exact"/>
              <w:rPr>
                <w:sz w:val="20"/>
              </w:rPr>
            </w:pPr>
            <w:r w:rsidRPr="00161354">
              <w:rPr>
                <w:sz w:val="20"/>
              </w:rPr>
              <w:t>Kontinuita, komplexnosť a udržateľnosť jednotlivých aktivít projektu.  Koncepčná a legislatívna  podpora projektu zo strany vlády a MPSVR SR.</w:t>
            </w:r>
          </w:p>
          <w:p w:rsidR="00FC4141" w:rsidRPr="00161354" w:rsidRDefault="00FC4141" w:rsidP="00E94FA8">
            <w:pPr>
              <w:rPr>
                <w:sz w:val="20"/>
              </w:rPr>
            </w:pPr>
            <w:r w:rsidRPr="00161354">
              <w:rPr>
                <w:sz w:val="20"/>
              </w:rPr>
              <w:t>Schválenie nenávratného finančného príspevku v alokovanej výške.</w:t>
            </w:r>
          </w:p>
        </w:tc>
      </w:tr>
    </w:tbl>
    <w:p w:rsidR="00BB5DD5" w:rsidRPr="00161354" w:rsidRDefault="00BB5DD5">
      <w:pPr>
        <w:sectPr w:rsidR="00BB5DD5" w:rsidRPr="00161354" w:rsidSect="00D01C65">
          <w:endnotePr>
            <w:numFmt w:val="decimal"/>
          </w:endnotePr>
          <w:pgSz w:w="16838" w:h="11906" w:orient="landscape" w:code="9"/>
          <w:pgMar w:top="1418" w:right="1418" w:bottom="851" w:left="1418" w:header="709" w:footer="709" w:gutter="0"/>
          <w:cols w:space="708"/>
          <w:docGrid w:linePitch="360"/>
        </w:sectPr>
      </w:pPr>
    </w:p>
    <w:p w:rsidR="00BB5DD5" w:rsidRPr="00161354" w:rsidRDefault="00BB5DD5" w:rsidP="00B740BB">
      <w:pPr>
        <w:spacing w:before="120"/>
        <w:jc w:val="both"/>
        <w:rPr>
          <w:b/>
          <w:szCs w:val="24"/>
          <w:u w:val="single"/>
        </w:rPr>
      </w:pPr>
      <w:r w:rsidRPr="00161354">
        <w:rPr>
          <w:b/>
          <w:szCs w:val="24"/>
          <w:u w:val="single"/>
        </w:rPr>
        <w:t>Východiskový a očakávaný stav</w:t>
      </w:r>
    </w:p>
    <w:p w:rsidR="00BB5DD5" w:rsidRPr="00161354" w:rsidRDefault="00BB5DD5" w:rsidP="00105311">
      <w:pPr>
        <w:spacing w:before="120"/>
        <w:ind w:left="113"/>
        <w:jc w:val="both"/>
        <w:rPr>
          <w:b/>
          <w:szCs w:val="24"/>
          <w:u w:val="single"/>
        </w:rPr>
      </w:pPr>
    </w:p>
    <w:p w:rsidR="00FC4141" w:rsidRPr="00161354" w:rsidRDefault="00FC4141" w:rsidP="00FC4141">
      <w:pPr>
        <w:autoSpaceDE w:val="0"/>
        <w:autoSpaceDN w:val="0"/>
        <w:adjustRightInd w:val="0"/>
        <w:spacing w:after="120"/>
        <w:jc w:val="both"/>
        <w:rPr>
          <w:sz w:val="20"/>
          <w:u w:val="single"/>
        </w:rPr>
      </w:pPr>
      <w:r w:rsidRPr="00161354">
        <w:rPr>
          <w:sz w:val="20"/>
          <w:u w:val="single"/>
        </w:rPr>
        <w:t>VÝCHODISKOVÁ SITUÁCIA</w:t>
      </w:r>
    </w:p>
    <w:p w:rsidR="00FC4141" w:rsidRPr="000C0959" w:rsidRDefault="00FC4141" w:rsidP="00FC4141">
      <w:pPr>
        <w:jc w:val="both"/>
        <w:rPr>
          <w:szCs w:val="24"/>
        </w:rPr>
      </w:pPr>
      <w:r w:rsidRPr="00161354">
        <w:rPr>
          <w:szCs w:val="24"/>
        </w:rPr>
        <w:t xml:space="preserve">Existencia adekvátnych kvalifikačných zručností je jedným z hlavných determinantov pozitívne ovplyvňujúcich rast zamestnanosti. Na trhu práce v Slovenskej republike dlhodobo existuje nesúlad medzi ponukou kvalifikačných zručností a dopytom po nich, ktorý sa najvypuklejšie prejavuje na regionálnej úrovni. Aj napriek uplatňovaniu vhodných a účinných opatrení aktívnej politiky trhu práce </w:t>
      </w:r>
      <w:r w:rsidRPr="000C0959">
        <w:rPr>
          <w:szCs w:val="24"/>
        </w:rPr>
        <w:t xml:space="preserve">žiadne z nich </w:t>
      </w:r>
      <w:r w:rsidR="00CF0364" w:rsidRPr="000C0959">
        <w:rPr>
          <w:szCs w:val="24"/>
        </w:rPr>
        <w:t>krátkodobo</w:t>
      </w:r>
      <w:r w:rsidRPr="000C0959">
        <w:rPr>
          <w:szCs w:val="24"/>
        </w:rPr>
        <w:t xml:space="preserve">, resp. dlhodobo  v oblasti rozvoja zamestnanosti alebo znižovania nezamestnanosti nemôže vyriešiť tento akútny problém, ak určitým spôsobom neeliminujeme nesúlad na úrovni potrebných kvalifikačných zručností. </w:t>
      </w:r>
    </w:p>
    <w:p w:rsidR="00FC4141" w:rsidRPr="000C0959" w:rsidRDefault="00FC4141" w:rsidP="00FC4141">
      <w:pPr>
        <w:jc w:val="both"/>
        <w:rPr>
          <w:szCs w:val="24"/>
        </w:rPr>
      </w:pPr>
    </w:p>
    <w:p w:rsidR="00FC4141" w:rsidRPr="000C0959" w:rsidRDefault="00FC4141" w:rsidP="00FC4141">
      <w:pPr>
        <w:jc w:val="both"/>
        <w:rPr>
          <w:szCs w:val="24"/>
        </w:rPr>
      </w:pPr>
      <w:r w:rsidRPr="000C0959">
        <w:rPr>
          <w:szCs w:val="24"/>
        </w:rPr>
        <w:t>Vyriešenie problému nesúladu zručností v dlhodobom horizonte nemôže spočívať len  v komplexnej reforme systému odborného vzdelávania a prípravy, ale nevyhnutne si vyžaduje nepretržité usmerňovanie a prispôsobovanie kvalifikácií, ktoré musia byť neustále a aktuálne získavané z požiadaviek  trhu práce a podnikateľskej sféry. V tomto prípade  sa však na povrch  tlačí zjavný nedostato</w:t>
      </w:r>
      <w:r w:rsidR="00803822" w:rsidRPr="000C0959">
        <w:rPr>
          <w:szCs w:val="24"/>
        </w:rPr>
        <w:t xml:space="preserve">k ľudských kapacít a </w:t>
      </w:r>
      <w:proofErr w:type="spellStart"/>
      <w:r w:rsidR="00803822" w:rsidRPr="000C0959">
        <w:rPr>
          <w:szCs w:val="24"/>
        </w:rPr>
        <w:t>know-how</w:t>
      </w:r>
      <w:proofErr w:type="spellEnd"/>
      <w:r w:rsidR="00803822" w:rsidRPr="000C0959">
        <w:rPr>
          <w:szCs w:val="24"/>
        </w:rPr>
        <w:t xml:space="preserve">. </w:t>
      </w:r>
      <w:r w:rsidR="00CF0364" w:rsidRPr="000C0959">
        <w:rPr>
          <w:szCs w:val="24"/>
        </w:rPr>
        <w:t xml:space="preserve">Hlavné zainteresované subjekty na trhu práce  (rezort školstva a vzdelávacie inštitúcie, verejné služby zamestnanosti, zamestnávatelia, sektorové rady vytvorené v rámci Národnej sústavy povolaní a pripravovanej Národnej sústavy kvalifikácií, sociálni partneri, tretí sektor a zamestnanci), ktorí by mali v rozhodujúcej miere participovať na vytváraní a rozširovaní toku informácií v oblasti ich rozvoja, však neuskutočňujú adekvátnu vzájomnú </w:t>
      </w:r>
      <w:proofErr w:type="spellStart"/>
      <w:r w:rsidR="00CF0364" w:rsidRPr="000C0959">
        <w:rPr>
          <w:szCs w:val="24"/>
        </w:rPr>
        <w:t>spätn</w:t>
      </w:r>
      <w:r w:rsidR="00803822" w:rsidRPr="000C0959">
        <w:rPr>
          <w:szCs w:val="24"/>
        </w:rPr>
        <w:t>oväzbovú</w:t>
      </w:r>
      <w:proofErr w:type="spellEnd"/>
      <w:r w:rsidR="00803822" w:rsidRPr="000C0959">
        <w:rPr>
          <w:szCs w:val="24"/>
        </w:rPr>
        <w:t xml:space="preserve"> výmenu si informácií. </w:t>
      </w:r>
      <w:r w:rsidR="00CF0364" w:rsidRPr="000C0959">
        <w:rPr>
          <w:szCs w:val="24"/>
        </w:rPr>
        <w:t>V súčasnosti tak naďalej silnejú tlaky trhu práce na efektívnejšie predvídanie a prepájanie vzdelávacích systémov s aktuálnymi požiadavkami trhu práce.</w:t>
      </w:r>
    </w:p>
    <w:p w:rsidR="00FC4141" w:rsidRPr="000C0959" w:rsidRDefault="00FC4141" w:rsidP="00FC4141">
      <w:pPr>
        <w:jc w:val="both"/>
        <w:rPr>
          <w:szCs w:val="24"/>
        </w:rPr>
      </w:pPr>
    </w:p>
    <w:p w:rsidR="00FC4141" w:rsidRPr="000C0959" w:rsidRDefault="00FC4141" w:rsidP="00FC4141">
      <w:pPr>
        <w:jc w:val="both"/>
        <w:rPr>
          <w:szCs w:val="24"/>
        </w:rPr>
      </w:pPr>
      <w:r w:rsidRPr="000C0959">
        <w:rPr>
          <w:szCs w:val="24"/>
        </w:rPr>
        <w:t xml:space="preserve">Vysoká nezamestnanosť v SR nemá len negatívny štruktúrny charakter, ale sprevádza ju citeľný nedostatok kvalifikovaných odborníkov, ako aj nedostatky v oblasti technických vedomostí, riadiacich kompetencií a zručností špecifických pre určité zamestnania, ktoré v spojení s nedostatkami v infraštruktúre bránia rozvoju investícií, napredovaniu odvetví a regiónov SR. V mnohých odvetviach naprieč celým spektrom národného hospodárstva si už produkčná činnosť zamestnávateľských subjektov vyžaduje mnohé zručnosti odlišné od tých, ktorými zamestnanci v týchto odvetviach disponujú, pričom nedostatok kvalifikovanej pracovnej sily bude stúpať aj v oblastiach so zásadným významom pre inovácie, ako sú aplikovaný výskum, informačné a komunikačné technológie, inžinierstvo a matematika. </w:t>
      </w:r>
    </w:p>
    <w:p w:rsidR="00FC4141" w:rsidRPr="000C0959" w:rsidRDefault="00FC4141" w:rsidP="00FC4141">
      <w:pPr>
        <w:jc w:val="both"/>
        <w:rPr>
          <w:szCs w:val="24"/>
        </w:rPr>
      </w:pPr>
    </w:p>
    <w:p w:rsidR="00FC4141" w:rsidRPr="000C0959" w:rsidRDefault="00FC4141" w:rsidP="00FC4141">
      <w:pPr>
        <w:autoSpaceDE w:val="0"/>
        <w:autoSpaceDN w:val="0"/>
        <w:adjustRightInd w:val="0"/>
        <w:spacing w:after="120"/>
        <w:jc w:val="both"/>
        <w:rPr>
          <w:szCs w:val="24"/>
          <w:u w:val="single"/>
        </w:rPr>
      </w:pPr>
      <w:r w:rsidRPr="000C0959">
        <w:rPr>
          <w:szCs w:val="24"/>
          <w:lang w:eastAsia="en-US"/>
        </w:rPr>
        <w:t>Je nevyhnutné si uvedomiť, že všetky hore uvedené skutočnosti musia byť pretransformované do zmysluplného nástroja prijímania rozhodnutí, ktorý vo forme vhodného programu prípravy bude využiteľný v transformácii vedomostí a zručností smerom k pracovnej sile. Treba tiež  poznamenať, že získanie hodnotných informácií týkajúcich sa rozvoja trhu práce, a z toho vyplývajúceho poskytovania odborného vzdelávania a prípravy, by malo mať dynamický charakter, a teda nemôže byť založené iba na určitých ad hoc výskumoch a štúdiách. Tieto môžu byť vypracovávané jeden</w:t>
      </w:r>
      <w:r w:rsidR="00803822" w:rsidRPr="000C0959">
        <w:rPr>
          <w:szCs w:val="24"/>
          <w:lang w:eastAsia="en-US"/>
        </w:rPr>
        <w:t>krát</w:t>
      </w:r>
      <w:r w:rsidRPr="000C0959">
        <w:rPr>
          <w:szCs w:val="24"/>
          <w:lang w:eastAsia="en-US"/>
        </w:rPr>
        <w:t>, ale aj viackrát v budúcnosti. Ich výstupy  však  nemôžu byť riešením pre správne a presné prij</w:t>
      </w:r>
      <w:r w:rsidR="00803822" w:rsidRPr="000C0959">
        <w:rPr>
          <w:szCs w:val="24"/>
          <w:lang w:eastAsia="en-US"/>
        </w:rPr>
        <w:t xml:space="preserve">ímanie rozhodnutí zameraných na </w:t>
      </w:r>
      <w:r w:rsidRPr="000C0959">
        <w:rPr>
          <w:szCs w:val="24"/>
          <w:lang w:eastAsia="en-US"/>
        </w:rPr>
        <w:t>elimináciu nerovnovážnych tendencií medzi dopytom a ponukou práce. Výsledky výskumov a štúdií si v ďalšom období vyžadujú dopĺňanie a nepretržitú aktualizáciu zdrojových  informácií, ich analýzu a prognózu tak na národnej, ale hlavne regionálnej úrovni a to na báze zamestnaní, profesií a kvalifikačných zručností. Keďže zmeny sú nepretržitého charakteru, informácie majú formu prúdu, ktorý musí byť preto neustále monitorovaný a jeho aktualizované výsledky adekvátne využívané.</w:t>
      </w:r>
    </w:p>
    <w:p w:rsidR="00FC4141" w:rsidRPr="000C0959" w:rsidRDefault="00FC4141" w:rsidP="00FC4141">
      <w:pPr>
        <w:autoSpaceDE w:val="0"/>
        <w:autoSpaceDN w:val="0"/>
        <w:adjustRightInd w:val="0"/>
        <w:spacing w:after="120"/>
        <w:jc w:val="both"/>
        <w:rPr>
          <w:szCs w:val="24"/>
          <w:lang w:eastAsia="en-US"/>
        </w:rPr>
      </w:pPr>
      <w:r w:rsidRPr="000C0959">
        <w:rPr>
          <w:szCs w:val="24"/>
          <w:lang w:eastAsia="en-US"/>
        </w:rPr>
        <w:t xml:space="preserve">V súčasnosti absentuje komplexný systém umožňujúci zabezpečenie vyššie uvedeného procesu. Navyše vytvorenie tohto systému a jeho implementácia je nevyhnutná z hľadiska platných legislatívnych rámcov EÚ a SR. V nadväznosti na to komplexný systém (štatistické zisťovanie, prieskumy, analýzy a prognózy trhu práce)  musí obsahovať podrobné členenie ponuky a dopytu po práci a vyhodnotenie súladu resp. nesúladu v nasledovnej štruktúre: </w:t>
      </w:r>
    </w:p>
    <w:p w:rsidR="00FC4141" w:rsidRPr="000C0959" w:rsidRDefault="00FC4141" w:rsidP="00FC4141">
      <w:pPr>
        <w:autoSpaceDE w:val="0"/>
        <w:autoSpaceDN w:val="0"/>
        <w:adjustRightInd w:val="0"/>
        <w:jc w:val="both"/>
        <w:rPr>
          <w:szCs w:val="24"/>
          <w:lang w:eastAsia="en-US"/>
        </w:rPr>
      </w:pPr>
      <w:r w:rsidRPr="000C0959">
        <w:rPr>
          <w:szCs w:val="24"/>
          <w:lang w:eastAsia="en-US"/>
        </w:rPr>
        <w:t>-</w:t>
      </w:r>
      <w:r w:rsidRPr="000C0959">
        <w:rPr>
          <w:szCs w:val="24"/>
          <w:lang w:eastAsia="en-US"/>
        </w:rPr>
        <w:tab/>
        <w:t xml:space="preserve">na úroveň NUTS 3 (kraj) a NUTS 4 (okres),  </w:t>
      </w:r>
    </w:p>
    <w:p w:rsidR="00FC4141" w:rsidRPr="000C0959" w:rsidRDefault="00FC4141" w:rsidP="00FC4141">
      <w:pPr>
        <w:autoSpaceDE w:val="0"/>
        <w:autoSpaceDN w:val="0"/>
        <w:adjustRightInd w:val="0"/>
        <w:jc w:val="both"/>
        <w:rPr>
          <w:szCs w:val="24"/>
          <w:lang w:eastAsia="en-US"/>
        </w:rPr>
      </w:pPr>
      <w:r w:rsidRPr="000C0959">
        <w:rPr>
          <w:szCs w:val="24"/>
          <w:lang w:eastAsia="en-US"/>
        </w:rPr>
        <w:t>-</w:t>
      </w:r>
      <w:r w:rsidRPr="000C0959">
        <w:rPr>
          <w:szCs w:val="24"/>
          <w:lang w:eastAsia="en-US"/>
        </w:rPr>
        <w:tab/>
        <w:t>na úroveň 4 zn. SK ISCO-08,</w:t>
      </w:r>
    </w:p>
    <w:p w:rsidR="00FC4141" w:rsidRPr="000C0959" w:rsidRDefault="00FC4141" w:rsidP="00FC4141">
      <w:pPr>
        <w:autoSpaceDE w:val="0"/>
        <w:autoSpaceDN w:val="0"/>
        <w:adjustRightInd w:val="0"/>
        <w:jc w:val="both"/>
        <w:rPr>
          <w:szCs w:val="24"/>
          <w:lang w:eastAsia="en-US"/>
        </w:rPr>
      </w:pPr>
      <w:r w:rsidRPr="000C0959">
        <w:rPr>
          <w:szCs w:val="24"/>
          <w:lang w:eastAsia="en-US"/>
        </w:rPr>
        <w:t>-</w:t>
      </w:r>
      <w:r w:rsidRPr="000C0959">
        <w:rPr>
          <w:szCs w:val="24"/>
          <w:lang w:eastAsia="en-US"/>
        </w:rPr>
        <w:tab/>
        <w:t>na úroveň 2 zn. SK NACE rev.2.</w:t>
      </w:r>
    </w:p>
    <w:p w:rsidR="00CF0364" w:rsidRPr="000C0959" w:rsidRDefault="00E02943" w:rsidP="00CF0364">
      <w:pPr>
        <w:autoSpaceDE w:val="0"/>
        <w:autoSpaceDN w:val="0"/>
        <w:adjustRightInd w:val="0"/>
        <w:spacing w:after="120"/>
        <w:jc w:val="both"/>
        <w:rPr>
          <w:szCs w:val="24"/>
          <w:lang w:eastAsia="en-US"/>
        </w:rPr>
      </w:pPr>
      <w:r w:rsidRPr="000C0959">
        <w:rPr>
          <w:szCs w:val="24"/>
        </w:rPr>
        <w:t>V súčasnosti v podmienkach hospodárstva SR nie sú k dispozícii relevantné informácie v zodpovedajúcom rozsahu a v takejto obsahovej štruktúre.</w:t>
      </w:r>
      <w:r w:rsidR="00CF0364" w:rsidRPr="000C0959">
        <w:rPr>
          <w:szCs w:val="24"/>
          <w:lang w:eastAsia="en-US"/>
        </w:rPr>
        <w:t xml:space="preserve"> Navyše zabezpečenie informácií v takto požadovanej štruktúre nie je možné zabezpečiť internými kapacitami Ústredia</w:t>
      </w:r>
      <w:r w:rsidR="00803822" w:rsidRPr="000C0959">
        <w:rPr>
          <w:szCs w:val="24"/>
          <w:lang w:eastAsia="en-US"/>
        </w:rPr>
        <w:t xml:space="preserve"> PSVR</w:t>
      </w:r>
      <w:r w:rsidR="00CF0364" w:rsidRPr="000C0959">
        <w:rPr>
          <w:szCs w:val="24"/>
          <w:lang w:eastAsia="en-US"/>
        </w:rPr>
        <w:t xml:space="preserve">, resp. jednotlivých úradov práce, sociálnych vecí a rodiny. Z tohto dôvodu sa bude tento projekt realizovať dodávateľsky. </w:t>
      </w:r>
    </w:p>
    <w:p w:rsidR="00CF0364" w:rsidRPr="000C0959" w:rsidRDefault="00CF0364" w:rsidP="00CF0364">
      <w:pPr>
        <w:autoSpaceDE w:val="0"/>
        <w:autoSpaceDN w:val="0"/>
        <w:adjustRightInd w:val="0"/>
        <w:spacing w:after="120"/>
        <w:jc w:val="both"/>
        <w:rPr>
          <w:szCs w:val="24"/>
          <w:lang w:eastAsia="en-US"/>
        </w:rPr>
      </w:pPr>
      <w:r w:rsidRPr="000C0959">
        <w:rPr>
          <w:szCs w:val="24"/>
          <w:lang w:eastAsia="en-US"/>
        </w:rPr>
        <w:t xml:space="preserve">Projekt nadväzuje na výsledky už zrealizovaného NP XIV-2 Systém zisťovania vzniknutých a zaniknutých pracovných miest a prognózovanie potrieb trhu práce. V tomto projekte sa prvýkrát v štatistickom zisťovaní, prieskumoch, v analýzach a prognózach uplatnil prístup ich spracovania vo vyššie uvedenej štruktúre. Výsledky tohto národného projektu umožnili MPSVR SR a Ústrediu práce, sociálnych vecí a rodiny (ďalej len UPSVR)  plniť úlohy vyplývajúce z legislatívneho rámca EU a SR (zákon č. 5/2004 </w:t>
      </w:r>
      <w:proofErr w:type="spellStart"/>
      <w:r w:rsidRPr="000C0959">
        <w:rPr>
          <w:szCs w:val="24"/>
          <w:lang w:eastAsia="en-US"/>
        </w:rPr>
        <w:t>Z.z</w:t>
      </w:r>
      <w:proofErr w:type="spellEnd"/>
      <w:r w:rsidRPr="000C0959">
        <w:rPr>
          <w:szCs w:val="24"/>
          <w:lang w:eastAsia="en-US"/>
        </w:rPr>
        <w:t xml:space="preserve">. v znení neskorších predpisov o službách zamestnanosti, tretia časť, § 12 písm. </w:t>
      </w:r>
      <w:proofErr w:type="spellStart"/>
      <w:r w:rsidRPr="000C0959">
        <w:rPr>
          <w:szCs w:val="24"/>
          <w:lang w:eastAsia="en-US"/>
        </w:rPr>
        <w:t>ac</w:t>
      </w:r>
      <w:proofErr w:type="spellEnd"/>
      <w:r w:rsidRPr="000C0959">
        <w:rPr>
          <w:szCs w:val="24"/>
          <w:lang w:eastAsia="en-US"/>
        </w:rPr>
        <w:t>) a §13 písm. ad). Podrobnejšie viď v prílohe č. 1).</w:t>
      </w:r>
    </w:p>
    <w:p w:rsidR="00625D78" w:rsidRPr="000C0959" w:rsidRDefault="00625D78" w:rsidP="00625D78">
      <w:pPr>
        <w:autoSpaceDE w:val="0"/>
        <w:autoSpaceDN w:val="0"/>
        <w:adjustRightInd w:val="0"/>
        <w:spacing w:after="120"/>
        <w:jc w:val="both"/>
        <w:rPr>
          <w:szCs w:val="24"/>
          <w:lang w:eastAsia="en-US"/>
        </w:rPr>
      </w:pPr>
      <w:r w:rsidRPr="000C0959">
        <w:rPr>
          <w:szCs w:val="24"/>
          <w:lang w:eastAsia="en-US"/>
        </w:rPr>
        <w:t xml:space="preserve">V porovnaní s NP XIV-2 bude NP Prognózy vývoja na trhu práce predstavovať komplexnejšiu verziu prognóz jednak z pohľadu podrobnejších, obsiahlejších štatistických informácií a analytických poznatkov (podľa vybraných klasifikačných členení). Aplikácia kombinácie kvantitatívnych a kvalitatívnych metód bude sofistikovanejšia s využitím zahraničných skúseností  a realizovaná na báze dlhšie </w:t>
      </w:r>
      <w:proofErr w:type="spellStart"/>
      <w:r w:rsidRPr="000C0959">
        <w:rPr>
          <w:szCs w:val="24"/>
          <w:lang w:eastAsia="en-US"/>
        </w:rPr>
        <w:t>predikovaného</w:t>
      </w:r>
      <w:proofErr w:type="spellEnd"/>
      <w:r w:rsidRPr="000C0959">
        <w:rPr>
          <w:szCs w:val="24"/>
          <w:lang w:eastAsia="en-US"/>
        </w:rPr>
        <w:t xml:space="preserve"> obdobia. Syntéza týchto uvedených prístupov zabezpečí výrazné skvalitnenie a spresnenie prognóz vývoja na trhu práce. NP Prognózy vývoja na trhu práce zabezpečí získanie relevantných informácií v adekvátnom rozsahu, a to tak aj z hľadiska monitoringu požiadaviek zamestnávateľov, ako aj prognózovania očakávaného vývoja na trhu práce na báze zamestnaní a zručností tak ponuky práce ako aj dopytu a identifikácie nesúladu medzi dopytom a ponukou na trhu práce.</w:t>
      </w:r>
    </w:p>
    <w:p w:rsidR="00625D78" w:rsidRPr="000C0959" w:rsidRDefault="00625D78" w:rsidP="00625D78">
      <w:pPr>
        <w:autoSpaceDE w:val="0"/>
        <w:autoSpaceDN w:val="0"/>
        <w:adjustRightInd w:val="0"/>
        <w:spacing w:after="120"/>
        <w:jc w:val="both"/>
        <w:rPr>
          <w:szCs w:val="24"/>
          <w:lang w:eastAsia="en-US"/>
        </w:rPr>
      </w:pPr>
      <w:r w:rsidRPr="000C0959">
        <w:rPr>
          <w:szCs w:val="24"/>
          <w:lang w:eastAsia="en-US"/>
        </w:rPr>
        <w:t xml:space="preserve">Výsledky už zrealizovaného NP XIV-2 budú verifikované z aspektu aktuálnej situácie na trhu práce a využité v NP Prognózy vývoja na trhu práce. V žiadnom prípade však nebude dochádzať k duplicite financovania medzi NP XIV-2 a NP Prognózy vývoja na trhu práce. </w:t>
      </w:r>
    </w:p>
    <w:p w:rsidR="00625D78" w:rsidRPr="000C0959" w:rsidRDefault="00625D78" w:rsidP="00625D78">
      <w:pPr>
        <w:jc w:val="both"/>
        <w:rPr>
          <w:szCs w:val="24"/>
        </w:rPr>
      </w:pPr>
      <w:r w:rsidRPr="000C0959">
        <w:rPr>
          <w:szCs w:val="24"/>
        </w:rPr>
        <w:t>Z vyššie uvedeného vyplýva, že výstupy z projektu NP Prognózy vývoja na trhu práce v SR pri porovnaní s výstupmi NP XIV-2 Systém zisťovania vzniknutých a zaniknutých pracovných miest a prognózovanie potrieb trhu práce budú:</w:t>
      </w:r>
    </w:p>
    <w:p w:rsidR="00625D78" w:rsidRPr="000C0959" w:rsidRDefault="00625D78" w:rsidP="00553F08">
      <w:pPr>
        <w:pStyle w:val="Odsekzoznamu"/>
        <w:numPr>
          <w:ilvl w:val="0"/>
          <w:numId w:val="21"/>
        </w:numPr>
        <w:spacing w:after="200"/>
        <w:ind w:left="851" w:hanging="424"/>
        <w:jc w:val="both"/>
        <w:rPr>
          <w:b/>
          <w:szCs w:val="24"/>
        </w:rPr>
      </w:pPr>
      <w:r w:rsidRPr="000C0959">
        <w:rPr>
          <w:szCs w:val="24"/>
        </w:rPr>
        <w:t xml:space="preserve">na vyššej kvalitatívnej úrovni, </w:t>
      </w:r>
    </w:p>
    <w:p w:rsidR="00625D78" w:rsidRPr="000C0959" w:rsidRDefault="00625D78" w:rsidP="00553F08">
      <w:pPr>
        <w:pStyle w:val="Odsekzoznamu"/>
        <w:numPr>
          <w:ilvl w:val="0"/>
          <w:numId w:val="21"/>
        </w:numPr>
        <w:spacing w:after="200"/>
        <w:ind w:left="851" w:hanging="424"/>
        <w:jc w:val="both"/>
        <w:rPr>
          <w:b/>
          <w:szCs w:val="24"/>
        </w:rPr>
      </w:pPr>
      <w:r w:rsidRPr="000C0959">
        <w:rPr>
          <w:szCs w:val="24"/>
        </w:rPr>
        <w:t>v podrobnejšom členení (kraje a okresy, pododvetvia a podskupiny zamestnaní),</w:t>
      </w:r>
    </w:p>
    <w:p w:rsidR="00625D78" w:rsidRPr="000C0959" w:rsidRDefault="00625D78" w:rsidP="00553F08">
      <w:pPr>
        <w:pStyle w:val="Odsekzoznamu"/>
        <w:numPr>
          <w:ilvl w:val="0"/>
          <w:numId w:val="21"/>
        </w:numPr>
        <w:spacing w:after="200"/>
        <w:ind w:left="851" w:hanging="424"/>
        <w:jc w:val="both"/>
        <w:rPr>
          <w:b/>
          <w:szCs w:val="24"/>
        </w:rPr>
      </w:pPr>
      <w:r w:rsidRPr="000C0959">
        <w:rPr>
          <w:szCs w:val="24"/>
        </w:rPr>
        <w:t>so širším rozsahom vstupov (analytických poznatkov o vplyve rozhodujúcich faktorov) do jednotlivých prognóz,</w:t>
      </w:r>
    </w:p>
    <w:p w:rsidR="00625D78" w:rsidRPr="000C0959" w:rsidRDefault="00625D78" w:rsidP="00553F08">
      <w:pPr>
        <w:pStyle w:val="Odsekzoznamu"/>
        <w:numPr>
          <w:ilvl w:val="0"/>
          <w:numId w:val="21"/>
        </w:numPr>
        <w:spacing w:after="200"/>
        <w:ind w:left="851" w:hanging="424"/>
        <w:jc w:val="both"/>
        <w:rPr>
          <w:b/>
          <w:szCs w:val="24"/>
        </w:rPr>
      </w:pPr>
      <w:r w:rsidRPr="000C0959">
        <w:rPr>
          <w:szCs w:val="24"/>
        </w:rPr>
        <w:t>s vyššou prepojenosťou a zohľadnením rozhodujúcich faktorov ovplyvňujúcich vývoj trhu práce v SR a jednotlivých regiónoch,</w:t>
      </w:r>
    </w:p>
    <w:p w:rsidR="00625D78" w:rsidRPr="000C0959" w:rsidRDefault="00625D78" w:rsidP="00553F08">
      <w:pPr>
        <w:pStyle w:val="Odsekzoznamu"/>
        <w:numPr>
          <w:ilvl w:val="0"/>
          <w:numId w:val="21"/>
        </w:numPr>
        <w:spacing w:after="200"/>
        <w:ind w:left="851" w:hanging="424"/>
        <w:jc w:val="both"/>
        <w:rPr>
          <w:szCs w:val="24"/>
        </w:rPr>
      </w:pPr>
      <w:r w:rsidRPr="000C0959">
        <w:rPr>
          <w:szCs w:val="24"/>
        </w:rPr>
        <w:t>obohatené  o aktuálny monitoring požiadaviek a očakávaní významných reprezentatívnych zamestnávateľov na pracovnú silu (kvalifikačné zručnosti, kvantitatívne potreby, profesie)</w:t>
      </w:r>
      <w:r w:rsidR="00587ACD" w:rsidRPr="000C0959">
        <w:rPr>
          <w:szCs w:val="24"/>
        </w:rPr>
        <w:t>,</w:t>
      </w:r>
    </w:p>
    <w:p w:rsidR="00625D78" w:rsidRPr="000C0959" w:rsidRDefault="00625D78" w:rsidP="00553F08">
      <w:pPr>
        <w:pStyle w:val="Odsekzoznamu"/>
        <w:numPr>
          <w:ilvl w:val="0"/>
          <w:numId w:val="21"/>
        </w:numPr>
        <w:spacing w:after="200"/>
        <w:ind w:left="851" w:hanging="424"/>
        <w:jc w:val="both"/>
        <w:rPr>
          <w:b/>
          <w:szCs w:val="24"/>
        </w:rPr>
      </w:pPr>
      <w:r w:rsidRPr="000C0959">
        <w:rPr>
          <w:szCs w:val="24"/>
        </w:rPr>
        <w:t>početnejšie z dôvodu vyššej prepojenosti a zohľadnenia faktorov ako je demografia (doterajší a očakávaný vývoj ľudských zdrojov), vývoj zamestnanosti, reálnej uplatniteľnosti absolventov</w:t>
      </w:r>
      <w:r w:rsidRPr="000C0959">
        <w:rPr>
          <w:szCs w:val="24"/>
          <w:u w:val="single"/>
        </w:rPr>
        <w:t xml:space="preserve"> </w:t>
      </w:r>
      <w:r w:rsidRPr="000C0959">
        <w:rPr>
          <w:szCs w:val="24"/>
        </w:rPr>
        <w:t>na trhu práce (v ktorých zamestnaniach sa umiestňujú akí absolventi) a </w:t>
      </w:r>
      <w:proofErr w:type="spellStart"/>
      <w:r w:rsidRPr="000C0959">
        <w:rPr>
          <w:szCs w:val="24"/>
        </w:rPr>
        <w:t>sumarizácie</w:t>
      </w:r>
      <w:proofErr w:type="spellEnd"/>
      <w:r w:rsidRPr="000C0959">
        <w:rPr>
          <w:szCs w:val="24"/>
        </w:rPr>
        <w:t xml:space="preserve"> výsledkov formou návrhu odporúčaní pre </w:t>
      </w:r>
      <w:proofErr w:type="spellStart"/>
      <w:r w:rsidRPr="000C0959">
        <w:rPr>
          <w:szCs w:val="24"/>
        </w:rPr>
        <w:t>decíznu</w:t>
      </w:r>
      <w:proofErr w:type="spellEnd"/>
      <w:r w:rsidRPr="000C0959">
        <w:rPr>
          <w:szCs w:val="24"/>
        </w:rPr>
        <w:t xml:space="preserve"> sféru,</w:t>
      </w:r>
    </w:p>
    <w:p w:rsidR="00625D78" w:rsidRPr="000C0959" w:rsidRDefault="00625D78" w:rsidP="00553F08">
      <w:pPr>
        <w:pStyle w:val="Odsekzoznamu"/>
        <w:numPr>
          <w:ilvl w:val="0"/>
          <w:numId w:val="21"/>
        </w:numPr>
        <w:spacing w:after="200"/>
        <w:ind w:left="851" w:hanging="424"/>
        <w:jc w:val="both"/>
        <w:rPr>
          <w:b/>
          <w:szCs w:val="24"/>
        </w:rPr>
      </w:pPr>
      <w:r w:rsidRPr="000C0959">
        <w:rPr>
          <w:szCs w:val="24"/>
        </w:rPr>
        <w:t>prognózy podložené komplexnými analýzami,</w:t>
      </w:r>
    </w:p>
    <w:p w:rsidR="00625D78" w:rsidRPr="000C0959" w:rsidRDefault="00625D78" w:rsidP="00553F08">
      <w:pPr>
        <w:pStyle w:val="Odsekzoznamu"/>
        <w:numPr>
          <w:ilvl w:val="0"/>
          <w:numId w:val="21"/>
        </w:numPr>
        <w:spacing w:after="200"/>
        <w:ind w:left="851" w:hanging="424"/>
        <w:jc w:val="both"/>
        <w:rPr>
          <w:b/>
          <w:szCs w:val="24"/>
        </w:rPr>
      </w:pPr>
      <w:r w:rsidRPr="000C0959">
        <w:rPr>
          <w:szCs w:val="24"/>
        </w:rPr>
        <w:t>poskytovať komplexnejší pohľad na vývoj regionálnych trhov práce,</w:t>
      </w:r>
    </w:p>
    <w:p w:rsidR="00886525" w:rsidRPr="000C0959" w:rsidRDefault="00886525" w:rsidP="00553F08">
      <w:pPr>
        <w:pStyle w:val="Odsekzoznamu"/>
        <w:numPr>
          <w:ilvl w:val="0"/>
          <w:numId w:val="21"/>
        </w:numPr>
        <w:spacing w:after="200"/>
        <w:ind w:left="851" w:hanging="424"/>
        <w:jc w:val="both"/>
        <w:rPr>
          <w:b/>
          <w:szCs w:val="24"/>
        </w:rPr>
      </w:pPr>
      <w:r w:rsidRPr="000C0959">
        <w:rPr>
          <w:szCs w:val="24"/>
        </w:rPr>
        <w:t>realizované na báze kvalifikovanejšieho prognostického inštrumentária (kombinácia kvantitatívnych metód (</w:t>
      </w:r>
      <w:proofErr w:type="spellStart"/>
      <w:r w:rsidRPr="000C0959">
        <w:rPr>
          <w:szCs w:val="24"/>
        </w:rPr>
        <w:t>ekonometrických</w:t>
      </w:r>
      <w:proofErr w:type="spellEnd"/>
      <w:r w:rsidRPr="000C0959">
        <w:rPr>
          <w:szCs w:val="24"/>
        </w:rPr>
        <w:t xml:space="preserve"> metód) a kvalitatívnych (expertných metód) a skúseností s obdobnými metódami v zahraničí).</w:t>
      </w:r>
    </w:p>
    <w:p w:rsidR="00FC4141" w:rsidRPr="000C0959" w:rsidRDefault="00FC4141" w:rsidP="00FC4141">
      <w:pPr>
        <w:autoSpaceDE w:val="0"/>
        <w:autoSpaceDN w:val="0"/>
        <w:adjustRightInd w:val="0"/>
        <w:spacing w:after="120"/>
        <w:jc w:val="both"/>
        <w:rPr>
          <w:szCs w:val="24"/>
          <w:lang w:eastAsia="en-US"/>
        </w:rPr>
      </w:pPr>
      <w:r w:rsidRPr="000C0959">
        <w:rPr>
          <w:szCs w:val="24"/>
          <w:lang w:eastAsia="en-US"/>
        </w:rPr>
        <w:t>Tento projekt je unikátny tým, že bude pracovať so štatistickými informáciami ÚPSVR (Informačný systém služieb zamestnanosti), ktorý jediný z orgánov štátnej správy disponuje dátami vo vyššie uvedenej štruktúre. Súčasne budú tieto štatistické informácie rozšírené o štatistické dáta dodávateľa, ktorý tiež má v tejto oblasti jedinečné postavenie a skúsenosti. Dodávateľ zároveň disponuje zodpovedajúcou softwarovou podporou vytvárajúcou predpoklady prepojenia oboch systémov. Dodávateľ má autorské práva k systému Informačný systém o cene práce a Integrovaný systém typových pozícií, ktoré obsahujú unikátne štatistické dáta nevyhnutné pre kvalitné a relevantné výsledky prognóz. Takýmito dátami iné inštitúcie v súčasnosti nedisponujú. Pridaná hodnota ÚPSVR bude spočívať v príprave a poskytnutí vstupných dát z hľadiska požadovanej špecifikácie dodávateľom a v odborných konzultáciách a riešení vybraných odborných problémov.</w:t>
      </w:r>
    </w:p>
    <w:p w:rsidR="00CF0364" w:rsidRPr="000C0959" w:rsidRDefault="00CF0364" w:rsidP="00CF0364">
      <w:pPr>
        <w:autoSpaceDE w:val="0"/>
        <w:autoSpaceDN w:val="0"/>
        <w:adjustRightInd w:val="0"/>
        <w:spacing w:after="120"/>
        <w:jc w:val="both"/>
        <w:rPr>
          <w:szCs w:val="24"/>
          <w:lang w:eastAsia="en-US"/>
        </w:rPr>
      </w:pPr>
      <w:r w:rsidRPr="000C0959">
        <w:rPr>
          <w:szCs w:val="24"/>
          <w:lang w:eastAsia="en-US"/>
        </w:rPr>
        <w:t xml:space="preserve">Výsledky sa predovšetkým využijú pri optimalizácii siete škôl, aktualizácii zoznamu učebných a študijných odborov (nakoľko ÚPSVR je členom Rady Vlády SR pre odborné vzdelávanie ako aj členom Odbornej komisie pre učebné a študijné odbory MŠVVŠ SR, kde majú zastúpenie aj stavovské a profesijné organizácie), </w:t>
      </w:r>
      <w:r w:rsidRPr="000C0959">
        <w:t xml:space="preserve">MPSVR SR, MŠVVŠ SR, ŠÚ SR, </w:t>
      </w:r>
      <w:proofErr w:type="spellStart"/>
      <w:r w:rsidRPr="000C0959">
        <w:t>Eurostat</w:t>
      </w:r>
      <w:proofErr w:type="spellEnd"/>
      <w:r w:rsidRPr="000C0959">
        <w:t>, Európska Komisia, odvetvové rezorty a im podriadené inštitúcie, sociálni partneri a širšia odborná verejnosť</w:t>
      </w:r>
      <w:r w:rsidRPr="000C0959">
        <w:rPr>
          <w:szCs w:val="24"/>
          <w:lang w:eastAsia="en-US"/>
        </w:rPr>
        <w:t>, v sektorových radách Národnej sústavy povolaní, vo výboroch pre otázky zamestnanosti na jednotlivých úradoch práce, sociálnych vecí a rodiny, v medzinárodnom monitoringu európskeho trhu práce „</w:t>
      </w:r>
      <w:proofErr w:type="spellStart"/>
      <w:r w:rsidRPr="000C0959">
        <w:rPr>
          <w:szCs w:val="24"/>
          <w:lang w:eastAsia="en-US"/>
        </w:rPr>
        <w:t>SkillsPanorama</w:t>
      </w:r>
      <w:proofErr w:type="spellEnd"/>
      <w:r w:rsidRPr="000C0959">
        <w:rPr>
          <w:szCs w:val="24"/>
          <w:lang w:eastAsia="en-US"/>
        </w:rPr>
        <w:t>“ a pod.</w:t>
      </w:r>
    </w:p>
    <w:p w:rsidR="00CD6E41" w:rsidRPr="000C0959" w:rsidRDefault="00CD6E41" w:rsidP="00CD6E41">
      <w:pPr>
        <w:autoSpaceDE w:val="0"/>
        <w:autoSpaceDN w:val="0"/>
        <w:adjustRightInd w:val="0"/>
        <w:contextualSpacing/>
        <w:jc w:val="both"/>
        <w:rPr>
          <w:b/>
          <w:szCs w:val="24"/>
        </w:rPr>
      </w:pPr>
      <w:r w:rsidRPr="000C0959">
        <w:rPr>
          <w:b/>
          <w:szCs w:val="24"/>
        </w:rPr>
        <w:t xml:space="preserve">Nadväznosť národného projektu -  legislatíva, medzinárodné záväzky, strategické dokumenty </w:t>
      </w:r>
    </w:p>
    <w:p w:rsidR="00CD6E41" w:rsidRPr="000C0959" w:rsidRDefault="00CD6E41" w:rsidP="00CD6E41">
      <w:pPr>
        <w:autoSpaceDE w:val="0"/>
        <w:autoSpaceDN w:val="0"/>
        <w:adjustRightInd w:val="0"/>
        <w:contextualSpacing/>
        <w:jc w:val="both"/>
        <w:rPr>
          <w:szCs w:val="24"/>
        </w:rPr>
      </w:pPr>
      <w:r w:rsidRPr="000C0959">
        <w:rPr>
          <w:szCs w:val="24"/>
        </w:rPr>
        <w:t>Obsahové zameranie projektu je v súlade s nasledovnými dokumentmi (bližšie je popísané v Prílohe č. 1):</w:t>
      </w:r>
    </w:p>
    <w:p w:rsidR="00CD6E41" w:rsidRPr="000C0959" w:rsidRDefault="00CD6E41" w:rsidP="00CD6E41">
      <w:pPr>
        <w:pStyle w:val="Odsekzoznamu"/>
        <w:numPr>
          <w:ilvl w:val="0"/>
          <w:numId w:val="5"/>
        </w:numPr>
        <w:autoSpaceDE w:val="0"/>
        <w:autoSpaceDN w:val="0"/>
        <w:adjustRightInd w:val="0"/>
        <w:jc w:val="both"/>
        <w:rPr>
          <w:szCs w:val="24"/>
        </w:rPr>
      </w:pPr>
      <w:r w:rsidRPr="000C0959">
        <w:rPr>
          <w:bCs/>
        </w:rPr>
        <w:t xml:space="preserve">Zákon č. 5/2004 o službách zamestnanosti a o zmene a doplnení niektorých zákonov </w:t>
      </w:r>
      <w:r w:rsidRPr="000C0959">
        <w:t>v znení  neskorších predpisov,</w:t>
      </w:r>
    </w:p>
    <w:p w:rsidR="00CD6E41" w:rsidRPr="000C0959" w:rsidRDefault="00CD6E41" w:rsidP="00CD6E41">
      <w:pPr>
        <w:pStyle w:val="Odsekzoznamu"/>
        <w:numPr>
          <w:ilvl w:val="0"/>
          <w:numId w:val="5"/>
        </w:numPr>
        <w:autoSpaceDE w:val="0"/>
        <w:autoSpaceDN w:val="0"/>
        <w:adjustRightInd w:val="0"/>
        <w:jc w:val="both"/>
        <w:rPr>
          <w:szCs w:val="24"/>
        </w:rPr>
      </w:pPr>
      <w:r w:rsidRPr="000C0959">
        <w:rPr>
          <w:bCs/>
        </w:rPr>
        <w:t xml:space="preserve">Zákone o celoživotnom vzdelávaní a o zmene a doplnení niektorých zákonov č. 568/2009 </w:t>
      </w:r>
      <w:proofErr w:type="spellStart"/>
      <w:r w:rsidRPr="000C0959">
        <w:rPr>
          <w:bCs/>
        </w:rPr>
        <w:t>Z.z</w:t>
      </w:r>
      <w:proofErr w:type="spellEnd"/>
      <w:r w:rsidRPr="000C0959">
        <w:rPr>
          <w:bCs/>
        </w:rPr>
        <w:t>.,</w:t>
      </w:r>
    </w:p>
    <w:p w:rsidR="00CD6E41" w:rsidRPr="000C0959" w:rsidRDefault="00CD6E41" w:rsidP="00CD6E41">
      <w:pPr>
        <w:pStyle w:val="Odsekzoznamu"/>
        <w:numPr>
          <w:ilvl w:val="0"/>
          <w:numId w:val="5"/>
        </w:numPr>
        <w:autoSpaceDE w:val="0"/>
        <w:autoSpaceDN w:val="0"/>
        <w:adjustRightInd w:val="0"/>
        <w:jc w:val="both"/>
        <w:rPr>
          <w:szCs w:val="24"/>
        </w:rPr>
      </w:pPr>
      <w:r w:rsidRPr="000C0959">
        <w:rPr>
          <w:bCs/>
        </w:rPr>
        <w:t xml:space="preserve">Zákon o odbornom vzdelávaní a príprave a o zmene a doplnení niektorých zákonov č. 324/2012, ktorým sa mení a dopĺňa zákon č.184/2009 </w:t>
      </w:r>
      <w:proofErr w:type="spellStart"/>
      <w:r w:rsidRPr="000C0959">
        <w:rPr>
          <w:bCs/>
        </w:rPr>
        <w:t>Z.z</w:t>
      </w:r>
      <w:proofErr w:type="spellEnd"/>
      <w:r w:rsidRPr="000C0959">
        <w:rPr>
          <w:bCs/>
        </w:rPr>
        <w:t>.,</w:t>
      </w:r>
    </w:p>
    <w:p w:rsidR="00CD6E41" w:rsidRPr="000C0959" w:rsidRDefault="00CD6E41" w:rsidP="00CD6E41">
      <w:pPr>
        <w:pStyle w:val="Odsekzoznamu"/>
        <w:numPr>
          <w:ilvl w:val="0"/>
          <w:numId w:val="5"/>
        </w:numPr>
        <w:autoSpaceDE w:val="0"/>
        <w:autoSpaceDN w:val="0"/>
        <w:adjustRightInd w:val="0"/>
        <w:jc w:val="both"/>
        <w:rPr>
          <w:szCs w:val="24"/>
        </w:rPr>
      </w:pPr>
      <w:r w:rsidRPr="000C0959">
        <w:rPr>
          <w:rFonts w:cs="Calibri"/>
          <w:szCs w:val="24"/>
        </w:rPr>
        <w:t>Programové vyhlásenie vlády SR,</w:t>
      </w:r>
    </w:p>
    <w:p w:rsidR="00CD6E41" w:rsidRPr="000C0959" w:rsidRDefault="00CD6E41" w:rsidP="00CD6E41">
      <w:pPr>
        <w:pStyle w:val="Odsekzoznamu"/>
        <w:numPr>
          <w:ilvl w:val="0"/>
          <w:numId w:val="5"/>
        </w:numPr>
        <w:autoSpaceDE w:val="0"/>
        <w:autoSpaceDN w:val="0"/>
        <w:adjustRightInd w:val="0"/>
        <w:jc w:val="both"/>
        <w:rPr>
          <w:szCs w:val="24"/>
        </w:rPr>
      </w:pPr>
      <w:r w:rsidRPr="000C0959">
        <w:rPr>
          <w:rFonts w:cs="Calibri"/>
          <w:szCs w:val="24"/>
        </w:rPr>
        <w:t xml:space="preserve">Stratégia Európa 2020 (Stratégia na zabezpečenie inteligentného, udržateľného a </w:t>
      </w:r>
      <w:proofErr w:type="spellStart"/>
      <w:r w:rsidRPr="000C0959">
        <w:rPr>
          <w:rFonts w:cs="Calibri"/>
          <w:szCs w:val="24"/>
        </w:rPr>
        <w:t>inkluzívneho</w:t>
      </w:r>
      <w:proofErr w:type="spellEnd"/>
      <w:r w:rsidRPr="000C0959">
        <w:rPr>
          <w:rFonts w:cs="Calibri"/>
          <w:szCs w:val="24"/>
        </w:rPr>
        <w:t xml:space="preserve"> rastu) zo dňa 3.3. 2010 (KOM(2010) 2020),</w:t>
      </w:r>
    </w:p>
    <w:p w:rsidR="00CD6E41" w:rsidRPr="000C0959" w:rsidRDefault="00CD6E41" w:rsidP="00CD6E41">
      <w:pPr>
        <w:pStyle w:val="Odsekzoznamu"/>
        <w:numPr>
          <w:ilvl w:val="0"/>
          <w:numId w:val="5"/>
        </w:numPr>
        <w:autoSpaceDE w:val="0"/>
        <w:autoSpaceDN w:val="0"/>
        <w:adjustRightInd w:val="0"/>
        <w:jc w:val="both"/>
        <w:rPr>
          <w:szCs w:val="24"/>
        </w:rPr>
      </w:pPr>
      <w:r w:rsidRPr="000C0959">
        <w:rPr>
          <w:rFonts w:cs="Calibri"/>
          <w:szCs w:val="24"/>
        </w:rPr>
        <w:t>Program pre nové zručnosti a nové pracovné miesta: Európsky príspevok k plnej zamestnanosti zo dňa 23. novembra 2010 (KOM(2010) 682),</w:t>
      </w:r>
    </w:p>
    <w:p w:rsidR="00CD6E41" w:rsidRPr="000C0959" w:rsidRDefault="00CD6E41" w:rsidP="00CD6E41">
      <w:pPr>
        <w:pStyle w:val="Odsekzoznamu"/>
        <w:numPr>
          <w:ilvl w:val="0"/>
          <w:numId w:val="5"/>
        </w:numPr>
        <w:autoSpaceDE w:val="0"/>
        <w:autoSpaceDN w:val="0"/>
        <w:adjustRightInd w:val="0"/>
        <w:jc w:val="both"/>
        <w:rPr>
          <w:szCs w:val="24"/>
        </w:rPr>
      </w:pPr>
      <w:r w:rsidRPr="000C0959">
        <w:rPr>
          <w:rFonts w:cs="Calibri"/>
          <w:szCs w:val="24"/>
        </w:rPr>
        <w:t>Rozhodnutie Rady o usmerneniach pre politiky zamestnanosti členských štátov zo dňa 26. apríla 2012 (2011/238/EÚ),</w:t>
      </w:r>
    </w:p>
    <w:p w:rsidR="00CD6E41" w:rsidRPr="000C0959" w:rsidRDefault="00CD6E41" w:rsidP="00CD6E41">
      <w:pPr>
        <w:pStyle w:val="Odsekzoznamu"/>
        <w:numPr>
          <w:ilvl w:val="0"/>
          <w:numId w:val="5"/>
        </w:numPr>
        <w:autoSpaceDE w:val="0"/>
        <w:autoSpaceDN w:val="0"/>
        <w:adjustRightInd w:val="0"/>
        <w:jc w:val="both"/>
        <w:rPr>
          <w:szCs w:val="24"/>
        </w:rPr>
      </w:pPr>
      <w:r w:rsidRPr="000C0959">
        <w:rPr>
          <w:rFonts w:cs="Calibri"/>
          <w:szCs w:val="24"/>
        </w:rPr>
        <w:t>Odporúčania Rady týkajúce sa Národného programu reforiem Slovenska na rok 2012, ktorými sa predkladá stanovisko rady k Programu stability Slovenska na roky 2012 – 2015 zo dňa 6. júla 2012 (11271/12),</w:t>
      </w:r>
    </w:p>
    <w:p w:rsidR="00CD6E41" w:rsidRPr="000C0959" w:rsidRDefault="00CD6E41" w:rsidP="00CD6E41">
      <w:pPr>
        <w:pStyle w:val="Odsekzoznamu"/>
        <w:numPr>
          <w:ilvl w:val="0"/>
          <w:numId w:val="5"/>
        </w:numPr>
        <w:autoSpaceDE w:val="0"/>
        <w:autoSpaceDN w:val="0"/>
        <w:adjustRightInd w:val="0"/>
        <w:jc w:val="both"/>
        <w:rPr>
          <w:szCs w:val="24"/>
        </w:rPr>
      </w:pPr>
      <w:r w:rsidRPr="000C0959">
        <w:rPr>
          <w:rFonts w:cs="Calibri"/>
          <w:szCs w:val="24"/>
        </w:rPr>
        <w:t>Iniciatíva Európskej komisie Príležitosti pre mladých zo dňa 20. decembra 2010 (KOM(2011) 933).</w:t>
      </w:r>
    </w:p>
    <w:p w:rsidR="00CD6E41" w:rsidRPr="000C0959" w:rsidRDefault="00CD6E41" w:rsidP="00CD6E41">
      <w:pPr>
        <w:autoSpaceDE w:val="0"/>
        <w:autoSpaceDN w:val="0"/>
        <w:adjustRightInd w:val="0"/>
        <w:spacing w:after="120"/>
        <w:jc w:val="both"/>
        <w:rPr>
          <w:sz w:val="20"/>
          <w:u w:val="single"/>
        </w:rPr>
      </w:pPr>
    </w:p>
    <w:p w:rsidR="00CD6E41" w:rsidRPr="000C0959" w:rsidRDefault="00CD6E41" w:rsidP="00CD6E41">
      <w:pPr>
        <w:jc w:val="both"/>
        <w:rPr>
          <w:b/>
          <w:sz w:val="20"/>
          <w:u w:val="single"/>
        </w:rPr>
      </w:pPr>
      <w:r w:rsidRPr="000C0959">
        <w:rPr>
          <w:b/>
          <w:sz w:val="20"/>
          <w:u w:val="single"/>
        </w:rPr>
        <w:t>CIEĽOVÉ SKUPINY A ICH POTREBY:</w:t>
      </w:r>
    </w:p>
    <w:p w:rsidR="00CD6E41" w:rsidRPr="000C0959" w:rsidRDefault="00CD6E41" w:rsidP="00CD6E41">
      <w:pPr>
        <w:jc w:val="both"/>
        <w:rPr>
          <w:szCs w:val="24"/>
        </w:rPr>
      </w:pPr>
    </w:p>
    <w:p w:rsidR="00CD6E41" w:rsidRPr="000C0959" w:rsidRDefault="00CD6E41" w:rsidP="00B740BB">
      <w:pPr>
        <w:jc w:val="both"/>
        <w:rPr>
          <w:szCs w:val="24"/>
          <w:lang w:eastAsia="en-US"/>
        </w:rPr>
      </w:pPr>
      <w:r w:rsidRPr="000C0959">
        <w:rPr>
          <w:bCs/>
        </w:rPr>
        <w:t xml:space="preserve">Cieľovými skupinami projektu sú </w:t>
      </w:r>
      <w:r w:rsidRPr="000C0959">
        <w:t xml:space="preserve">štátni poskytovatelia služieb zamestnanosti, neštátni poskytovatelia služieb zamestnanosti, </w:t>
      </w:r>
      <w:r w:rsidRPr="000C0959">
        <w:rPr>
          <w:lang w:eastAsia="en-US"/>
        </w:rPr>
        <w:t xml:space="preserve">MPSVR SR a </w:t>
      </w:r>
      <w:r w:rsidRPr="000C0959">
        <w:rPr>
          <w:szCs w:val="24"/>
          <w:lang w:eastAsia="en-US"/>
        </w:rPr>
        <w:t xml:space="preserve">MŠVVŠ SR ako tvorcovia politík v oblasti zamestnanosti a v oblasti vzdelávania. </w:t>
      </w:r>
    </w:p>
    <w:p w:rsidR="00CD6E41" w:rsidRPr="000C0959" w:rsidRDefault="00CD6E41" w:rsidP="00553F08">
      <w:pPr>
        <w:ind w:firstLine="426"/>
        <w:jc w:val="both"/>
        <w:rPr>
          <w:szCs w:val="24"/>
        </w:rPr>
      </w:pPr>
    </w:p>
    <w:p w:rsidR="00CD6E41" w:rsidRPr="000C0959" w:rsidRDefault="00CD6E41" w:rsidP="00CD6E41">
      <w:pPr>
        <w:spacing w:after="240"/>
        <w:jc w:val="both"/>
      </w:pPr>
      <w:r w:rsidRPr="000C0959">
        <w:t xml:space="preserve">Dlhodobo existujúci problém na trhu práce, nesúlad medzi ponukou kvalifikačných zručností a dopytom po nich a jeho vyriešenie, si vyžaduje permanentné usmerňovanie a prispôsobovanie kvalifikácií, ktoré musia byť aktuálne získavané z požiadaviek trhu práce a podnikateľskej sféry. Preto je potrebné zabezpečenie relevantných informácií pre cieľové skupiny, ktoré im vytvoria priestor pre špecifické formulovanie stratégií a tvorby politík trhu práce, ako aj </w:t>
      </w:r>
      <w:proofErr w:type="spellStart"/>
      <w:r w:rsidRPr="000C0959">
        <w:t>zosúlaďovanie</w:t>
      </w:r>
      <w:proofErr w:type="spellEnd"/>
      <w:r w:rsidRPr="000C0959">
        <w:t xml:space="preserve"> vzdelávacích systémov a požiadaviek trhu práce. </w:t>
      </w:r>
    </w:p>
    <w:p w:rsidR="00CD6E41" w:rsidRPr="000C0959" w:rsidRDefault="00CD6E41" w:rsidP="00CD6E41">
      <w:pPr>
        <w:spacing w:before="240" w:after="240"/>
        <w:jc w:val="both"/>
      </w:pPr>
      <w:r w:rsidRPr="000C0959">
        <w:t>Konečné výsledky dosiahnuté realizáciou projektu cieľové skupiny využijú najmä vo svojich rozhodnutiach v oblasti optimalizácie siete škôl, aktualizácii zoznamu učebných a študijných odborov nad rámec potrieb trhu práce a učebných a študijných odborov s nedostatkom absolventov pre trh práce. Prispejú k vyššej účinnosti a efektívnosti uplatňovania aktívnych opatrení na trhu práce.</w:t>
      </w:r>
    </w:p>
    <w:p w:rsidR="00CD6E41" w:rsidRPr="000C0959" w:rsidRDefault="00CD6E41" w:rsidP="00CD6E41">
      <w:pPr>
        <w:jc w:val="both"/>
      </w:pPr>
      <w:r w:rsidRPr="000C0959">
        <w:t>Výsledky projektu prispejú k vyššej účinnosti uplatniteľnosti absolventov stredných a vysokých škôl na trhu práce a významnou mierou prispejú k eliminácii dlhodobo existujúceho nesúladu medzi študijným a odborným obsahom vzdelávacích systémov a aktuálnymi požiadavkami zamestnávateľskej sféry. Zároveň tieto výsledky budú výrazne determinovať aj súlad medzi štruktúrou uchádzačov o zamestnanie a štruktúrou nových a voľných pracovných miest.</w:t>
      </w:r>
    </w:p>
    <w:p w:rsidR="00CD6E41" w:rsidRPr="000C0959" w:rsidRDefault="00CD6E41" w:rsidP="00CD6E41">
      <w:pPr>
        <w:jc w:val="both"/>
      </w:pPr>
      <w:r w:rsidRPr="000C0959">
        <w:t>Výstupy projektu vytvoria predpoklady pre plnenie úloh MPSVR SR a UPSVAR, ktoré im vyplývajú z legislatívneho rámca SR a EÚ (Príloha č. 1).</w:t>
      </w:r>
    </w:p>
    <w:p w:rsidR="00CD6E41" w:rsidRPr="000C0959" w:rsidRDefault="00CD6E41" w:rsidP="00CD6E41">
      <w:pPr>
        <w:jc w:val="both"/>
      </w:pPr>
      <w:r w:rsidRPr="000C0959">
        <w:t>V konečnom dôsledku eliminácia nerovnovážnych tendencií na trhu práce sa premietne do zvýšenia zamestnanosti</w:t>
      </w:r>
      <w:r w:rsidR="00226A13" w:rsidRPr="000C0959">
        <w:t>,</w:t>
      </w:r>
      <w:r w:rsidRPr="000C0959">
        <w:t xml:space="preserve"> resp. zníženia nezamestnanosti.</w:t>
      </w:r>
    </w:p>
    <w:p w:rsidR="00CD6E41" w:rsidRPr="000C0959" w:rsidRDefault="00CD6E41" w:rsidP="00CD6E41">
      <w:pPr>
        <w:ind w:left="68"/>
        <w:jc w:val="both"/>
        <w:rPr>
          <w:b/>
          <w:bCs/>
          <w:szCs w:val="24"/>
        </w:rPr>
      </w:pPr>
    </w:p>
    <w:p w:rsidR="00CD6E41" w:rsidRPr="000C0959" w:rsidRDefault="00CD6E41" w:rsidP="00CD6E41">
      <w:pPr>
        <w:ind w:left="68"/>
        <w:jc w:val="both"/>
        <w:rPr>
          <w:b/>
          <w:bCs/>
          <w:szCs w:val="24"/>
        </w:rPr>
      </w:pPr>
      <w:r w:rsidRPr="000C0959">
        <w:rPr>
          <w:b/>
          <w:bCs/>
          <w:szCs w:val="24"/>
        </w:rPr>
        <w:t>Sekundárnymi užívateľmi výsledkov projektu sú</w:t>
      </w:r>
    </w:p>
    <w:p w:rsidR="00CD6E41" w:rsidRPr="000C0959" w:rsidRDefault="00CD6E41" w:rsidP="00CD6E41">
      <w:pPr>
        <w:pStyle w:val="Odsekzoznamu"/>
        <w:numPr>
          <w:ilvl w:val="0"/>
          <w:numId w:val="20"/>
        </w:numPr>
        <w:autoSpaceDE w:val="0"/>
        <w:autoSpaceDN w:val="0"/>
        <w:adjustRightInd w:val="0"/>
        <w:spacing w:after="120"/>
        <w:jc w:val="both"/>
        <w:rPr>
          <w:szCs w:val="24"/>
          <w:lang w:eastAsia="en-US"/>
        </w:rPr>
      </w:pPr>
      <w:r w:rsidRPr="000C0959">
        <w:rPr>
          <w:szCs w:val="24"/>
          <w:lang w:eastAsia="en-US"/>
        </w:rPr>
        <w:t>zamestnanci verejných služieb zamestnanosti,</w:t>
      </w:r>
    </w:p>
    <w:p w:rsidR="00CD6E41" w:rsidRPr="000C0959" w:rsidRDefault="00CD6E41" w:rsidP="00CD6E41">
      <w:pPr>
        <w:pStyle w:val="Odsekzoznamu"/>
        <w:numPr>
          <w:ilvl w:val="0"/>
          <w:numId w:val="20"/>
        </w:numPr>
        <w:autoSpaceDE w:val="0"/>
        <w:autoSpaceDN w:val="0"/>
        <w:adjustRightInd w:val="0"/>
        <w:jc w:val="both"/>
        <w:rPr>
          <w:szCs w:val="24"/>
          <w:lang w:eastAsia="en-US"/>
        </w:rPr>
      </w:pPr>
      <w:r w:rsidRPr="000C0959">
        <w:rPr>
          <w:szCs w:val="24"/>
          <w:lang w:eastAsia="en-US"/>
        </w:rPr>
        <w:t>zamestnanci neštátnych služieb zamestnanosti,</w:t>
      </w:r>
      <w:r w:rsidRPr="000C0959">
        <w:rPr>
          <w:szCs w:val="24"/>
        </w:rPr>
        <w:t xml:space="preserve"> </w:t>
      </w:r>
    </w:p>
    <w:p w:rsidR="00CD6E41" w:rsidRPr="000C0959" w:rsidRDefault="00CD6E41" w:rsidP="00CD6E41">
      <w:pPr>
        <w:pStyle w:val="Odsekzoznamu"/>
        <w:numPr>
          <w:ilvl w:val="0"/>
          <w:numId w:val="20"/>
        </w:numPr>
        <w:autoSpaceDE w:val="0"/>
        <w:autoSpaceDN w:val="0"/>
        <w:adjustRightInd w:val="0"/>
        <w:jc w:val="both"/>
        <w:rPr>
          <w:szCs w:val="24"/>
          <w:lang w:eastAsia="en-US"/>
        </w:rPr>
      </w:pPr>
      <w:r w:rsidRPr="000C0959">
        <w:rPr>
          <w:szCs w:val="24"/>
          <w:lang w:eastAsia="en-US"/>
        </w:rPr>
        <w:t>Ústredie PSVR a jednotlivé úrady práce, sociálnych vecí a rodiny (najmä výbory pre otázky zamestnanosti),</w:t>
      </w:r>
    </w:p>
    <w:p w:rsidR="00CD6E41" w:rsidRPr="000C0959" w:rsidRDefault="00CD6E41" w:rsidP="00CD6E41">
      <w:pPr>
        <w:pStyle w:val="Odsekzoznamu"/>
        <w:numPr>
          <w:ilvl w:val="0"/>
          <w:numId w:val="20"/>
        </w:numPr>
        <w:autoSpaceDE w:val="0"/>
        <w:autoSpaceDN w:val="0"/>
        <w:adjustRightInd w:val="0"/>
        <w:jc w:val="both"/>
        <w:rPr>
          <w:szCs w:val="24"/>
          <w:lang w:eastAsia="en-US"/>
        </w:rPr>
      </w:pPr>
      <w:r w:rsidRPr="000C0959">
        <w:rPr>
          <w:szCs w:val="24"/>
          <w:lang w:eastAsia="en-US"/>
        </w:rPr>
        <w:t>Ústav informácií a prognóz školstva (ďalej len UIPŠ), Štátny inštitút odborného vzdelávania (ďalej len ŠIOV),</w:t>
      </w:r>
    </w:p>
    <w:p w:rsidR="00CD6E41" w:rsidRPr="000C0959" w:rsidRDefault="00CD6E41" w:rsidP="00CD6E41">
      <w:pPr>
        <w:pStyle w:val="Odsekzoznamu"/>
        <w:numPr>
          <w:ilvl w:val="0"/>
          <w:numId w:val="20"/>
        </w:numPr>
        <w:autoSpaceDE w:val="0"/>
        <w:autoSpaceDN w:val="0"/>
        <w:adjustRightInd w:val="0"/>
        <w:jc w:val="both"/>
        <w:rPr>
          <w:szCs w:val="24"/>
          <w:lang w:eastAsia="en-US"/>
        </w:rPr>
      </w:pPr>
      <w:r w:rsidRPr="000C0959">
        <w:rPr>
          <w:szCs w:val="24"/>
          <w:lang w:eastAsia="en-US"/>
        </w:rPr>
        <w:t>Odvetvové rezorty a ich podriadené inštitúcie (Inštitút finančnej politiky, Inštitút hospodárskej politiky a pod.),</w:t>
      </w:r>
    </w:p>
    <w:p w:rsidR="00CD6E41" w:rsidRPr="000C0959" w:rsidRDefault="00CD6E41" w:rsidP="00CD6E41">
      <w:pPr>
        <w:pStyle w:val="Odsekzoznamu"/>
        <w:numPr>
          <w:ilvl w:val="0"/>
          <w:numId w:val="20"/>
        </w:numPr>
        <w:autoSpaceDE w:val="0"/>
        <w:autoSpaceDN w:val="0"/>
        <w:adjustRightInd w:val="0"/>
        <w:jc w:val="both"/>
        <w:rPr>
          <w:szCs w:val="24"/>
          <w:lang w:eastAsia="en-US"/>
        </w:rPr>
      </w:pPr>
      <w:r w:rsidRPr="000C0959">
        <w:rPr>
          <w:szCs w:val="24"/>
          <w:lang w:eastAsia="en-US"/>
        </w:rPr>
        <w:t>Sociálni partneri (Konfederácia odborových zväzov (ďalej len KOZ), stavovské a profesijné organizácie (Republiková únia zamestnávateľov SR, Asociácia zamestnávateľských zväzov a združení SR, Slovenská obchodná a priemyselná komora a pod.),</w:t>
      </w:r>
    </w:p>
    <w:p w:rsidR="00CD6E41" w:rsidRPr="000C0959" w:rsidRDefault="00CD6E41" w:rsidP="00CD6E41">
      <w:pPr>
        <w:pStyle w:val="Odsekzoznamu"/>
        <w:numPr>
          <w:ilvl w:val="0"/>
          <w:numId w:val="20"/>
        </w:numPr>
        <w:jc w:val="both"/>
        <w:rPr>
          <w:szCs w:val="24"/>
          <w:lang w:eastAsia="en-US"/>
        </w:rPr>
      </w:pPr>
      <w:r w:rsidRPr="000C0959">
        <w:rPr>
          <w:szCs w:val="24"/>
          <w:lang w:eastAsia="en-US"/>
        </w:rPr>
        <w:t>Sektorové rady Národnej sústavy povolaní a Národnej sústavy kvalifikácií (Sektorové rady sú dobrovoľné nezávislé profesijné združenia odborníkov. Tvoria ich zástupcovia orgánov štátnej správy, orgánov územnej samosprávy, zástupcovia zamestnávateľov, zástupcovia zamestnancov, vzdelávacích a ďalších inštitúcií. Sektorové rady reprezentujú monitorovanie potrieb trhu práce v príslušných sektoroch národného hospodárstva a ich prenos do systému celoživotného vzdelávania</w:t>
      </w:r>
      <w:r w:rsidR="00155908" w:rsidRPr="000C0959">
        <w:rPr>
          <w:szCs w:val="24"/>
          <w:lang w:eastAsia="en-US"/>
        </w:rPr>
        <w:t>.),</w:t>
      </w:r>
    </w:p>
    <w:p w:rsidR="00CD6E41" w:rsidRPr="000C0959" w:rsidRDefault="00CD6E41" w:rsidP="00CD6E41">
      <w:pPr>
        <w:pStyle w:val="Odsekzoznamu"/>
        <w:numPr>
          <w:ilvl w:val="0"/>
          <w:numId w:val="20"/>
        </w:numPr>
        <w:autoSpaceDE w:val="0"/>
        <w:autoSpaceDN w:val="0"/>
        <w:adjustRightInd w:val="0"/>
        <w:jc w:val="both"/>
        <w:rPr>
          <w:szCs w:val="24"/>
          <w:lang w:eastAsia="en-US"/>
        </w:rPr>
      </w:pPr>
      <w:r w:rsidRPr="000C0959">
        <w:t xml:space="preserve">ŠÚ SR, </w:t>
      </w:r>
      <w:proofErr w:type="spellStart"/>
      <w:r w:rsidRPr="000C0959">
        <w:t>Eurostat</w:t>
      </w:r>
      <w:proofErr w:type="spellEnd"/>
      <w:r w:rsidRPr="000C0959">
        <w:t>, Európska Komisia, (m</w:t>
      </w:r>
      <w:r w:rsidRPr="000C0959">
        <w:rPr>
          <w:szCs w:val="24"/>
          <w:lang w:eastAsia="en-US"/>
        </w:rPr>
        <w:t>onitoring európskeho trhu práce „</w:t>
      </w:r>
      <w:proofErr w:type="spellStart"/>
      <w:r w:rsidRPr="000C0959">
        <w:rPr>
          <w:szCs w:val="24"/>
          <w:lang w:eastAsia="en-US"/>
        </w:rPr>
        <w:t>SkillsPanorama</w:t>
      </w:r>
      <w:proofErr w:type="spellEnd"/>
      <w:r w:rsidRPr="000C0959">
        <w:rPr>
          <w:szCs w:val="24"/>
          <w:lang w:eastAsia="en-US"/>
        </w:rPr>
        <w:t xml:space="preserve">“ </w:t>
      </w:r>
      <w:proofErr w:type="spellStart"/>
      <w:r w:rsidRPr="000C0959">
        <w:rPr>
          <w:szCs w:val="24"/>
          <w:lang w:eastAsia="en-US"/>
        </w:rPr>
        <w:t>Panorama</w:t>
      </w:r>
      <w:proofErr w:type="spellEnd"/>
      <w:r w:rsidRPr="000C0959">
        <w:rPr>
          <w:szCs w:val="24"/>
          <w:lang w:eastAsia="en-US"/>
        </w:rPr>
        <w:t xml:space="preserve"> je on-line informačný nástroj prezentácie kvantitatívne a kvalitatívne informácie o krátkodobých a strednodobých potrebných zručností a schopností, dodávky a zručnosti nesúladu. </w:t>
      </w:r>
      <w:proofErr w:type="spellStart"/>
      <w:r w:rsidRPr="000C0959">
        <w:rPr>
          <w:szCs w:val="24"/>
          <w:lang w:eastAsia="en-US"/>
        </w:rPr>
        <w:t>Panorama</w:t>
      </w:r>
      <w:proofErr w:type="spellEnd"/>
      <w:r w:rsidRPr="000C0959">
        <w:rPr>
          <w:szCs w:val="24"/>
          <w:lang w:eastAsia="en-US"/>
        </w:rPr>
        <w:t xml:space="preserve"> zahŕňa horný rastúce zamestnania, ako aj najvyšší úzkeho miesta povolania na úrovni EÚ, ako aj v rôznych členských štátoch.),</w:t>
      </w:r>
    </w:p>
    <w:p w:rsidR="00CD6E41" w:rsidRPr="000C0959" w:rsidRDefault="00CD6E41" w:rsidP="00CD6E41">
      <w:pPr>
        <w:pStyle w:val="Odsekzoznamu"/>
        <w:numPr>
          <w:ilvl w:val="0"/>
          <w:numId w:val="20"/>
        </w:numPr>
        <w:autoSpaceDE w:val="0"/>
        <w:autoSpaceDN w:val="0"/>
        <w:adjustRightInd w:val="0"/>
        <w:jc w:val="both"/>
        <w:rPr>
          <w:szCs w:val="24"/>
          <w:lang w:eastAsia="en-US"/>
        </w:rPr>
      </w:pPr>
      <w:r w:rsidRPr="000C0959">
        <w:rPr>
          <w:szCs w:val="24"/>
          <w:lang w:eastAsia="en-US"/>
        </w:rPr>
        <w:t>projektové a výskumné organizácie (Inštitút pre výskum práce a rodiny, Slovenská akadémia vied),</w:t>
      </w:r>
    </w:p>
    <w:p w:rsidR="00CD6E41" w:rsidRPr="000C0959" w:rsidRDefault="00CD6E41" w:rsidP="00CD6E41">
      <w:pPr>
        <w:numPr>
          <w:ilvl w:val="0"/>
          <w:numId w:val="20"/>
        </w:numPr>
        <w:rPr>
          <w:szCs w:val="24"/>
        </w:rPr>
      </w:pPr>
      <w:r w:rsidRPr="000C0959">
        <w:rPr>
          <w:szCs w:val="24"/>
        </w:rPr>
        <w:t>akademická o</w:t>
      </w:r>
      <w:r w:rsidR="00155908" w:rsidRPr="000C0959">
        <w:rPr>
          <w:szCs w:val="24"/>
        </w:rPr>
        <w:t>bec (univerzity a vysoké školy),</w:t>
      </w:r>
    </w:p>
    <w:p w:rsidR="00CD6E41" w:rsidRPr="000C0959" w:rsidRDefault="00CD6E41" w:rsidP="00CD6E41">
      <w:pPr>
        <w:numPr>
          <w:ilvl w:val="0"/>
          <w:numId w:val="20"/>
        </w:numPr>
        <w:rPr>
          <w:szCs w:val="24"/>
        </w:rPr>
      </w:pPr>
      <w:r w:rsidRPr="000C0959">
        <w:rPr>
          <w:szCs w:val="24"/>
        </w:rPr>
        <w:t>zamestnávatelia, malí a stred</w:t>
      </w:r>
      <w:r w:rsidR="00155908" w:rsidRPr="000C0959">
        <w:rPr>
          <w:szCs w:val="24"/>
        </w:rPr>
        <w:t>ní podnikatelia a veľké podniky,</w:t>
      </w:r>
    </w:p>
    <w:p w:rsidR="00CD6E41" w:rsidRPr="000C0959" w:rsidRDefault="00CD6E41" w:rsidP="00CD6E41">
      <w:pPr>
        <w:numPr>
          <w:ilvl w:val="0"/>
          <w:numId w:val="20"/>
        </w:numPr>
        <w:shd w:val="clear" w:color="auto" w:fill="FFFFFF"/>
        <w:jc w:val="both"/>
        <w:rPr>
          <w:szCs w:val="24"/>
        </w:rPr>
      </w:pPr>
      <w:r w:rsidRPr="000C0959">
        <w:rPr>
          <w:szCs w:val="24"/>
        </w:rPr>
        <w:t xml:space="preserve">uchádzači o zamestnanie, znevýhodnení uchádzači o zamestnanie (v zmysle zákona č. 5/2004 </w:t>
      </w:r>
      <w:proofErr w:type="spellStart"/>
      <w:r w:rsidRPr="000C0959">
        <w:rPr>
          <w:szCs w:val="24"/>
        </w:rPr>
        <w:t>Z.z</w:t>
      </w:r>
      <w:proofErr w:type="spellEnd"/>
      <w:r w:rsidRPr="000C0959">
        <w:rPr>
          <w:szCs w:val="24"/>
        </w:rPr>
        <w:t xml:space="preserve"> v znení neskorších predpisov), občania so zdravotným postihnutím, záujemcovia o zamestnanie, skupiny osôb ohrozené stratou zamestnania, študenti a absolventi stredných a vysokých škôl.</w:t>
      </w:r>
    </w:p>
    <w:p w:rsidR="00CD6E41" w:rsidRPr="000C0959" w:rsidRDefault="00CD6E41" w:rsidP="00CD6E41">
      <w:pPr>
        <w:autoSpaceDE w:val="0"/>
        <w:autoSpaceDN w:val="0"/>
        <w:adjustRightInd w:val="0"/>
        <w:spacing w:after="120"/>
        <w:jc w:val="both"/>
        <w:rPr>
          <w:sz w:val="20"/>
          <w:u w:val="single"/>
        </w:rPr>
      </w:pPr>
    </w:p>
    <w:p w:rsidR="00CD6E41" w:rsidRPr="000C0959" w:rsidRDefault="00CD6E41" w:rsidP="00CD6E41">
      <w:pPr>
        <w:autoSpaceDE w:val="0"/>
        <w:autoSpaceDN w:val="0"/>
        <w:adjustRightInd w:val="0"/>
        <w:jc w:val="both"/>
        <w:rPr>
          <w:b/>
          <w:bCs/>
          <w:szCs w:val="24"/>
        </w:rPr>
      </w:pPr>
      <w:r w:rsidRPr="000C0959">
        <w:rPr>
          <w:b/>
          <w:bCs/>
          <w:szCs w:val="24"/>
        </w:rPr>
        <w:t>Výsledky a dopady realizácie projektu vyjadrené merateľnými ukazovateľmi</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3624"/>
        <w:gridCol w:w="924"/>
        <w:gridCol w:w="1229"/>
        <w:gridCol w:w="849"/>
        <w:gridCol w:w="993"/>
        <w:gridCol w:w="756"/>
      </w:tblGrid>
      <w:tr w:rsidR="00CD6E41" w:rsidRPr="000C0959" w:rsidTr="00587ACD">
        <w:tc>
          <w:tcPr>
            <w:tcW w:w="5000" w:type="pct"/>
            <w:gridSpan w:val="7"/>
            <w:tcBorders>
              <w:left w:val="single" w:sz="6" w:space="0" w:color="auto"/>
              <w:bottom w:val="single" w:sz="6" w:space="0" w:color="auto"/>
              <w:right w:val="single" w:sz="6" w:space="0" w:color="auto"/>
            </w:tcBorders>
            <w:shd w:val="clear" w:color="auto" w:fill="00CCFF"/>
          </w:tcPr>
          <w:p w:rsidR="00CD6E41" w:rsidRPr="000C0959" w:rsidRDefault="00CD6E41" w:rsidP="007A7DEA">
            <w:pPr>
              <w:rPr>
                <w:rFonts w:ascii="Arial Narrow" w:hAnsi="Arial Narrow"/>
                <w:b/>
                <w:sz w:val="20"/>
              </w:rPr>
            </w:pPr>
            <w:r w:rsidRPr="000C0959">
              <w:rPr>
                <w:rFonts w:ascii="Arial Narrow" w:hAnsi="Arial Narrow"/>
                <w:b/>
                <w:sz w:val="20"/>
              </w:rPr>
              <w:t>Hodnoty merateľných ukazovateľov</w:t>
            </w:r>
          </w:p>
        </w:tc>
      </w:tr>
      <w:tr w:rsidR="00CD6E41" w:rsidRPr="000C0959" w:rsidTr="00587ACD">
        <w:tc>
          <w:tcPr>
            <w:tcW w:w="503" w:type="pct"/>
            <w:tcBorders>
              <w:top w:val="single" w:sz="6" w:space="0" w:color="auto"/>
              <w:left w:val="single" w:sz="6" w:space="0" w:color="auto"/>
              <w:bottom w:val="single" w:sz="6" w:space="0" w:color="auto"/>
              <w:right w:val="single" w:sz="2" w:space="0" w:color="auto"/>
            </w:tcBorders>
            <w:shd w:val="clear" w:color="auto" w:fill="D9D9D9"/>
            <w:vAlign w:val="center"/>
          </w:tcPr>
          <w:p w:rsidR="00CD6E41" w:rsidRPr="000C0959" w:rsidRDefault="00CD6E41" w:rsidP="007A7DEA">
            <w:pPr>
              <w:ind w:right="-108"/>
              <w:rPr>
                <w:rFonts w:ascii="Arial Narrow" w:hAnsi="Arial Narrow"/>
                <w:sz w:val="20"/>
              </w:rPr>
            </w:pPr>
            <w:r w:rsidRPr="000C0959">
              <w:rPr>
                <w:rFonts w:ascii="Arial Narrow" w:hAnsi="Arial Narrow"/>
                <w:sz w:val="20"/>
              </w:rPr>
              <w:t>Typ</w:t>
            </w:r>
          </w:p>
        </w:tc>
        <w:tc>
          <w:tcPr>
            <w:tcW w:w="1946" w:type="pct"/>
            <w:tcBorders>
              <w:top w:val="single" w:sz="6" w:space="0" w:color="auto"/>
              <w:left w:val="single" w:sz="2" w:space="0" w:color="auto"/>
              <w:bottom w:val="single" w:sz="6" w:space="0" w:color="auto"/>
              <w:right w:val="single" w:sz="6" w:space="0" w:color="auto"/>
            </w:tcBorders>
            <w:shd w:val="clear" w:color="auto" w:fill="D9D9D9"/>
            <w:vAlign w:val="center"/>
          </w:tcPr>
          <w:p w:rsidR="00CD6E41" w:rsidRPr="000C0959" w:rsidRDefault="00CD6E41" w:rsidP="007A7DEA">
            <w:pPr>
              <w:rPr>
                <w:rFonts w:ascii="Arial Narrow" w:hAnsi="Arial Narrow"/>
                <w:sz w:val="20"/>
              </w:rPr>
            </w:pPr>
            <w:r w:rsidRPr="000C0959">
              <w:rPr>
                <w:rFonts w:ascii="Arial Narrow" w:hAnsi="Arial Narrow"/>
                <w:sz w:val="20"/>
              </w:rPr>
              <w:t>Názov</w:t>
            </w:r>
          </w:p>
        </w:tc>
        <w:tc>
          <w:tcPr>
            <w:tcW w:w="496" w:type="pct"/>
            <w:tcBorders>
              <w:top w:val="single" w:sz="6" w:space="0" w:color="auto"/>
              <w:left w:val="single" w:sz="6" w:space="0" w:color="auto"/>
              <w:bottom w:val="single" w:sz="6" w:space="0" w:color="auto"/>
              <w:right w:val="single" w:sz="2" w:space="0" w:color="auto"/>
            </w:tcBorders>
            <w:shd w:val="clear" w:color="auto" w:fill="D9D9D9"/>
            <w:vAlign w:val="center"/>
          </w:tcPr>
          <w:p w:rsidR="00CD6E41" w:rsidRPr="000C0959" w:rsidRDefault="00CD6E41" w:rsidP="007A7DEA">
            <w:pPr>
              <w:jc w:val="center"/>
              <w:rPr>
                <w:rFonts w:ascii="Arial Narrow" w:hAnsi="Arial Narrow"/>
                <w:sz w:val="20"/>
              </w:rPr>
            </w:pPr>
            <w:r w:rsidRPr="000C0959">
              <w:rPr>
                <w:rFonts w:ascii="Arial Narrow" w:hAnsi="Arial Narrow"/>
                <w:sz w:val="20"/>
              </w:rPr>
              <w:t>Merná jednotka</w:t>
            </w:r>
          </w:p>
        </w:tc>
        <w:tc>
          <w:tcPr>
            <w:tcW w:w="660" w:type="pct"/>
            <w:tcBorders>
              <w:top w:val="single" w:sz="6" w:space="0" w:color="auto"/>
              <w:left w:val="single" w:sz="2" w:space="0" w:color="auto"/>
              <w:bottom w:val="single" w:sz="6" w:space="0" w:color="auto"/>
              <w:right w:val="single" w:sz="6" w:space="0" w:color="auto"/>
            </w:tcBorders>
            <w:shd w:val="clear" w:color="auto" w:fill="D9D9D9"/>
            <w:vAlign w:val="center"/>
          </w:tcPr>
          <w:p w:rsidR="00CD6E41" w:rsidRPr="000C0959" w:rsidRDefault="00CD6E41" w:rsidP="007A7DEA">
            <w:pPr>
              <w:jc w:val="center"/>
              <w:rPr>
                <w:rFonts w:ascii="Arial Narrow" w:hAnsi="Arial Narrow"/>
                <w:sz w:val="20"/>
              </w:rPr>
            </w:pPr>
            <w:r w:rsidRPr="000C0959">
              <w:rPr>
                <w:rFonts w:ascii="Arial Narrow" w:hAnsi="Arial Narrow"/>
                <w:sz w:val="20"/>
              </w:rPr>
              <w:t>Východisková hodnota</w:t>
            </w:r>
          </w:p>
        </w:tc>
        <w:tc>
          <w:tcPr>
            <w:tcW w:w="456" w:type="pct"/>
            <w:tcBorders>
              <w:top w:val="single" w:sz="6" w:space="0" w:color="auto"/>
              <w:left w:val="single" w:sz="6" w:space="0" w:color="auto"/>
              <w:bottom w:val="single" w:sz="6" w:space="0" w:color="auto"/>
              <w:right w:val="single" w:sz="2" w:space="0" w:color="auto"/>
            </w:tcBorders>
            <w:shd w:val="clear" w:color="auto" w:fill="D9D9D9"/>
            <w:vAlign w:val="center"/>
          </w:tcPr>
          <w:p w:rsidR="00CD6E41" w:rsidRPr="000C0959" w:rsidRDefault="00CD6E41" w:rsidP="007A7DEA">
            <w:pPr>
              <w:jc w:val="center"/>
              <w:rPr>
                <w:rFonts w:ascii="Arial Narrow" w:hAnsi="Arial Narrow"/>
                <w:sz w:val="20"/>
              </w:rPr>
            </w:pPr>
            <w:r w:rsidRPr="000C0959">
              <w:rPr>
                <w:rFonts w:ascii="Arial Narrow" w:hAnsi="Arial Narrow"/>
                <w:sz w:val="20"/>
              </w:rPr>
              <w:t>Rok</w:t>
            </w:r>
          </w:p>
        </w:tc>
        <w:tc>
          <w:tcPr>
            <w:tcW w:w="533" w:type="pct"/>
            <w:tcBorders>
              <w:top w:val="single" w:sz="6" w:space="0" w:color="auto"/>
              <w:left w:val="single" w:sz="2" w:space="0" w:color="auto"/>
              <w:bottom w:val="single" w:sz="6" w:space="0" w:color="auto"/>
              <w:right w:val="single" w:sz="6" w:space="0" w:color="auto"/>
            </w:tcBorders>
            <w:shd w:val="clear" w:color="auto" w:fill="D9D9D9"/>
            <w:vAlign w:val="center"/>
          </w:tcPr>
          <w:p w:rsidR="00CD6E41" w:rsidRPr="000C0959" w:rsidRDefault="00CD6E41" w:rsidP="007A7DEA">
            <w:pPr>
              <w:jc w:val="center"/>
              <w:rPr>
                <w:rFonts w:ascii="Arial Narrow" w:hAnsi="Arial Narrow"/>
                <w:sz w:val="20"/>
                <w:vertAlign w:val="superscript"/>
              </w:rPr>
            </w:pPr>
            <w:r w:rsidRPr="000C0959">
              <w:rPr>
                <w:rFonts w:ascii="Arial Narrow" w:hAnsi="Arial Narrow"/>
                <w:sz w:val="20"/>
              </w:rPr>
              <w:t>Plánovaná hodnota</w:t>
            </w:r>
          </w:p>
        </w:tc>
        <w:tc>
          <w:tcPr>
            <w:tcW w:w="406" w:type="pct"/>
            <w:tcBorders>
              <w:top w:val="single" w:sz="6" w:space="0" w:color="auto"/>
              <w:left w:val="single" w:sz="6" w:space="0" w:color="auto"/>
              <w:bottom w:val="single" w:sz="6" w:space="0" w:color="auto"/>
              <w:right w:val="single" w:sz="6" w:space="0" w:color="auto"/>
            </w:tcBorders>
            <w:shd w:val="clear" w:color="auto" w:fill="D9D9D9"/>
            <w:vAlign w:val="center"/>
          </w:tcPr>
          <w:p w:rsidR="00CD6E41" w:rsidRPr="000C0959" w:rsidRDefault="00CD6E41" w:rsidP="007A7DEA">
            <w:pPr>
              <w:jc w:val="center"/>
              <w:rPr>
                <w:rFonts w:ascii="Arial Narrow" w:hAnsi="Arial Narrow"/>
                <w:sz w:val="20"/>
              </w:rPr>
            </w:pPr>
            <w:r w:rsidRPr="000C0959">
              <w:rPr>
                <w:rFonts w:ascii="Arial Narrow" w:hAnsi="Arial Narrow"/>
                <w:sz w:val="20"/>
              </w:rPr>
              <w:t>Rok</w:t>
            </w:r>
          </w:p>
        </w:tc>
      </w:tr>
      <w:tr w:rsidR="00CD6E41" w:rsidRPr="000C0959" w:rsidTr="00587ACD">
        <w:trPr>
          <w:trHeight w:val="320"/>
        </w:trPr>
        <w:tc>
          <w:tcPr>
            <w:tcW w:w="503" w:type="pct"/>
            <w:tcBorders>
              <w:top w:val="single" w:sz="6" w:space="0" w:color="auto"/>
              <w:left w:val="single" w:sz="6" w:space="0" w:color="auto"/>
              <w:bottom w:val="single" w:sz="6" w:space="0" w:color="auto"/>
              <w:right w:val="single" w:sz="6" w:space="0" w:color="auto"/>
            </w:tcBorders>
            <w:shd w:val="clear" w:color="auto" w:fill="D9D9D9"/>
          </w:tcPr>
          <w:p w:rsidR="00CD6E41" w:rsidRPr="000C0959" w:rsidRDefault="00CD6E41" w:rsidP="007A7DEA">
            <w:pPr>
              <w:jc w:val="center"/>
              <w:rPr>
                <w:rFonts w:ascii="Arial Narrow" w:hAnsi="Arial Narrow"/>
                <w:bCs/>
                <w:sz w:val="20"/>
              </w:rPr>
            </w:pPr>
            <w:r w:rsidRPr="000C0959">
              <w:rPr>
                <w:rFonts w:ascii="Arial Narrow" w:hAnsi="Arial Narrow"/>
                <w:bCs/>
                <w:sz w:val="20"/>
              </w:rPr>
              <w:t>Výsledok</w:t>
            </w:r>
          </w:p>
        </w:tc>
        <w:tc>
          <w:tcPr>
            <w:tcW w:w="1946" w:type="pct"/>
            <w:tcBorders>
              <w:top w:val="single" w:sz="6" w:space="0" w:color="auto"/>
              <w:left w:val="single" w:sz="6" w:space="0" w:color="auto"/>
              <w:bottom w:val="single" w:sz="6" w:space="0" w:color="auto"/>
              <w:right w:val="single" w:sz="6" w:space="0" w:color="auto"/>
            </w:tcBorders>
          </w:tcPr>
          <w:p w:rsidR="00CD6E41" w:rsidRPr="000C0959" w:rsidRDefault="00CD6E41" w:rsidP="007A7DEA">
            <w:pPr>
              <w:rPr>
                <w:rFonts w:ascii="Arial Narrow" w:hAnsi="Arial Narrow"/>
                <w:strike/>
                <w:sz w:val="20"/>
                <w:lang w:eastAsia="en-US"/>
              </w:rPr>
            </w:pPr>
            <w:r w:rsidRPr="000C0959">
              <w:rPr>
                <w:rFonts w:ascii="Arial Narrow" w:hAnsi="Arial Narrow"/>
                <w:sz w:val="20"/>
              </w:rPr>
              <w:t xml:space="preserve">Počet vypracovaných štúdií, analýz, strategických dokumentov </w:t>
            </w:r>
          </w:p>
        </w:tc>
        <w:tc>
          <w:tcPr>
            <w:tcW w:w="496" w:type="pct"/>
            <w:tcBorders>
              <w:top w:val="single" w:sz="6" w:space="0" w:color="auto"/>
              <w:left w:val="single" w:sz="6" w:space="0" w:color="auto"/>
              <w:bottom w:val="single" w:sz="6" w:space="0" w:color="auto"/>
              <w:right w:val="single" w:sz="2" w:space="0" w:color="auto"/>
            </w:tcBorders>
          </w:tcPr>
          <w:p w:rsidR="00CD6E41" w:rsidRPr="000C0959" w:rsidRDefault="00CD6E41" w:rsidP="007A7DEA">
            <w:pPr>
              <w:rPr>
                <w:rFonts w:ascii="Arial Narrow" w:hAnsi="Arial Narrow"/>
                <w:strike/>
                <w:sz w:val="20"/>
                <w:lang w:eastAsia="en-US"/>
              </w:rPr>
            </w:pPr>
            <w:r w:rsidRPr="000C0959">
              <w:rPr>
                <w:rFonts w:ascii="Arial Narrow" w:hAnsi="Arial Narrow"/>
                <w:sz w:val="20"/>
                <w:lang w:eastAsia="en-US"/>
              </w:rPr>
              <w:t>počet</w:t>
            </w:r>
          </w:p>
        </w:tc>
        <w:tc>
          <w:tcPr>
            <w:tcW w:w="660" w:type="pct"/>
            <w:tcBorders>
              <w:top w:val="single" w:sz="6" w:space="0" w:color="auto"/>
              <w:left w:val="single" w:sz="2" w:space="0" w:color="auto"/>
              <w:bottom w:val="single" w:sz="6" w:space="0" w:color="auto"/>
              <w:right w:val="single" w:sz="6" w:space="0" w:color="auto"/>
            </w:tcBorders>
          </w:tcPr>
          <w:p w:rsidR="00CD6E41" w:rsidRPr="000C0959" w:rsidRDefault="00CD6E41" w:rsidP="007A7DEA">
            <w:pPr>
              <w:jc w:val="center"/>
              <w:rPr>
                <w:rFonts w:ascii="Arial Narrow" w:hAnsi="Arial Narrow"/>
                <w:strike/>
                <w:sz w:val="20"/>
                <w:lang w:eastAsia="en-US"/>
              </w:rPr>
            </w:pPr>
            <w:r w:rsidRPr="000C0959">
              <w:rPr>
                <w:rFonts w:ascii="Arial Narrow" w:hAnsi="Arial Narrow"/>
                <w:sz w:val="20"/>
                <w:lang w:eastAsia="en-US"/>
              </w:rPr>
              <w:t>0</w:t>
            </w:r>
          </w:p>
        </w:tc>
        <w:tc>
          <w:tcPr>
            <w:tcW w:w="456" w:type="pct"/>
            <w:tcBorders>
              <w:top w:val="single" w:sz="6" w:space="0" w:color="auto"/>
              <w:left w:val="single" w:sz="6" w:space="0" w:color="auto"/>
              <w:bottom w:val="single" w:sz="6" w:space="0" w:color="auto"/>
              <w:right w:val="single" w:sz="2" w:space="0" w:color="auto"/>
            </w:tcBorders>
          </w:tcPr>
          <w:p w:rsidR="00CD6E41" w:rsidRPr="000C0959" w:rsidRDefault="00CD6E41" w:rsidP="007A7DEA">
            <w:pPr>
              <w:jc w:val="center"/>
              <w:rPr>
                <w:rFonts w:ascii="Arial Narrow" w:hAnsi="Arial Narrow"/>
                <w:strike/>
                <w:sz w:val="20"/>
                <w:lang w:eastAsia="en-US"/>
              </w:rPr>
            </w:pPr>
            <w:r w:rsidRPr="000C0959">
              <w:rPr>
                <w:rFonts w:ascii="Arial Narrow" w:hAnsi="Arial Narrow"/>
                <w:sz w:val="20"/>
                <w:lang w:eastAsia="en-US"/>
              </w:rPr>
              <w:t>2014</w:t>
            </w:r>
          </w:p>
        </w:tc>
        <w:tc>
          <w:tcPr>
            <w:tcW w:w="533" w:type="pct"/>
            <w:tcBorders>
              <w:top w:val="single" w:sz="6" w:space="0" w:color="auto"/>
              <w:left w:val="single" w:sz="2" w:space="0" w:color="auto"/>
              <w:bottom w:val="single" w:sz="6" w:space="0" w:color="auto"/>
              <w:right w:val="single" w:sz="6" w:space="0" w:color="auto"/>
            </w:tcBorders>
          </w:tcPr>
          <w:p w:rsidR="00CD6E41" w:rsidRPr="000C0959" w:rsidRDefault="00CD6E41" w:rsidP="007A7DEA">
            <w:pPr>
              <w:jc w:val="center"/>
              <w:rPr>
                <w:rFonts w:ascii="Arial Narrow" w:hAnsi="Arial Narrow"/>
                <w:strike/>
                <w:sz w:val="20"/>
                <w:lang w:eastAsia="en-US"/>
              </w:rPr>
            </w:pPr>
            <w:r w:rsidRPr="000C0959">
              <w:rPr>
                <w:rFonts w:ascii="Arial Narrow" w:hAnsi="Arial Narrow"/>
                <w:sz w:val="20"/>
                <w:lang w:eastAsia="en-US"/>
              </w:rPr>
              <w:t>15</w:t>
            </w:r>
          </w:p>
        </w:tc>
        <w:tc>
          <w:tcPr>
            <w:tcW w:w="406" w:type="pct"/>
            <w:tcBorders>
              <w:top w:val="single" w:sz="6" w:space="0" w:color="auto"/>
              <w:left w:val="single" w:sz="6" w:space="0" w:color="auto"/>
              <w:bottom w:val="single" w:sz="6" w:space="0" w:color="auto"/>
              <w:right w:val="single" w:sz="6" w:space="0" w:color="auto"/>
            </w:tcBorders>
          </w:tcPr>
          <w:p w:rsidR="00CD6E41" w:rsidRPr="000C0959" w:rsidRDefault="00CD6E41" w:rsidP="007A7DEA">
            <w:pPr>
              <w:jc w:val="center"/>
              <w:rPr>
                <w:rFonts w:ascii="Arial Narrow" w:hAnsi="Arial Narrow"/>
                <w:strike/>
                <w:sz w:val="20"/>
                <w:lang w:eastAsia="en-US"/>
              </w:rPr>
            </w:pPr>
            <w:r w:rsidRPr="000C0959">
              <w:rPr>
                <w:rFonts w:ascii="Arial Narrow" w:hAnsi="Arial Narrow"/>
                <w:sz w:val="20"/>
                <w:lang w:eastAsia="en-US"/>
              </w:rPr>
              <w:t>2015</w:t>
            </w:r>
          </w:p>
        </w:tc>
      </w:tr>
      <w:tr w:rsidR="00CD6E41" w:rsidRPr="000C0959" w:rsidTr="00587ACD">
        <w:trPr>
          <w:trHeight w:val="320"/>
        </w:trPr>
        <w:tc>
          <w:tcPr>
            <w:tcW w:w="503" w:type="pct"/>
            <w:tcBorders>
              <w:top w:val="single" w:sz="6" w:space="0" w:color="auto"/>
              <w:left w:val="single" w:sz="6" w:space="0" w:color="auto"/>
              <w:bottom w:val="single" w:sz="6" w:space="0" w:color="auto"/>
              <w:right w:val="single" w:sz="6" w:space="0" w:color="auto"/>
            </w:tcBorders>
            <w:shd w:val="clear" w:color="auto" w:fill="D9D9D9"/>
          </w:tcPr>
          <w:p w:rsidR="00CD6E41" w:rsidRPr="000C0959" w:rsidRDefault="00CD6E41" w:rsidP="007A7DEA">
            <w:pPr>
              <w:jc w:val="center"/>
              <w:rPr>
                <w:rFonts w:ascii="Arial Narrow" w:hAnsi="Arial Narrow"/>
                <w:sz w:val="20"/>
              </w:rPr>
            </w:pPr>
            <w:r w:rsidRPr="000C0959">
              <w:rPr>
                <w:rFonts w:ascii="Arial Narrow" w:hAnsi="Arial Narrow"/>
                <w:bCs/>
                <w:sz w:val="20"/>
              </w:rPr>
              <w:t>Dopad</w:t>
            </w:r>
          </w:p>
        </w:tc>
        <w:tc>
          <w:tcPr>
            <w:tcW w:w="1946" w:type="pct"/>
            <w:tcBorders>
              <w:top w:val="single" w:sz="6" w:space="0" w:color="auto"/>
              <w:left w:val="single" w:sz="6" w:space="0" w:color="auto"/>
              <w:bottom w:val="single" w:sz="6" w:space="0" w:color="auto"/>
              <w:right w:val="single" w:sz="6" w:space="0" w:color="auto"/>
            </w:tcBorders>
          </w:tcPr>
          <w:p w:rsidR="00CD6E41" w:rsidRPr="000C0959" w:rsidRDefault="00CD6E41" w:rsidP="007A7DEA">
            <w:pPr>
              <w:rPr>
                <w:rFonts w:ascii="Arial Narrow" w:hAnsi="Arial Narrow"/>
                <w:sz w:val="20"/>
                <w:lang w:eastAsia="en-US"/>
              </w:rPr>
            </w:pPr>
            <w:r w:rsidRPr="000C0959">
              <w:rPr>
                <w:rFonts w:ascii="Arial Narrow" w:hAnsi="Arial Narrow"/>
                <w:sz w:val="20"/>
              </w:rPr>
              <w:t xml:space="preserve">Počet realizovaných analýz, štúdií a správ v súvislosti s prípravou, implementáciou, monitorovaním a hodnotením programu </w:t>
            </w:r>
          </w:p>
        </w:tc>
        <w:tc>
          <w:tcPr>
            <w:tcW w:w="496" w:type="pct"/>
            <w:tcBorders>
              <w:top w:val="single" w:sz="6" w:space="0" w:color="auto"/>
              <w:left w:val="single" w:sz="6" w:space="0" w:color="auto"/>
              <w:bottom w:val="single" w:sz="2" w:space="0" w:color="auto"/>
              <w:right w:val="single" w:sz="2" w:space="0" w:color="auto"/>
            </w:tcBorders>
          </w:tcPr>
          <w:p w:rsidR="00CD6E41" w:rsidRPr="000C0959" w:rsidRDefault="00CD6E41" w:rsidP="007A7DEA">
            <w:pPr>
              <w:rPr>
                <w:rFonts w:ascii="Arial Narrow" w:hAnsi="Arial Narrow"/>
                <w:sz w:val="20"/>
                <w:lang w:eastAsia="en-US"/>
              </w:rPr>
            </w:pPr>
            <w:r w:rsidRPr="000C0959">
              <w:rPr>
                <w:rFonts w:ascii="Arial Narrow" w:hAnsi="Arial Narrow"/>
                <w:sz w:val="20"/>
                <w:lang w:eastAsia="en-US"/>
              </w:rPr>
              <w:t>počet</w:t>
            </w:r>
          </w:p>
        </w:tc>
        <w:tc>
          <w:tcPr>
            <w:tcW w:w="660" w:type="pct"/>
            <w:tcBorders>
              <w:top w:val="single" w:sz="6" w:space="0" w:color="auto"/>
              <w:left w:val="single" w:sz="2" w:space="0" w:color="auto"/>
              <w:bottom w:val="single" w:sz="2" w:space="0" w:color="auto"/>
              <w:right w:val="single" w:sz="6" w:space="0" w:color="auto"/>
            </w:tcBorders>
          </w:tcPr>
          <w:p w:rsidR="00CD6E41" w:rsidRPr="000C0959" w:rsidRDefault="00CD6E41" w:rsidP="007A7DEA">
            <w:pPr>
              <w:jc w:val="center"/>
              <w:rPr>
                <w:rFonts w:ascii="Arial Narrow" w:hAnsi="Arial Narrow"/>
                <w:sz w:val="20"/>
                <w:lang w:eastAsia="en-US"/>
              </w:rPr>
            </w:pPr>
            <w:r w:rsidRPr="000C0959">
              <w:rPr>
                <w:rFonts w:ascii="Arial Narrow" w:hAnsi="Arial Narrow"/>
                <w:sz w:val="20"/>
                <w:lang w:eastAsia="en-US"/>
              </w:rPr>
              <w:t>15</w:t>
            </w:r>
          </w:p>
        </w:tc>
        <w:tc>
          <w:tcPr>
            <w:tcW w:w="456" w:type="pct"/>
            <w:tcBorders>
              <w:top w:val="single" w:sz="6" w:space="0" w:color="auto"/>
              <w:left w:val="single" w:sz="6" w:space="0" w:color="auto"/>
              <w:bottom w:val="single" w:sz="2" w:space="0" w:color="auto"/>
              <w:right w:val="single" w:sz="2" w:space="0" w:color="auto"/>
            </w:tcBorders>
          </w:tcPr>
          <w:p w:rsidR="00CD6E41" w:rsidRPr="000C0959" w:rsidRDefault="00CD6E41" w:rsidP="007A7DEA">
            <w:pPr>
              <w:jc w:val="center"/>
              <w:rPr>
                <w:rFonts w:ascii="Arial Narrow" w:hAnsi="Arial Narrow"/>
                <w:sz w:val="20"/>
                <w:lang w:eastAsia="en-US"/>
              </w:rPr>
            </w:pPr>
            <w:r w:rsidRPr="000C0959">
              <w:rPr>
                <w:rFonts w:ascii="Arial Narrow" w:hAnsi="Arial Narrow"/>
                <w:sz w:val="20"/>
                <w:lang w:eastAsia="en-US"/>
              </w:rPr>
              <w:t>2015</w:t>
            </w:r>
          </w:p>
        </w:tc>
        <w:tc>
          <w:tcPr>
            <w:tcW w:w="533" w:type="pct"/>
            <w:tcBorders>
              <w:top w:val="single" w:sz="6" w:space="0" w:color="auto"/>
              <w:left w:val="single" w:sz="2" w:space="0" w:color="auto"/>
              <w:bottom w:val="single" w:sz="2" w:space="0" w:color="auto"/>
              <w:right w:val="single" w:sz="6" w:space="0" w:color="auto"/>
            </w:tcBorders>
          </w:tcPr>
          <w:p w:rsidR="00CD6E41" w:rsidRPr="000C0959" w:rsidRDefault="00CD6E41" w:rsidP="007A7DEA">
            <w:pPr>
              <w:jc w:val="center"/>
              <w:rPr>
                <w:rFonts w:ascii="Arial Narrow" w:hAnsi="Arial Narrow"/>
                <w:sz w:val="20"/>
                <w:lang w:eastAsia="en-US"/>
              </w:rPr>
            </w:pPr>
            <w:r w:rsidRPr="000C0959">
              <w:rPr>
                <w:rFonts w:ascii="Arial Narrow" w:hAnsi="Arial Narrow"/>
                <w:sz w:val="20"/>
                <w:lang w:eastAsia="en-US"/>
              </w:rPr>
              <w:t>15</w:t>
            </w:r>
          </w:p>
        </w:tc>
        <w:tc>
          <w:tcPr>
            <w:tcW w:w="406" w:type="pct"/>
            <w:tcBorders>
              <w:top w:val="single" w:sz="6" w:space="0" w:color="auto"/>
              <w:left w:val="single" w:sz="6" w:space="0" w:color="auto"/>
              <w:bottom w:val="single" w:sz="6" w:space="0" w:color="auto"/>
              <w:right w:val="single" w:sz="6" w:space="0" w:color="auto"/>
            </w:tcBorders>
          </w:tcPr>
          <w:p w:rsidR="00CD6E41" w:rsidRPr="000C0959" w:rsidRDefault="00CD6E41" w:rsidP="007A7DEA">
            <w:pPr>
              <w:jc w:val="center"/>
              <w:rPr>
                <w:rFonts w:ascii="Arial Narrow" w:hAnsi="Arial Narrow"/>
                <w:sz w:val="20"/>
                <w:lang w:eastAsia="en-US"/>
              </w:rPr>
            </w:pPr>
            <w:r w:rsidRPr="000C0959">
              <w:rPr>
                <w:rFonts w:ascii="Arial Narrow" w:hAnsi="Arial Narrow"/>
                <w:sz w:val="20"/>
                <w:lang w:eastAsia="en-US"/>
              </w:rPr>
              <w:t>2017</w:t>
            </w:r>
          </w:p>
        </w:tc>
      </w:tr>
    </w:tbl>
    <w:p w:rsidR="00CD6E41" w:rsidRPr="000C0959" w:rsidRDefault="00CD6E41" w:rsidP="00CD6E41">
      <w:pPr>
        <w:jc w:val="both"/>
        <w:rPr>
          <w:sz w:val="22"/>
          <w:szCs w:val="22"/>
        </w:rPr>
      </w:pPr>
      <w:r w:rsidRPr="000C0959">
        <w:rPr>
          <w:sz w:val="22"/>
          <w:szCs w:val="22"/>
        </w:rPr>
        <w:t>Pozn.: Vzhľadom na charakter projektu a disponibilitu merateľných ukazovateľov Národného číselníka ukazovateľov v rámci prioritnej témy 66 Vykonávanie aktívnych a preventívnych opatrení na trhu práce boli pre projekt vybrané  uvedené ukazovatele.</w:t>
      </w:r>
    </w:p>
    <w:p w:rsidR="00CD6E41" w:rsidRPr="000C0959" w:rsidRDefault="00CD6E41" w:rsidP="00CD6E41">
      <w:pPr>
        <w:pStyle w:val="Zkladntext21"/>
        <w:rPr>
          <w:sz w:val="22"/>
          <w:szCs w:val="22"/>
          <w:lang w:eastAsia="sk-SK"/>
        </w:rPr>
      </w:pPr>
      <w:r w:rsidRPr="000C0959">
        <w:rPr>
          <w:sz w:val="22"/>
          <w:szCs w:val="22"/>
          <w:lang w:eastAsia="sk-SK"/>
        </w:rPr>
        <w:t xml:space="preserve">Projekt sa realizuje ako </w:t>
      </w:r>
      <w:proofErr w:type="spellStart"/>
      <w:r w:rsidRPr="000C0959">
        <w:rPr>
          <w:sz w:val="22"/>
          <w:szCs w:val="22"/>
          <w:lang w:eastAsia="sk-SK"/>
        </w:rPr>
        <w:t>multicieľový</w:t>
      </w:r>
      <w:proofErr w:type="spellEnd"/>
      <w:r w:rsidRPr="000C0959">
        <w:rPr>
          <w:sz w:val="22"/>
          <w:szCs w:val="22"/>
          <w:lang w:eastAsia="sk-SK"/>
        </w:rPr>
        <w:t xml:space="preserve"> v opatreniach 1.1 a 3.1 a pomerom 88,86% : 11,14% sa delí rozpočet projektu. Uvedené hodnoty  sú za celý národný projekt (opatrenie 1.1 a 3.1), t.j. v počte 15 výstupov. Každý výstup je vypracovaný za určité konkrétne obdobie.</w:t>
      </w:r>
    </w:p>
    <w:p w:rsidR="00CD6E41" w:rsidRPr="000C0959" w:rsidRDefault="00CD6E41" w:rsidP="00CD6E41">
      <w:pPr>
        <w:pStyle w:val="Zkladntext21"/>
        <w:rPr>
          <w:rFonts w:ascii="Arial Narrow" w:hAnsi="Arial Narrow"/>
          <w:sz w:val="20"/>
          <w:lang w:eastAsia="sk-SK"/>
        </w:rPr>
      </w:pPr>
      <w:r w:rsidRPr="000C0959">
        <w:rPr>
          <w:rFonts w:ascii="Arial Narrow" w:hAnsi="Arial Narrow"/>
          <w:sz w:val="20"/>
          <w:lang w:eastAsia="sk-SK"/>
        </w:rPr>
        <w:t xml:space="preserve"> </w:t>
      </w:r>
    </w:p>
    <w:p w:rsidR="00CD6E41" w:rsidRPr="000C0959" w:rsidRDefault="00CD6E41" w:rsidP="00CD6E41">
      <w:pPr>
        <w:jc w:val="both"/>
        <w:rPr>
          <w:szCs w:val="24"/>
        </w:rPr>
      </w:pPr>
      <w:r w:rsidRPr="000C0959">
        <w:rPr>
          <w:szCs w:val="24"/>
        </w:rPr>
        <w:t>V prílohe uvádzame pre lepšiu ilustráciu prepojenia vstupov a výstupov a prepojenia s ďalšími systémami dotýkajúcimi sa oblasti dopytu a ponuky po práci na úrovni zamestnaní a kvalifikačných zručností (Príloha č. 2 Schéma prognózovanie).</w:t>
      </w:r>
    </w:p>
    <w:p w:rsidR="00CD6E41" w:rsidRPr="000C0959" w:rsidRDefault="00CD6E41" w:rsidP="00FC4141">
      <w:pPr>
        <w:autoSpaceDE w:val="0"/>
        <w:autoSpaceDN w:val="0"/>
        <w:adjustRightInd w:val="0"/>
        <w:spacing w:after="120"/>
        <w:jc w:val="both"/>
        <w:rPr>
          <w:sz w:val="20"/>
          <w:u w:val="single"/>
        </w:rPr>
      </w:pPr>
    </w:p>
    <w:p w:rsidR="00FC4141" w:rsidRPr="000C0959" w:rsidRDefault="00FC4141" w:rsidP="00FC4141">
      <w:pPr>
        <w:autoSpaceDE w:val="0"/>
        <w:autoSpaceDN w:val="0"/>
        <w:adjustRightInd w:val="0"/>
        <w:spacing w:after="120"/>
        <w:jc w:val="both"/>
        <w:rPr>
          <w:sz w:val="20"/>
          <w:u w:val="single"/>
        </w:rPr>
      </w:pPr>
      <w:r w:rsidRPr="000C0959">
        <w:rPr>
          <w:sz w:val="20"/>
          <w:u w:val="single"/>
        </w:rPr>
        <w:t>OČAKÁVANÁ SITUÁCIA PO SKONČENÍ REALIZÁCIE PROJEKTU</w:t>
      </w:r>
    </w:p>
    <w:p w:rsidR="00FC4141" w:rsidRPr="000C0959" w:rsidRDefault="00FC4141" w:rsidP="00FC4141">
      <w:pPr>
        <w:jc w:val="both"/>
        <w:rPr>
          <w:szCs w:val="24"/>
        </w:rPr>
      </w:pPr>
      <w:r w:rsidRPr="000C0959">
        <w:rPr>
          <w:szCs w:val="24"/>
        </w:rPr>
        <w:t>Realizácia jednotlivých aktivít projektu zabezpečí:</w:t>
      </w:r>
    </w:p>
    <w:p w:rsidR="00FC4141" w:rsidRPr="000C0959" w:rsidRDefault="00FC4141" w:rsidP="00FC4141">
      <w:pPr>
        <w:ind w:left="426" w:hanging="426"/>
        <w:jc w:val="both"/>
        <w:rPr>
          <w:szCs w:val="24"/>
          <w:lang w:eastAsia="en-US"/>
        </w:rPr>
      </w:pPr>
      <w:r w:rsidRPr="000C0959">
        <w:rPr>
          <w:szCs w:val="24"/>
        </w:rPr>
        <w:t xml:space="preserve">- </w:t>
      </w:r>
      <w:r w:rsidRPr="000C0959">
        <w:rPr>
          <w:szCs w:val="24"/>
        </w:rPr>
        <w:tab/>
        <w:t xml:space="preserve">implementáciu komplexného systému umožňujúceho monitoring, vyhodnotenie a predvídanie </w:t>
      </w:r>
      <w:r w:rsidRPr="000C0959">
        <w:rPr>
          <w:szCs w:val="24"/>
          <w:lang w:eastAsia="en-US"/>
        </w:rPr>
        <w:t>ponuky a dopytu po práci a vyhodnotenie ich súladu</w:t>
      </w:r>
      <w:r w:rsidR="00D85E5C" w:rsidRPr="000C0959">
        <w:rPr>
          <w:szCs w:val="24"/>
          <w:lang w:eastAsia="en-US"/>
        </w:rPr>
        <w:t>,</w:t>
      </w:r>
      <w:r w:rsidRPr="000C0959">
        <w:rPr>
          <w:szCs w:val="24"/>
          <w:lang w:eastAsia="en-US"/>
        </w:rPr>
        <w:t xml:space="preserve"> resp. nesúladu v nasledovnej požadovanej štruktúre: </w:t>
      </w:r>
    </w:p>
    <w:p w:rsidR="00FC4141" w:rsidRPr="000C0959" w:rsidRDefault="00FC4141" w:rsidP="00FC4141">
      <w:pPr>
        <w:autoSpaceDE w:val="0"/>
        <w:autoSpaceDN w:val="0"/>
        <w:adjustRightInd w:val="0"/>
        <w:ind w:left="567"/>
        <w:jc w:val="both"/>
        <w:rPr>
          <w:szCs w:val="24"/>
          <w:lang w:eastAsia="en-US"/>
        </w:rPr>
      </w:pPr>
      <w:r w:rsidRPr="000C0959">
        <w:rPr>
          <w:szCs w:val="24"/>
          <w:lang w:eastAsia="en-US"/>
        </w:rPr>
        <w:t>-</w:t>
      </w:r>
      <w:r w:rsidRPr="000C0959">
        <w:rPr>
          <w:szCs w:val="24"/>
          <w:lang w:eastAsia="en-US"/>
        </w:rPr>
        <w:tab/>
        <w:t xml:space="preserve">na úroveň NUTS 3 (kraj) a NUTS 4 (okres),  </w:t>
      </w:r>
    </w:p>
    <w:p w:rsidR="00FC4141" w:rsidRPr="000C0959" w:rsidRDefault="00FC4141" w:rsidP="00FC4141">
      <w:pPr>
        <w:autoSpaceDE w:val="0"/>
        <w:autoSpaceDN w:val="0"/>
        <w:adjustRightInd w:val="0"/>
        <w:ind w:left="567"/>
        <w:jc w:val="both"/>
        <w:rPr>
          <w:szCs w:val="24"/>
          <w:lang w:eastAsia="en-US"/>
        </w:rPr>
      </w:pPr>
      <w:r w:rsidRPr="000C0959">
        <w:rPr>
          <w:szCs w:val="24"/>
          <w:lang w:eastAsia="en-US"/>
        </w:rPr>
        <w:t>-</w:t>
      </w:r>
      <w:r w:rsidRPr="000C0959">
        <w:rPr>
          <w:szCs w:val="24"/>
          <w:lang w:eastAsia="en-US"/>
        </w:rPr>
        <w:tab/>
        <w:t>na úroveň 4 zn. SK ISCO-08,</w:t>
      </w:r>
    </w:p>
    <w:p w:rsidR="00FC4141" w:rsidRPr="000C0959" w:rsidRDefault="00FC4141" w:rsidP="00FC4141">
      <w:pPr>
        <w:autoSpaceDE w:val="0"/>
        <w:autoSpaceDN w:val="0"/>
        <w:adjustRightInd w:val="0"/>
        <w:ind w:left="567"/>
        <w:jc w:val="both"/>
        <w:rPr>
          <w:szCs w:val="24"/>
          <w:lang w:eastAsia="en-US"/>
        </w:rPr>
      </w:pPr>
      <w:r w:rsidRPr="000C0959">
        <w:rPr>
          <w:szCs w:val="24"/>
          <w:lang w:eastAsia="en-US"/>
        </w:rPr>
        <w:t>-</w:t>
      </w:r>
      <w:r w:rsidRPr="000C0959">
        <w:rPr>
          <w:szCs w:val="24"/>
          <w:lang w:eastAsia="en-US"/>
        </w:rPr>
        <w:tab/>
        <w:t>na úroveň 2 zn. SK NACE rev.2.</w:t>
      </w:r>
    </w:p>
    <w:p w:rsidR="00CF0364" w:rsidRPr="000C0959" w:rsidRDefault="00CF0364" w:rsidP="00CF0364">
      <w:pPr>
        <w:numPr>
          <w:ilvl w:val="0"/>
          <w:numId w:val="5"/>
        </w:numPr>
        <w:ind w:left="709" w:hanging="425"/>
        <w:jc w:val="both"/>
        <w:rPr>
          <w:szCs w:val="24"/>
        </w:rPr>
      </w:pPr>
      <w:r w:rsidRPr="000C0959">
        <w:rPr>
          <w:szCs w:val="24"/>
        </w:rPr>
        <w:t>plnenie medzinárodných záväzkov vyplývajúcich pre SR</w:t>
      </w:r>
      <w:r w:rsidR="00CD6E41" w:rsidRPr="000C0959">
        <w:rPr>
          <w:szCs w:val="24"/>
        </w:rPr>
        <w:t xml:space="preserve"> z</w:t>
      </w:r>
      <w:r w:rsidRPr="000C0959">
        <w:rPr>
          <w:szCs w:val="24"/>
        </w:rPr>
        <w:t xml:space="preserve"> legislatívneho rámca EÚ a úloh vyplývajúcich z legislatívneho rámca SR (podrobnejšie viď príloha č. 1)</w:t>
      </w:r>
      <w:r w:rsidR="00D85E5C" w:rsidRPr="000C0959">
        <w:rPr>
          <w:szCs w:val="24"/>
        </w:rPr>
        <w:t>,</w:t>
      </w:r>
      <w:r w:rsidRPr="000C0959">
        <w:rPr>
          <w:szCs w:val="24"/>
        </w:rPr>
        <w:t xml:space="preserve"> </w:t>
      </w:r>
    </w:p>
    <w:p w:rsidR="00CF0364" w:rsidRPr="000C0959" w:rsidRDefault="00CF0364" w:rsidP="00CF0364">
      <w:pPr>
        <w:numPr>
          <w:ilvl w:val="0"/>
          <w:numId w:val="5"/>
        </w:numPr>
        <w:jc w:val="both"/>
        <w:rPr>
          <w:szCs w:val="24"/>
        </w:rPr>
      </w:pPr>
      <w:r w:rsidRPr="000C0959">
        <w:rPr>
          <w:szCs w:val="24"/>
        </w:rPr>
        <w:t>vytvorenie predpokladov, že n</w:t>
      </w:r>
      <w:r w:rsidRPr="000C0959">
        <w:t>a základe hodnoverných analýz a prognóz trhu práce budú môcť orgány ústrednej štátnej správy (MPSVR SR, MŠVVŠ SR, ÚPSVR) a miestnej štátnej správy a samosprávy, stavovské a profesijné organizácie disponovať prehľadom dopytu a ponuky po jednotlivých zamestnaniach a na základe toho určovať skupiny študijných odborov a učebných odborov s nedostatočným počtom absolventov na uspokojenie dopytu po práci zo strany zamestnávateľských organizácií,</w:t>
      </w:r>
    </w:p>
    <w:p w:rsidR="00FC4141" w:rsidRPr="000C0959" w:rsidRDefault="00FC4141" w:rsidP="001C2E01">
      <w:pPr>
        <w:numPr>
          <w:ilvl w:val="0"/>
          <w:numId w:val="5"/>
        </w:numPr>
        <w:jc w:val="both"/>
        <w:rPr>
          <w:szCs w:val="24"/>
        </w:rPr>
      </w:pPr>
      <w:r w:rsidRPr="000C0959">
        <w:rPr>
          <w:szCs w:val="24"/>
        </w:rPr>
        <w:t xml:space="preserve">disponovanie aktuálnymi prehľadmi pre relevantné subjekty na trhu práce </w:t>
      </w:r>
      <w:r w:rsidRPr="000C0959">
        <w:t xml:space="preserve">(MPSVR SR, MŠVVŠ SR, ÚPSVR, ŠÚ SR, </w:t>
      </w:r>
      <w:proofErr w:type="spellStart"/>
      <w:r w:rsidRPr="000C0959">
        <w:t>Eurostat</w:t>
      </w:r>
      <w:proofErr w:type="spellEnd"/>
      <w:r w:rsidRPr="000C0959">
        <w:t>, Európska Komisia, odvetvové rezorty a im podriadené inštitúcie, sociálni partneri a širšia odborná verejnosť</w:t>
      </w:r>
      <w:r w:rsidRPr="000C0959">
        <w:rPr>
          <w:szCs w:val="24"/>
        </w:rPr>
        <w:t>) o  ponuke a dopyte podľa jednotlivých zamestnaní, o existujúcich nesúladoch medzi nimi a informáciami o krátkodobých a strednodobých očakávaných tendenciách trhu práce v požadovanej štruktúre,</w:t>
      </w:r>
    </w:p>
    <w:p w:rsidR="00FC4141" w:rsidRPr="000C0959" w:rsidRDefault="00FC4141" w:rsidP="001C2E01">
      <w:pPr>
        <w:numPr>
          <w:ilvl w:val="0"/>
          <w:numId w:val="5"/>
        </w:numPr>
        <w:jc w:val="both"/>
        <w:rPr>
          <w:szCs w:val="24"/>
        </w:rPr>
      </w:pPr>
      <w:r w:rsidRPr="000C0959">
        <w:rPr>
          <w:szCs w:val="24"/>
        </w:rPr>
        <w:t>vytvorenie analytickej a prognostickej základne pre systematické disponovanie aktuálnymi prehľadmi o ponuke a dopyte podľa jednotlivých zamestnaní, o existujúcich nesúladoch medzi nimi a informáciami o krátkodobých a strednodobých očakávaných tendenciách trhu práce v požadovanej štruktúre.</w:t>
      </w:r>
    </w:p>
    <w:p w:rsidR="007A7DEA" w:rsidRPr="000C0959" w:rsidRDefault="007A7DEA" w:rsidP="00B740BB">
      <w:pPr>
        <w:pStyle w:val="Odsekzoznamu"/>
        <w:jc w:val="both"/>
        <w:rPr>
          <w:rFonts w:ascii="Arial Narrow" w:hAnsi="Arial Narrow"/>
          <w:szCs w:val="24"/>
        </w:rPr>
      </w:pPr>
    </w:p>
    <w:p w:rsidR="00BB5DD5" w:rsidRPr="000C0959" w:rsidRDefault="00BB5DD5" w:rsidP="00B740BB">
      <w:pPr>
        <w:spacing w:before="120"/>
        <w:jc w:val="both"/>
        <w:rPr>
          <w:b/>
          <w:szCs w:val="24"/>
          <w:u w:val="single"/>
        </w:rPr>
      </w:pPr>
      <w:r w:rsidRPr="000C0959">
        <w:rPr>
          <w:b/>
          <w:szCs w:val="24"/>
          <w:u w:val="single"/>
        </w:rPr>
        <w:t xml:space="preserve">Spôsob realizácie projektu </w:t>
      </w:r>
    </w:p>
    <w:p w:rsidR="00BB5DD5" w:rsidRPr="000C0959" w:rsidRDefault="00BB5DD5" w:rsidP="00BB5DD5">
      <w:pPr>
        <w:jc w:val="both"/>
      </w:pPr>
    </w:p>
    <w:p w:rsidR="00BB5DD5" w:rsidRPr="000C0959" w:rsidRDefault="00BB5DD5" w:rsidP="00556209">
      <w:pPr>
        <w:autoSpaceDE w:val="0"/>
        <w:autoSpaceDN w:val="0"/>
        <w:adjustRightInd w:val="0"/>
        <w:spacing w:after="120"/>
        <w:ind w:left="284" w:hanging="284"/>
        <w:jc w:val="both"/>
        <w:rPr>
          <w:szCs w:val="24"/>
        </w:rPr>
      </w:pPr>
      <w:r w:rsidRPr="000C0959">
        <w:rPr>
          <w:szCs w:val="24"/>
        </w:rPr>
        <w:t>Š</w:t>
      </w:r>
      <w:r w:rsidR="00B44BF2" w:rsidRPr="000C0959">
        <w:rPr>
          <w:szCs w:val="24"/>
        </w:rPr>
        <w:t>truktúra projektu</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58"/>
        <w:gridCol w:w="1260"/>
        <w:gridCol w:w="1575"/>
        <w:gridCol w:w="1164"/>
        <w:gridCol w:w="992"/>
      </w:tblGrid>
      <w:tr w:rsidR="00CF3565" w:rsidRPr="00B740BB" w:rsidTr="00B740BB">
        <w:tc>
          <w:tcPr>
            <w:tcW w:w="3420" w:type="dxa"/>
            <w:shd w:val="clear" w:color="auto" w:fill="auto"/>
            <w:vAlign w:val="center"/>
          </w:tcPr>
          <w:p w:rsidR="00CF3565" w:rsidRPr="00B740BB" w:rsidRDefault="00CF3565" w:rsidP="00B740BB">
            <w:pPr>
              <w:spacing w:after="120"/>
              <w:jc w:val="both"/>
              <w:rPr>
                <w:sz w:val="20"/>
              </w:rPr>
            </w:pPr>
            <w:r w:rsidRPr="00B740BB">
              <w:rPr>
                <w:sz w:val="20"/>
              </w:rPr>
              <w:t>Hlavné aktivity a </w:t>
            </w:r>
            <w:proofErr w:type="spellStart"/>
            <w:r w:rsidRPr="00B740BB">
              <w:rPr>
                <w:sz w:val="20"/>
              </w:rPr>
              <w:t>podaktivity</w:t>
            </w:r>
            <w:proofErr w:type="spellEnd"/>
            <w:r w:rsidRPr="00B740BB">
              <w:rPr>
                <w:sz w:val="20"/>
              </w:rPr>
              <w:t xml:space="preserve"> projektu</w:t>
            </w:r>
          </w:p>
        </w:tc>
        <w:tc>
          <w:tcPr>
            <w:tcW w:w="1258" w:type="dxa"/>
            <w:shd w:val="clear" w:color="auto" w:fill="auto"/>
          </w:tcPr>
          <w:p w:rsidR="00CF3565" w:rsidRPr="00B740BB" w:rsidRDefault="00CF3565" w:rsidP="00B740BB">
            <w:pPr>
              <w:spacing w:after="120"/>
              <w:jc w:val="both"/>
              <w:rPr>
                <w:sz w:val="20"/>
              </w:rPr>
            </w:pPr>
            <w:r w:rsidRPr="00B740BB">
              <w:rPr>
                <w:sz w:val="20"/>
              </w:rPr>
              <w:t xml:space="preserve">Začiatok hlavnej aktivity / </w:t>
            </w:r>
            <w:proofErr w:type="spellStart"/>
            <w:r w:rsidRPr="00B740BB">
              <w:rPr>
                <w:sz w:val="20"/>
              </w:rPr>
              <w:t>podaktivity</w:t>
            </w:r>
            <w:proofErr w:type="spellEnd"/>
          </w:p>
        </w:tc>
        <w:tc>
          <w:tcPr>
            <w:tcW w:w="1260" w:type="dxa"/>
            <w:shd w:val="clear" w:color="auto" w:fill="auto"/>
          </w:tcPr>
          <w:p w:rsidR="00CF3565" w:rsidRPr="00B740BB" w:rsidRDefault="00CF3565" w:rsidP="00B740BB">
            <w:pPr>
              <w:spacing w:after="120"/>
              <w:jc w:val="both"/>
              <w:rPr>
                <w:sz w:val="20"/>
              </w:rPr>
            </w:pPr>
            <w:r w:rsidRPr="00B740BB">
              <w:rPr>
                <w:sz w:val="20"/>
              </w:rPr>
              <w:t xml:space="preserve">Koniec hlavnej aktivity / </w:t>
            </w:r>
            <w:proofErr w:type="spellStart"/>
            <w:r w:rsidRPr="00B740BB">
              <w:rPr>
                <w:sz w:val="20"/>
              </w:rPr>
              <w:t>podaktivity</w:t>
            </w:r>
            <w:proofErr w:type="spellEnd"/>
          </w:p>
        </w:tc>
        <w:tc>
          <w:tcPr>
            <w:tcW w:w="1575" w:type="dxa"/>
            <w:shd w:val="clear" w:color="auto" w:fill="auto"/>
            <w:vAlign w:val="center"/>
          </w:tcPr>
          <w:p w:rsidR="00CF3565" w:rsidRPr="00B740BB" w:rsidRDefault="00CF3565" w:rsidP="00B740BB">
            <w:pPr>
              <w:spacing w:after="120"/>
              <w:jc w:val="both"/>
              <w:rPr>
                <w:sz w:val="20"/>
              </w:rPr>
            </w:pPr>
            <w:r w:rsidRPr="00B740BB">
              <w:rPr>
                <w:sz w:val="20"/>
              </w:rPr>
              <w:t>Merateľný ukazovateľ výsledku</w:t>
            </w:r>
          </w:p>
        </w:tc>
        <w:tc>
          <w:tcPr>
            <w:tcW w:w="1164" w:type="dxa"/>
            <w:shd w:val="clear" w:color="auto" w:fill="auto"/>
            <w:vAlign w:val="center"/>
          </w:tcPr>
          <w:p w:rsidR="00CF3565" w:rsidRPr="00B740BB" w:rsidRDefault="00CF3565" w:rsidP="00B740BB">
            <w:pPr>
              <w:spacing w:after="120"/>
              <w:jc w:val="both"/>
              <w:rPr>
                <w:sz w:val="20"/>
              </w:rPr>
            </w:pPr>
            <w:r w:rsidRPr="00B740BB">
              <w:rPr>
                <w:sz w:val="20"/>
              </w:rPr>
              <w:t>Merná jednotka</w:t>
            </w:r>
          </w:p>
        </w:tc>
        <w:tc>
          <w:tcPr>
            <w:tcW w:w="992" w:type="dxa"/>
            <w:shd w:val="clear" w:color="auto" w:fill="auto"/>
            <w:vAlign w:val="center"/>
          </w:tcPr>
          <w:p w:rsidR="00CF3565" w:rsidRPr="00B740BB" w:rsidRDefault="00CF3565" w:rsidP="00B740BB">
            <w:pPr>
              <w:spacing w:after="120"/>
              <w:jc w:val="both"/>
              <w:rPr>
                <w:sz w:val="20"/>
              </w:rPr>
            </w:pPr>
            <w:r w:rsidRPr="00B740BB">
              <w:rPr>
                <w:sz w:val="20"/>
              </w:rPr>
              <w:t>Počet jednotiek</w:t>
            </w:r>
          </w:p>
        </w:tc>
      </w:tr>
      <w:tr w:rsidR="00CF3565" w:rsidRPr="00B740BB" w:rsidTr="00B740BB">
        <w:tc>
          <w:tcPr>
            <w:tcW w:w="3420" w:type="dxa"/>
            <w:shd w:val="clear" w:color="auto" w:fill="auto"/>
          </w:tcPr>
          <w:p w:rsidR="00CF3565" w:rsidRPr="00B740BB" w:rsidRDefault="00CF3565" w:rsidP="00B740BB">
            <w:pPr>
              <w:rPr>
                <w:b/>
                <w:sz w:val="20"/>
              </w:rPr>
            </w:pPr>
            <w:r w:rsidRPr="00B740BB">
              <w:rPr>
                <w:b/>
                <w:sz w:val="20"/>
              </w:rPr>
              <w:t xml:space="preserve">Aktivita 1 – Analýzy a kvalitatívne prieskumy ponuky a dopytu po práci na trhu práce </w:t>
            </w:r>
          </w:p>
        </w:tc>
        <w:tc>
          <w:tcPr>
            <w:tcW w:w="1258" w:type="dxa"/>
            <w:vMerge w:val="restart"/>
            <w:shd w:val="clear" w:color="auto" w:fill="auto"/>
            <w:vAlign w:val="center"/>
          </w:tcPr>
          <w:p w:rsidR="00CF3565" w:rsidRPr="00B740BB" w:rsidRDefault="00CF3565" w:rsidP="00B740BB">
            <w:pPr>
              <w:jc w:val="center"/>
              <w:rPr>
                <w:b/>
                <w:sz w:val="20"/>
              </w:rPr>
            </w:pPr>
          </w:p>
          <w:p w:rsidR="00CF3565" w:rsidRPr="00B740BB" w:rsidRDefault="00CF3565" w:rsidP="00B740BB">
            <w:pPr>
              <w:jc w:val="center"/>
              <w:rPr>
                <w:b/>
                <w:sz w:val="20"/>
              </w:rPr>
            </w:pPr>
          </w:p>
          <w:p w:rsidR="00B740BB" w:rsidRPr="00B740BB" w:rsidRDefault="00B740BB" w:rsidP="00B740BB">
            <w:pPr>
              <w:jc w:val="center"/>
              <w:rPr>
                <w:b/>
                <w:sz w:val="20"/>
              </w:rPr>
            </w:pPr>
          </w:p>
          <w:p w:rsidR="00CF3565" w:rsidRPr="00B740BB" w:rsidRDefault="00CF3565" w:rsidP="00B740BB">
            <w:pPr>
              <w:jc w:val="center"/>
              <w:rPr>
                <w:b/>
                <w:sz w:val="20"/>
              </w:rPr>
            </w:pPr>
            <w:r w:rsidRPr="00B740BB">
              <w:rPr>
                <w:b/>
                <w:sz w:val="20"/>
              </w:rPr>
              <w:t>06/2014</w:t>
            </w:r>
          </w:p>
          <w:p w:rsidR="00CF3565" w:rsidRPr="00B740BB" w:rsidRDefault="00CF3565" w:rsidP="00B740BB">
            <w:pPr>
              <w:spacing w:after="120"/>
              <w:jc w:val="center"/>
              <w:rPr>
                <w:b/>
                <w:sz w:val="20"/>
              </w:rPr>
            </w:pPr>
          </w:p>
          <w:p w:rsidR="00CF3565" w:rsidRPr="00B740BB" w:rsidRDefault="00CF3565" w:rsidP="00B740BB">
            <w:pPr>
              <w:spacing w:after="120"/>
              <w:jc w:val="center"/>
              <w:rPr>
                <w:b/>
                <w:sz w:val="20"/>
              </w:rPr>
            </w:pPr>
          </w:p>
        </w:tc>
        <w:tc>
          <w:tcPr>
            <w:tcW w:w="1260" w:type="dxa"/>
            <w:vMerge w:val="restart"/>
            <w:shd w:val="clear" w:color="auto" w:fill="auto"/>
            <w:vAlign w:val="center"/>
          </w:tcPr>
          <w:p w:rsidR="00CF3565" w:rsidRPr="00B740BB" w:rsidRDefault="00CF3565" w:rsidP="00B740BB">
            <w:pPr>
              <w:jc w:val="center"/>
              <w:rPr>
                <w:rFonts w:eastAsia="Arial"/>
                <w:b/>
                <w:sz w:val="20"/>
              </w:rPr>
            </w:pPr>
          </w:p>
          <w:p w:rsidR="00CF3565" w:rsidRPr="00B740BB" w:rsidRDefault="00CF3565" w:rsidP="00B740BB">
            <w:pPr>
              <w:jc w:val="center"/>
              <w:rPr>
                <w:b/>
                <w:sz w:val="20"/>
              </w:rPr>
            </w:pPr>
            <w:r w:rsidRPr="00B740BB">
              <w:rPr>
                <w:rFonts w:eastAsia="Arial"/>
                <w:b/>
                <w:sz w:val="20"/>
              </w:rPr>
              <w:t>11/2015</w:t>
            </w:r>
          </w:p>
          <w:p w:rsidR="00CF3565" w:rsidRPr="00B740BB" w:rsidRDefault="00CF3565" w:rsidP="00B740BB">
            <w:pPr>
              <w:spacing w:after="120"/>
              <w:jc w:val="center"/>
              <w:rPr>
                <w:b/>
                <w:sz w:val="20"/>
              </w:rPr>
            </w:pPr>
          </w:p>
        </w:tc>
        <w:tc>
          <w:tcPr>
            <w:tcW w:w="1575" w:type="dxa"/>
            <w:vMerge w:val="restart"/>
            <w:shd w:val="clear" w:color="auto" w:fill="auto"/>
          </w:tcPr>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r w:rsidRPr="00B740BB">
              <w:rPr>
                <w:sz w:val="20"/>
              </w:rPr>
              <w:t>Počet vypracovaných štúdií, analýz, strategických dokumentov</w:t>
            </w:r>
          </w:p>
          <w:p w:rsidR="00CF3565" w:rsidRPr="00B740BB" w:rsidRDefault="00CF3565" w:rsidP="00B740BB">
            <w:pPr>
              <w:jc w:val="center"/>
              <w:rPr>
                <w:sz w:val="20"/>
              </w:rPr>
            </w:pPr>
          </w:p>
        </w:tc>
        <w:tc>
          <w:tcPr>
            <w:tcW w:w="1164" w:type="dxa"/>
            <w:vMerge w:val="restart"/>
            <w:shd w:val="clear" w:color="auto" w:fill="auto"/>
          </w:tcPr>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r w:rsidRPr="00B740BB">
              <w:rPr>
                <w:sz w:val="20"/>
              </w:rPr>
              <w:t>Počet</w:t>
            </w:r>
          </w:p>
          <w:p w:rsidR="00CF3565" w:rsidRPr="00B740BB" w:rsidRDefault="00CF3565" w:rsidP="00B740BB">
            <w:pPr>
              <w:rPr>
                <w:sz w:val="20"/>
              </w:rPr>
            </w:pPr>
          </w:p>
        </w:tc>
        <w:tc>
          <w:tcPr>
            <w:tcW w:w="992" w:type="dxa"/>
            <w:vMerge w:val="restart"/>
            <w:shd w:val="clear" w:color="auto" w:fill="auto"/>
          </w:tcPr>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b/>
                <w:sz w:val="20"/>
              </w:rPr>
            </w:pPr>
            <w:r w:rsidRPr="00B740BB">
              <w:rPr>
                <w:b/>
                <w:sz w:val="20"/>
              </w:rPr>
              <w:t>8</w:t>
            </w:r>
          </w:p>
          <w:p w:rsidR="00CF3565" w:rsidRPr="00B740BB" w:rsidRDefault="00CF3565" w:rsidP="00B740BB">
            <w:pPr>
              <w:spacing w:after="120"/>
              <w:jc w:val="center"/>
              <w:rPr>
                <w:sz w:val="20"/>
              </w:rPr>
            </w:pPr>
          </w:p>
        </w:tc>
      </w:tr>
      <w:tr w:rsidR="00CF3565" w:rsidRPr="00B740BB" w:rsidTr="00B740BB">
        <w:tc>
          <w:tcPr>
            <w:tcW w:w="3420" w:type="dxa"/>
            <w:shd w:val="clear" w:color="auto" w:fill="auto"/>
          </w:tcPr>
          <w:p w:rsidR="00CF3565" w:rsidRPr="00B740BB" w:rsidDel="00867932" w:rsidRDefault="00CF3565" w:rsidP="00B740BB">
            <w:pPr>
              <w:rPr>
                <w:rFonts w:eastAsia="Arial"/>
                <w:sz w:val="20"/>
              </w:rPr>
            </w:pPr>
            <w:proofErr w:type="spellStart"/>
            <w:r w:rsidRPr="00B740BB">
              <w:rPr>
                <w:sz w:val="20"/>
              </w:rPr>
              <w:t>Podaktivita</w:t>
            </w:r>
            <w:proofErr w:type="spellEnd"/>
            <w:r w:rsidRPr="00B740BB">
              <w:rPr>
                <w:sz w:val="20"/>
              </w:rPr>
              <w:t xml:space="preserve"> 1.1 - Retrospektívna analýza trendov v oblasti zamestnanosti v národnom hospodárstve</w:t>
            </w:r>
          </w:p>
        </w:tc>
        <w:tc>
          <w:tcPr>
            <w:tcW w:w="1258" w:type="dxa"/>
            <w:vMerge/>
            <w:shd w:val="clear" w:color="auto" w:fill="auto"/>
            <w:vAlign w:val="center"/>
          </w:tcPr>
          <w:p w:rsidR="00CF3565" w:rsidRPr="00B740BB" w:rsidDel="001C5F70"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rFonts w:eastAsia="Arial"/>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rPr>
                <w:sz w:val="20"/>
              </w:rPr>
            </w:pPr>
            <w:r w:rsidRPr="00B740BB">
              <w:rPr>
                <w:rFonts w:eastAsia="Arial"/>
                <w:sz w:val="20"/>
              </w:rPr>
              <w:t>Výstup 1 - Retrospektívna analýza zamestnanosti a komparácie štruktúr v národnom hospodárstve v období r. 2000 – 1. polrok 2013</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sz w:val="20"/>
              </w:rPr>
            </w:pPr>
            <w:r w:rsidRPr="00B740BB">
              <w:rPr>
                <w:rFonts w:eastAsia="Arial"/>
                <w:sz w:val="20"/>
              </w:rPr>
              <w:t xml:space="preserve">Výstup 2 - Retrospektívna analýza zamestnanosti  a komparácie štruktúr v národnom hospodárstve v období r. </w:t>
            </w:r>
            <w:r w:rsidRPr="00B740BB">
              <w:rPr>
                <w:sz w:val="20"/>
              </w:rPr>
              <w:t>2011 – 1. polrok 2014</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tcPr>
          <w:p w:rsidR="00CF3565" w:rsidRPr="00B740BB" w:rsidDel="00867932" w:rsidRDefault="00CF3565" w:rsidP="00B740BB">
            <w:pPr>
              <w:spacing w:after="120"/>
              <w:rPr>
                <w:rFonts w:eastAsia="Arial"/>
                <w:sz w:val="20"/>
              </w:rPr>
            </w:pPr>
            <w:proofErr w:type="spellStart"/>
            <w:r w:rsidRPr="00B740BB">
              <w:rPr>
                <w:sz w:val="20"/>
              </w:rPr>
              <w:t>Podaktivita</w:t>
            </w:r>
            <w:proofErr w:type="spellEnd"/>
            <w:r w:rsidRPr="00B740BB">
              <w:rPr>
                <w:sz w:val="20"/>
              </w:rPr>
              <w:t xml:space="preserve"> 1.2 - Kvalitatívne a kvantitatívne prieskumy vo vybraných skupinách odvetví </w:t>
            </w:r>
          </w:p>
        </w:tc>
        <w:tc>
          <w:tcPr>
            <w:tcW w:w="1258" w:type="dxa"/>
            <w:vMerge/>
            <w:shd w:val="clear" w:color="auto" w:fill="auto"/>
            <w:vAlign w:val="center"/>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rFonts w:eastAsia="Arial"/>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rFonts w:eastAsia="Arial"/>
                <w:sz w:val="20"/>
              </w:rPr>
            </w:pPr>
            <w:r w:rsidRPr="00B740BB">
              <w:rPr>
                <w:rFonts w:eastAsia="Arial"/>
                <w:sz w:val="20"/>
              </w:rPr>
              <w:t xml:space="preserve">Výstup 1 - Správa o priebehu a zistených výsledkoch z výberových kvalitatívnych prieskumov vychádzajúce z relevantných údajov za rok 2014 </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trike/>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sz w:val="20"/>
              </w:rPr>
            </w:pPr>
            <w:r w:rsidRPr="00B740BB">
              <w:rPr>
                <w:rFonts w:eastAsia="Arial"/>
                <w:sz w:val="20"/>
              </w:rPr>
              <w:t xml:space="preserve">Výstup 2 - Správa o priebehu a zistených výsledkoch z výberových kvalitatívnych prieskumov vychádzajúce z relevantných údajov za rok 2015 </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trike/>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tcPr>
          <w:p w:rsidR="00CF3565" w:rsidRPr="00B740BB" w:rsidDel="00056E10" w:rsidRDefault="00CF3565" w:rsidP="00B740BB">
            <w:pPr>
              <w:spacing w:after="120"/>
              <w:rPr>
                <w:rFonts w:eastAsia="Arial"/>
                <w:sz w:val="20"/>
              </w:rPr>
            </w:pPr>
            <w:proofErr w:type="spellStart"/>
            <w:r w:rsidRPr="00B740BB">
              <w:rPr>
                <w:sz w:val="20"/>
              </w:rPr>
              <w:t>Podaktivita</w:t>
            </w:r>
            <w:proofErr w:type="spellEnd"/>
            <w:r w:rsidRPr="00B740BB">
              <w:rPr>
                <w:sz w:val="20"/>
              </w:rPr>
              <w:t xml:space="preserve"> 1.3 - Komplexná analýza demografických štruktúr a vývojových trendov pracovných síl </w:t>
            </w:r>
          </w:p>
        </w:tc>
        <w:tc>
          <w:tcPr>
            <w:tcW w:w="1258" w:type="dxa"/>
            <w:vMerge/>
            <w:shd w:val="clear" w:color="auto" w:fill="auto"/>
            <w:vAlign w:val="center"/>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Del="007275A4" w:rsidRDefault="00CF3565" w:rsidP="00B740BB">
            <w:pPr>
              <w:spacing w:after="120"/>
              <w:jc w:val="center"/>
              <w:rPr>
                <w:rFonts w:eastAsia="Arial"/>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sz w:val="20"/>
              </w:rPr>
            </w:pPr>
            <w:r w:rsidRPr="00B740BB">
              <w:rPr>
                <w:rFonts w:eastAsia="Arial"/>
                <w:sz w:val="20"/>
              </w:rPr>
              <w:t xml:space="preserve">Výstup 1 - Demografická analýza  a vývojové trendy </w:t>
            </w:r>
            <w:r w:rsidRPr="00B740BB">
              <w:rPr>
                <w:sz w:val="20"/>
              </w:rPr>
              <w:t xml:space="preserve">pracovných síl v období 2001 – 2010 a 2011 -  I. polroku 2013 </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sz w:val="20"/>
              </w:rPr>
            </w:pPr>
            <w:r w:rsidRPr="00B740BB">
              <w:rPr>
                <w:rFonts w:eastAsia="Arial"/>
                <w:sz w:val="20"/>
              </w:rPr>
              <w:t xml:space="preserve">Výstup 2 - Demografická analýza  a vývojové trendy </w:t>
            </w:r>
            <w:r w:rsidRPr="00B740BB">
              <w:rPr>
                <w:sz w:val="20"/>
              </w:rPr>
              <w:t xml:space="preserve">pracovných síl od roku 2012 </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tcPr>
          <w:p w:rsidR="00CF3565" w:rsidRPr="00B740BB" w:rsidDel="00056E10" w:rsidRDefault="00CF3565" w:rsidP="00B740BB">
            <w:pPr>
              <w:spacing w:after="120"/>
              <w:rPr>
                <w:rFonts w:eastAsia="Arial"/>
                <w:sz w:val="20"/>
              </w:rPr>
            </w:pPr>
            <w:proofErr w:type="spellStart"/>
            <w:r w:rsidRPr="00B740BB">
              <w:rPr>
                <w:sz w:val="20"/>
              </w:rPr>
              <w:t>Podaktivita</w:t>
            </w:r>
            <w:proofErr w:type="spellEnd"/>
            <w:r w:rsidRPr="00B740BB">
              <w:rPr>
                <w:sz w:val="20"/>
              </w:rPr>
              <w:t xml:space="preserve"> 1.4 - Komplexná analýza o miere uplatniteľnosti absolventov na trhu práce podľa odboru vzdelania a vykonávaného zamestnania </w:t>
            </w:r>
          </w:p>
        </w:tc>
        <w:tc>
          <w:tcPr>
            <w:tcW w:w="1258" w:type="dxa"/>
            <w:vMerge/>
            <w:shd w:val="clear" w:color="auto" w:fill="auto"/>
            <w:vAlign w:val="center"/>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rFonts w:eastAsia="Arial"/>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rFonts w:eastAsia="Arial"/>
                <w:sz w:val="20"/>
              </w:rPr>
            </w:pPr>
            <w:r w:rsidRPr="00B740BB">
              <w:rPr>
                <w:rFonts w:eastAsia="Arial"/>
                <w:sz w:val="20"/>
              </w:rPr>
              <w:t xml:space="preserve">Výstup 1 - Komplexná analýza uplatniteľnosti absolventov na trhu práce za 1. polrok 2014 </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rFonts w:eastAsia="Arial"/>
                <w:sz w:val="20"/>
              </w:rPr>
            </w:pPr>
            <w:r w:rsidRPr="00B740BB">
              <w:rPr>
                <w:rFonts w:eastAsia="Arial"/>
                <w:sz w:val="20"/>
              </w:rPr>
              <w:t xml:space="preserve">Výstup 2 - Komplexná analýza uplatniteľnosti absolventov na trhu práce za 1. polrok 2015 </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553F08">
        <w:trPr>
          <w:trHeight w:val="743"/>
        </w:trPr>
        <w:tc>
          <w:tcPr>
            <w:tcW w:w="3420" w:type="dxa"/>
            <w:shd w:val="clear" w:color="auto" w:fill="auto"/>
          </w:tcPr>
          <w:p w:rsidR="00CF3565" w:rsidRPr="00B740BB" w:rsidRDefault="00CF3565" w:rsidP="00553F08">
            <w:pPr>
              <w:spacing w:after="120"/>
              <w:rPr>
                <w:rFonts w:eastAsia="Arial"/>
                <w:b/>
                <w:sz w:val="20"/>
              </w:rPr>
            </w:pPr>
            <w:r w:rsidRPr="00B740BB">
              <w:rPr>
                <w:b/>
                <w:sz w:val="20"/>
              </w:rPr>
              <w:t>Aktivita 2 - Prognózy vývoja trhu práce</w:t>
            </w:r>
          </w:p>
        </w:tc>
        <w:tc>
          <w:tcPr>
            <w:tcW w:w="1258" w:type="dxa"/>
            <w:vMerge w:val="restart"/>
            <w:shd w:val="clear" w:color="auto" w:fill="auto"/>
          </w:tcPr>
          <w:p w:rsidR="00553F08" w:rsidRDefault="00553F08" w:rsidP="00553F08">
            <w:pPr>
              <w:jc w:val="center"/>
              <w:rPr>
                <w:b/>
                <w:sz w:val="20"/>
              </w:rPr>
            </w:pPr>
          </w:p>
          <w:p w:rsidR="00553F08" w:rsidRDefault="00553F08" w:rsidP="00553F08">
            <w:pPr>
              <w:jc w:val="center"/>
              <w:rPr>
                <w:b/>
                <w:sz w:val="20"/>
              </w:rPr>
            </w:pPr>
          </w:p>
          <w:p w:rsidR="00553F08" w:rsidRDefault="00553F08" w:rsidP="00553F08">
            <w:pPr>
              <w:jc w:val="center"/>
              <w:rPr>
                <w:b/>
                <w:sz w:val="20"/>
              </w:rPr>
            </w:pPr>
          </w:p>
          <w:p w:rsidR="00553F08" w:rsidRDefault="00553F08" w:rsidP="00553F08">
            <w:pPr>
              <w:jc w:val="center"/>
              <w:rPr>
                <w:b/>
                <w:sz w:val="20"/>
              </w:rPr>
            </w:pPr>
          </w:p>
          <w:p w:rsidR="00553F08" w:rsidRDefault="00553F08" w:rsidP="00553F08">
            <w:pPr>
              <w:jc w:val="center"/>
              <w:rPr>
                <w:b/>
                <w:sz w:val="20"/>
              </w:rPr>
            </w:pPr>
          </w:p>
          <w:p w:rsidR="00553F08" w:rsidRDefault="00553F08" w:rsidP="00553F08">
            <w:pPr>
              <w:jc w:val="center"/>
              <w:rPr>
                <w:b/>
                <w:sz w:val="20"/>
              </w:rPr>
            </w:pPr>
          </w:p>
          <w:p w:rsidR="00553F08" w:rsidRDefault="00553F08" w:rsidP="00553F08">
            <w:pPr>
              <w:jc w:val="center"/>
              <w:rPr>
                <w:b/>
                <w:sz w:val="20"/>
              </w:rPr>
            </w:pPr>
          </w:p>
          <w:p w:rsidR="00553F08" w:rsidRDefault="00553F08" w:rsidP="00553F08">
            <w:pPr>
              <w:jc w:val="center"/>
              <w:rPr>
                <w:b/>
                <w:sz w:val="20"/>
              </w:rPr>
            </w:pPr>
          </w:p>
          <w:p w:rsidR="00553F08" w:rsidRDefault="00553F08" w:rsidP="00553F08">
            <w:pPr>
              <w:jc w:val="center"/>
              <w:rPr>
                <w:b/>
                <w:sz w:val="20"/>
              </w:rPr>
            </w:pPr>
          </w:p>
          <w:p w:rsidR="00553F08" w:rsidRDefault="00553F08" w:rsidP="00553F08">
            <w:pPr>
              <w:jc w:val="center"/>
              <w:rPr>
                <w:b/>
                <w:sz w:val="20"/>
              </w:rPr>
            </w:pPr>
          </w:p>
          <w:p w:rsidR="00553F08" w:rsidRDefault="00553F08" w:rsidP="00553F08">
            <w:pPr>
              <w:jc w:val="center"/>
              <w:rPr>
                <w:b/>
                <w:sz w:val="20"/>
              </w:rPr>
            </w:pPr>
          </w:p>
          <w:p w:rsidR="00CF3565" w:rsidRPr="00B740BB" w:rsidRDefault="00CF3565" w:rsidP="00553F08">
            <w:pPr>
              <w:jc w:val="center"/>
              <w:rPr>
                <w:b/>
                <w:sz w:val="20"/>
              </w:rPr>
            </w:pPr>
            <w:r w:rsidRPr="00B740BB">
              <w:rPr>
                <w:b/>
                <w:sz w:val="20"/>
              </w:rPr>
              <w:t>06/2014</w:t>
            </w:r>
          </w:p>
          <w:p w:rsidR="00CF3565" w:rsidRPr="00B740BB" w:rsidRDefault="00CF3565" w:rsidP="00553F08">
            <w:pPr>
              <w:spacing w:after="120"/>
              <w:jc w:val="center"/>
              <w:rPr>
                <w:b/>
                <w:sz w:val="20"/>
              </w:rPr>
            </w:pPr>
          </w:p>
          <w:p w:rsidR="00CF3565" w:rsidRPr="00B740BB" w:rsidRDefault="00CF3565" w:rsidP="00553F08">
            <w:pPr>
              <w:spacing w:after="120"/>
              <w:jc w:val="center"/>
              <w:rPr>
                <w:b/>
                <w:sz w:val="20"/>
              </w:rPr>
            </w:pPr>
          </w:p>
        </w:tc>
        <w:tc>
          <w:tcPr>
            <w:tcW w:w="1260" w:type="dxa"/>
            <w:vMerge w:val="restart"/>
            <w:shd w:val="clear" w:color="auto" w:fill="auto"/>
          </w:tcPr>
          <w:p w:rsidR="00553F08" w:rsidRDefault="00553F08" w:rsidP="00553F08">
            <w:pPr>
              <w:jc w:val="center"/>
              <w:rPr>
                <w:rFonts w:eastAsia="Arial"/>
                <w:b/>
                <w:sz w:val="20"/>
              </w:rPr>
            </w:pPr>
          </w:p>
          <w:p w:rsidR="00553F08" w:rsidRDefault="00553F08" w:rsidP="00553F08">
            <w:pPr>
              <w:jc w:val="center"/>
              <w:rPr>
                <w:rFonts w:eastAsia="Arial"/>
                <w:b/>
                <w:sz w:val="20"/>
              </w:rPr>
            </w:pPr>
          </w:p>
          <w:p w:rsidR="00553F08" w:rsidRDefault="00553F08" w:rsidP="00553F08">
            <w:pPr>
              <w:jc w:val="center"/>
              <w:rPr>
                <w:rFonts w:eastAsia="Arial"/>
                <w:b/>
                <w:sz w:val="20"/>
              </w:rPr>
            </w:pPr>
          </w:p>
          <w:p w:rsidR="00553F08" w:rsidRDefault="00553F08" w:rsidP="00553F08">
            <w:pPr>
              <w:jc w:val="center"/>
              <w:rPr>
                <w:rFonts w:eastAsia="Arial"/>
                <w:b/>
                <w:sz w:val="20"/>
              </w:rPr>
            </w:pPr>
          </w:p>
          <w:p w:rsidR="00553F08" w:rsidRDefault="00553F08" w:rsidP="00553F08">
            <w:pPr>
              <w:jc w:val="center"/>
              <w:rPr>
                <w:rFonts w:eastAsia="Arial"/>
                <w:b/>
                <w:sz w:val="20"/>
              </w:rPr>
            </w:pPr>
          </w:p>
          <w:p w:rsidR="00553F08" w:rsidRDefault="00553F08" w:rsidP="00553F08">
            <w:pPr>
              <w:jc w:val="center"/>
              <w:rPr>
                <w:rFonts w:eastAsia="Arial"/>
                <w:b/>
                <w:sz w:val="20"/>
              </w:rPr>
            </w:pPr>
          </w:p>
          <w:p w:rsidR="00553F08" w:rsidRDefault="00553F08" w:rsidP="00553F08">
            <w:pPr>
              <w:jc w:val="center"/>
              <w:rPr>
                <w:rFonts w:eastAsia="Arial"/>
                <w:b/>
                <w:sz w:val="20"/>
              </w:rPr>
            </w:pPr>
          </w:p>
          <w:p w:rsidR="00553F08" w:rsidRDefault="00553F08" w:rsidP="00553F08">
            <w:pPr>
              <w:jc w:val="center"/>
              <w:rPr>
                <w:rFonts w:eastAsia="Arial"/>
                <w:b/>
                <w:sz w:val="20"/>
              </w:rPr>
            </w:pPr>
          </w:p>
          <w:p w:rsidR="00553F08" w:rsidRDefault="00553F08" w:rsidP="00553F08">
            <w:pPr>
              <w:jc w:val="center"/>
              <w:rPr>
                <w:rFonts w:eastAsia="Arial"/>
                <w:b/>
                <w:sz w:val="20"/>
              </w:rPr>
            </w:pPr>
          </w:p>
          <w:p w:rsidR="00553F08" w:rsidRDefault="00553F08" w:rsidP="00553F08">
            <w:pPr>
              <w:jc w:val="center"/>
              <w:rPr>
                <w:rFonts w:eastAsia="Arial"/>
                <w:b/>
                <w:sz w:val="20"/>
              </w:rPr>
            </w:pPr>
          </w:p>
          <w:p w:rsidR="00553F08" w:rsidRDefault="00553F08" w:rsidP="00553F08">
            <w:pPr>
              <w:jc w:val="center"/>
              <w:rPr>
                <w:rFonts w:eastAsia="Arial"/>
                <w:b/>
                <w:sz w:val="20"/>
              </w:rPr>
            </w:pPr>
          </w:p>
          <w:p w:rsidR="00CF3565" w:rsidRPr="00B740BB" w:rsidRDefault="00CF3565" w:rsidP="00553F08">
            <w:pPr>
              <w:jc w:val="center"/>
              <w:rPr>
                <w:b/>
                <w:sz w:val="20"/>
              </w:rPr>
            </w:pPr>
            <w:r w:rsidRPr="00B740BB">
              <w:rPr>
                <w:rFonts w:eastAsia="Arial"/>
                <w:b/>
                <w:sz w:val="20"/>
              </w:rPr>
              <w:t>11/2015</w:t>
            </w:r>
          </w:p>
          <w:p w:rsidR="00CF3565" w:rsidRPr="00B740BB" w:rsidRDefault="00CF3565" w:rsidP="00553F08">
            <w:pPr>
              <w:spacing w:after="120"/>
              <w:jc w:val="center"/>
              <w:rPr>
                <w:b/>
                <w:sz w:val="20"/>
              </w:rPr>
            </w:pPr>
          </w:p>
        </w:tc>
        <w:tc>
          <w:tcPr>
            <w:tcW w:w="1575" w:type="dxa"/>
            <w:vMerge w:val="restart"/>
            <w:shd w:val="clear" w:color="auto" w:fill="auto"/>
          </w:tcPr>
          <w:p w:rsidR="00CF3565" w:rsidRPr="00B740BB" w:rsidRDefault="00CF3565" w:rsidP="00B740BB">
            <w:pPr>
              <w:jc w:val="center"/>
              <w:rPr>
                <w:sz w:val="20"/>
              </w:rPr>
            </w:pPr>
          </w:p>
          <w:p w:rsidR="00CF3565" w:rsidRPr="00B740BB" w:rsidRDefault="00CF3565" w:rsidP="00B740BB">
            <w:pPr>
              <w:jc w:val="center"/>
              <w:rPr>
                <w:sz w:val="20"/>
              </w:rPr>
            </w:pPr>
          </w:p>
          <w:p w:rsidR="00CF3565" w:rsidRPr="00B740BB" w:rsidRDefault="00CF3565" w:rsidP="00B740BB">
            <w:pPr>
              <w:jc w:val="center"/>
              <w:rPr>
                <w:sz w:val="20"/>
              </w:rPr>
            </w:pPr>
          </w:p>
          <w:p w:rsidR="00CF3565" w:rsidRPr="00B740BB" w:rsidRDefault="00CF3565" w:rsidP="00B740BB">
            <w:pPr>
              <w:jc w:val="center"/>
              <w:rPr>
                <w:sz w:val="20"/>
              </w:rPr>
            </w:pPr>
          </w:p>
          <w:p w:rsidR="00CF3565" w:rsidRPr="00B740BB" w:rsidRDefault="00CF3565" w:rsidP="00B740BB">
            <w:pPr>
              <w:jc w:val="center"/>
              <w:rPr>
                <w:sz w:val="20"/>
              </w:rPr>
            </w:pPr>
          </w:p>
          <w:p w:rsidR="00CF3565" w:rsidRPr="00B740BB" w:rsidRDefault="00CF3565" w:rsidP="00B740BB">
            <w:pPr>
              <w:jc w:val="center"/>
              <w:rPr>
                <w:sz w:val="20"/>
              </w:rPr>
            </w:pPr>
          </w:p>
          <w:p w:rsidR="00CF3565" w:rsidRPr="00B740BB" w:rsidRDefault="00CF3565" w:rsidP="00B740BB">
            <w:pPr>
              <w:jc w:val="center"/>
              <w:rPr>
                <w:sz w:val="20"/>
              </w:rPr>
            </w:pPr>
          </w:p>
          <w:p w:rsidR="00CF3565" w:rsidRPr="00B740BB" w:rsidRDefault="00CF3565" w:rsidP="00B740BB">
            <w:pPr>
              <w:jc w:val="center"/>
              <w:rPr>
                <w:sz w:val="20"/>
              </w:rPr>
            </w:pPr>
          </w:p>
          <w:p w:rsidR="00CF3565" w:rsidRPr="00B740BB" w:rsidRDefault="00CF3565" w:rsidP="00B740BB">
            <w:pPr>
              <w:jc w:val="center"/>
              <w:rPr>
                <w:sz w:val="20"/>
              </w:rPr>
            </w:pPr>
          </w:p>
          <w:p w:rsidR="00CF3565" w:rsidRPr="00B740BB" w:rsidRDefault="00CF3565" w:rsidP="00B740BB">
            <w:pPr>
              <w:jc w:val="center"/>
              <w:rPr>
                <w:sz w:val="20"/>
              </w:rPr>
            </w:pPr>
            <w:r w:rsidRPr="00B740BB">
              <w:rPr>
                <w:sz w:val="20"/>
              </w:rPr>
              <w:t>Počet vypracovaných štúdií, analýz, strategických dokumentov</w:t>
            </w:r>
          </w:p>
          <w:p w:rsidR="00CF3565" w:rsidRPr="00B740BB" w:rsidRDefault="00CF3565" w:rsidP="00B740BB">
            <w:pPr>
              <w:jc w:val="center"/>
              <w:rPr>
                <w:sz w:val="20"/>
              </w:rPr>
            </w:pPr>
          </w:p>
        </w:tc>
        <w:tc>
          <w:tcPr>
            <w:tcW w:w="1164" w:type="dxa"/>
            <w:vMerge w:val="restart"/>
            <w:shd w:val="clear" w:color="auto" w:fill="auto"/>
          </w:tcPr>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p>
          <w:p w:rsidR="00CF3565" w:rsidRPr="00B740BB" w:rsidRDefault="00CF3565" w:rsidP="00B740BB">
            <w:pPr>
              <w:rPr>
                <w:sz w:val="20"/>
              </w:rPr>
            </w:pPr>
            <w:r w:rsidRPr="00B740BB">
              <w:rPr>
                <w:sz w:val="20"/>
              </w:rPr>
              <w:t>Počet</w:t>
            </w:r>
          </w:p>
          <w:p w:rsidR="00CF3565" w:rsidRPr="00B740BB" w:rsidRDefault="00CF3565" w:rsidP="00B740BB">
            <w:pPr>
              <w:rPr>
                <w:sz w:val="20"/>
              </w:rPr>
            </w:pPr>
          </w:p>
        </w:tc>
        <w:tc>
          <w:tcPr>
            <w:tcW w:w="992" w:type="dxa"/>
            <w:vMerge w:val="restart"/>
            <w:shd w:val="clear" w:color="auto" w:fill="auto"/>
          </w:tcPr>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sz w:val="20"/>
              </w:rPr>
            </w:pPr>
          </w:p>
          <w:p w:rsidR="00CF3565" w:rsidRPr="00B740BB" w:rsidRDefault="00CF3565" w:rsidP="00B740BB">
            <w:pPr>
              <w:spacing w:after="120"/>
              <w:jc w:val="center"/>
              <w:rPr>
                <w:b/>
                <w:sz w:val="20"/>
              </w:rPr>
            </w:pPr>
            <w:r w:rsidRPr="00B740BB">
              <w:rPr>
                <w:b/>
                <w:sz w:val="20"/>
              </w:rPr>
              <w:t>7</w:t>
            </w:r>
          </w:p>
          <w:p w:rsidR="00CF3565" w:rsidRPr="00B740BB" w:rsidRDefault="00CF3565" w:rsidP="00B740BB">
            <w:pPr>
              <w:spacing w:after="120"/>
              <w:jc w:val="center"/>
              <w:rPr>
                <w:sz w:val="20"/>
              </w:rPr>
            </w:pPr>
          </w:p>
        </w:tc>
      </w:tr>
      <w:tr w:rsidR="00CF3565" w:rsidRPr="00B740BB" w:rsidTr="00B740BB">
        <w:tc>
          <w:tcPr>
            <w:tcW w:w="3420" w:type="dxa"/>
            <w:shd w:val="clear" w:color="auto" w:fill="auto"/>
          </w:tcPr>
          <w:p w:rsidR="00CF3565" w:rsidRPr="00B740BB" w:rsidDel="00056E10" w:rsidRDefault="00CF3565" w:rsidP="00B740BB">
            <w:pPr>
              <w:spacing w:after="120"/>
              <w:rPr>
                <w:rFonts w:eastAsia="Arial"/>
                <w:sz w:val="20"/>
              </w:rPr>
            </w:pPr>
            <w:proofErr w:type="spellStart"/>
            <w:r w:rsidRPr="00B740BB">
              <w:rPr>
                <w:sz w:val="20"/>
              </w:rPr>
              <w:t>Podaktivita</w:t>
            </w:r>
            <w:proofErr w:type="spellEnd"/>
            <w:r w:rsidRPr="00B740BB">
              <w:rPr>
                <w:sz w:val="20"/>
              </w:rPr>
              <w:t xml:space="preserve"> 2.1 - Metodika sústavy </w:t>
            </w:r>
            <w:proofErr w:type="spellStart"/>
            <w:r w:rsidRPr="00B740BB">
              <w:rPr>
                <w:sz w:val="20"/>
              </w:rPr>
              <w:t>ekonometrických</w:t>
            </w:r>
            <w:proofErr w:type="spellEnd"/>
            <w:r w:rsidRPr="00B740BB">
              <w:rPr>
                <w:sz w:val="20"/>
              </w:rPr>
              <w:t xml:space="preserve"> modelov pre prognózy vývoja na trhu práce </w:t>
            </w:r>
          </w:p>
        </w:tc>
        <w:tc>
          <w:tcPr>
            <w:tcW w:w="1258" w:type="dxa"/>
            <w:vMerge/>
            <w:shd w:val="clear" w:color="auto" w:fill="auto"/>
            <w:vAlign w:val="center"/>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rFonts w:eastAsia="Arial"/>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rFonts w:eastAsia="Arial"/>
                <w:sz w:val="20"/>
              </w:rPr>
            </w:pPr>
            <w:r w:rsidRPr="00B740BB">
              <w:rPr>
                <w:rFonts w:eastAsia="Arial"/>
                <w:sz w:val="20"/>
              </w:rPr>
              <w:t xml:space="preserve">Výstup 1 - Metodika a sústava modelov pre tvorbu a verifikáciu prognóz vývoja na trhu práce </w:t>
            </w:r>
          </w:p>
        </w:tc>
        <w:tc>
          <w:tcPr>
            <w:tcW w:w="1258" w:type="dxa"/>
            <w:vMerge/>
            <w:shd w:val="clear" w:color="auto" w:fill="auto"/>
            <w:vAlign w:val="center"/>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tcPr>
          <w:p w:rsidR="00CF3565" w:rsidRPr="00B740BB" w:rsidDel="00056E10" w:rsidRDefault="00CF3565" w:rsidP="00B740BB">
            <w:pPr>
              <w:spacing w:after="120"/>
              <w:rPr>
                <w:rFonts w:eastAsia="Arial"/>
                <w:sz w:val="20"/>
              </w:rPr>
            </w:pPr>
            <w:proofErr w:type="spellStart"/>
            <w:r w:rsidRPr="00B740BB">
              <w:rPr>
                <w:sz w:val="20"/>
              </w:rPr>
              <w:t>Podaktivita</w:t>
            </w:r>
            <w:proofErr w:type="spellEnd"/>
            <w:r w:rsidRPr="00B740BB">
              <w:rPr>
                <w:sz w:val="20"/>
              </w:rPr>
              <w:t xml:space="preserve"> 2.2 - Prognóza očakávaných budúcich potrieb zamestnancov v horizonte 1 roka</w:t>
            </w:r>
          </w:p>
        </w:tc>
        <w:tc>
          <w:tcPr>
            <w:tcW w:w="1258" w:type="dxa"/>
            <w:vMerge/>
            <w:shd w:val="clear" w:color="auto" w:fill="auto"/>
            <w:vAlign w:val="center"/>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rFonts w:eastAsia="Arial"/>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sz w:val="20"/>
              </w:rPr>
            </w:pPr>
            <w:r w:rsidRPr="00B740BB">
              <w:rPr>
                <w:rFonts w:eastAsia="Arial"/>
                <w:sz w:val="20"/>
              </w:rPr>
              <w:t>Výstup 1 - Prognóza očakávaných budúcich potrieb zamestnancov v roku 2015</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rFonts w:eastAsia="Arial"/>
                <w:sz w:val="20"/>
              </w:rPr>
            </w:pPr>
            <w:r w:rsidRPr="00B740BB">
              <w:rPr>
                <w:rFonts w:eastAsia="Arial"/>
                <w:sz w:val="20"/>
              </w:rPr>
              <w:t xml:space="preserve">Výstup 2 - Prognóza očakávaných budúcich potrieb zamestnancov v roku 2016 </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tcPr>
          <w:p w:rsidR="00CF3565" w:rsidRPr="00B740BB" w:rsidDel="00056E10" w:rsidRDefault="00CF3565" w:rsidP="00B740BB">
            <w:pPr>
              <w:spacing w:after="120"/>
              <w:rPr>
                <w:rFonts w:eastAsia="Arial"/>
                <w:sz w:val="20"/>
              </w:rPr>
            </w:pPr>
            <w:proofErr w:type="spellStart"/>
            <w:r w:rsidRPr="00B740BB">
              <w:rPr>
                <w:sz w:val="20"/>
              </w:rPr>
              <w:t>Podaktivita</w:t>
            </w:r>
            <w:proofErr w:type="spellEnd"/>
            <w:r w:rsidRPr="00B740BB">
              <w:rPr>
                <w:sz w:val="20"/>
              </w:rPr>
              <w:t xml:space="preserve"> 2.3 - Prognóza očakávaných budúcich potrieb zamestnancov  v horizonte 5 rokov</w:t>
            </w:r>
          </w:p>
        </w:tc>
        <w:tc>
          <w:tcPr>
            <w:tcW w:w="1258" w:type="dxa"/>
            <w:vMerge/>
            <w:shd w:val="clear" w:color="auto" w:fill="auto"/>
            <w:vAlign w:val="center"/>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rFonts w:eastAsia="Arial"/>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553F08">
        <w:trPr>
          <w:trHeight w:val="725"/>
        </w:trPr>
        <w:tc>
          <w:tcPr>
            <w:tcW w:w="3420" w:type="dxa"/>
            <w:shd w:val="clear" w:color="auto" w:fill="auto"/>
            <w:vAlign w:val="center"/>
          </w:tcPr>
          <w:p w:rsidR="00CF3565" w:rsidRPr="00B740BB" w:rsidRDefault="00CF3565" w:rsidP="00B740BB">
            <w:pPr>
              <w:spacing w:after="120"/>
              <w:rPr>
                <w:rFonts w:eastAsia="Arial"/>
                <w:sz w:val="20"/>
              </w:rPr>
            </w:pPr>
            <w:r w:rsidRPr="00B740BB">
              <w:rPr>
                <w:rFonts w:eastAsia="Arial"/>
                <w:sz w:val="20"/>
              </w:rPr>
              <w:t>Výstup 1 - Prognóza očakávaných budúcich potrieb zamestnancov do roku 2019</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rPr>
          <w:trHeight w:val="614"/>
        </w:trPr>
        <w:tc>
          <w:tcPr>
            <w:tcW w:w="3420" w:type="dxa"/>
            <w:shd w:val="clear" w:color="auto" w:fill="auto"/>
            <w:vAlign w:val="center"/>
          </w:tcPr>
          <w:p w:rsidR="00CF3565" w:rsidRPr="00B740BB" w:rsidRDefault="00CF3565" w:rsidP="00B740BB">
            <w:pPr>
              <w:spacing w:after="120"/>
              <w:rPr>
                <w:rFonts w:eastAsia="Arial"/>
                <w:sz w:val="20"/>
              </w:rPr>
            </w:pPr>
            <w:r w:rsidRPr="00B740BB">
              <w:rPr>
                <w:rFonts w:eastAsia="Arial"/>
                <w:sz w:val="20"/>
              </w:rPr>
              <w:t>Výstup 2 - Prognóza očakávaných budúcich potrieb zamestnancov  do roku 2020</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tcPr>
          <w:p w:rsidR="00CF3565" w:rsidRPr="00B740BB" w:rsidDel="00056E10" w:rsidRDefault="00CF3565" w:rsidP="00B740BB">
            <w:pPr>
              <w:spacing w:after="120"/>
              <w:rPr>
                <w:rFonts w:eastAsia="Arial"/>
                <w:sz w:val="20"/>
              </w:rPr>
            </w:pPr>
            <w:proofErr w:type="spellStart"/>
            <w:r w:rsidRPr="00B740BB">
              <w:rPr>
                <w:sz w:val="20"/>
              </w:rPr>
              <w:t>Podaktivita</w:t>
            </w:r>
            <w:proofErr w:type="spellEnd"/>
            <w:r w:rsidRPr="00B740BB">
              <w:rPr>
                <w:sz w:val="20"/>
              </w:rPr>
              <w:t xml:space="preserve"> 2.4 - Návrh odporúčaní vyplývajúcich z prognózy vývoja na trhu práce</w:t>
            </w:r>
          </w:p>
        </w:tc>
        <w:tc>
          <w:tcPr>
            <w:tcW w:w="1258" w:type="dxa"/>
            <w:vMerge/>
            <w:shd w:val="clear" w:color="auto" w:fill="auto"/>
            <w:vAlign w:val="center"/>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rFonts w:eastAsia="Arial"/>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shd w:val="clear" w:color="auto" w:fill="auto"/>
            <w:vAlign w:val="center"/>
          </w:tcPr>
          <w:p w:rsidR="00CF3565" w:rsidRPr="00B740BB" w:rsidRDefault="00CF3565" w:rsidP="00B740BB">
            <w:pPr>
              <w:spacing w:after="120"/>
              <w:rPr>
                <w:rFonts w:eastAsia="Arial"/>
                <w:sz w:val="20"/>
              </w:rPr>
            </w:pPr>
            <w:r w:rsidRPr="00B740BB">
              <w:rPr>
                <w:rFonts w:eastAsia="Arial"/>
                <w:sz w:val="20"/>
              </w:rPr>
              <w:t>Výstup 1 - Návrh odporúčaní vyplývajúcich z prognózy vývoja na trhu práce v roku 2014</w:t>
            </w:r>
          </w:p>
        </w:tc>
        <w:tc>
          <w:tcPr>
            <w:tcW w:w="1258" w:type="dxa"/>
            <w:vMerge/>
            <w:shd w:val="clear" w:color="auto" w:fill="auto"/>
          </w:tcPr>
          <w:p w:rsidR="00CF3565" w:rsidRPr="00B740BB" w:rsidRDefault="00CF3565" w:rsidP="00B740BB">
            <w:pPr>
              <w:spacing w:after="120"/>
              <w:jc w:val="center"/>
              <w:rPr>
                <w:sz w:val="20"/>
              </w:rPr>
            </w:pPr>
          </w:p>
        </w:tc>
        <w:tc>
          <w:tcPr>
            <w:tcW w:w="1260" w:type="dxa"/>
            <w:vMerge/>
            <w:shd w:val="clear" w:color="auto" w:fill="auto"/>
            <w:vAlign w:val="center"/>
          </w:tcPr>
          <w:p w:rsidR="00CF3565" w:rsidRPr="00B740BB" w:rsidRDefault="00CF3565" w:rsidP="00B740BB">
            <w:pPr>
              <w:spacing w:after="120"/>
              <w:jc w:val="center"/>
              <w:rPr>
                <w:sz w:val="20"/>
              </w:rPr>
            </w:pPr>
          </w:p>
        </w:tc>
        <w:tc>
          <w:tcPr>
            <w:tcW w:w="1575" w:type="dxa"/>
            <w:vMerge/>
            <w:shd w:val="clear" w:color="auto" w:fill="auto"/>
          </w:tcPr>
          <w:p w:rsidR="00CF3565" w:rsidRPr="00B740BB" w:rsidRDefault="00CF3565" w:rsidP="00B740BB">
            <w:pPr>
              <w:jc w:val="center"/>
              <w:rPr>
                <w:sz w:val="20"/>
              </w:rPr>
            </w:pPr>
          </w:p>
        </w:tc>
        <w:tc>
          <w:tcPr>
            <w:tcW w:w="1164" w:type="dxa"/>
            <w:vMerge/>
            <w:shd w:val="clear" w:color="auto" w:fill="auto"/>
          </w:tcPr>
          <w:p w:rsidR="00CF3565" w:rsidRPr="00B740BB" w:rsidRDefault="00CF3565" w:rsidP="00B740BB">
            <w:pPr>
              <w:rPr>
                <w:sz w:val="20"/>
              </w:rPr>
            </w:pPr>
          </w:p>
        </w:tc>
        <w:tc>
          <w:tcPr>
            <w:tcW w:w="992" w:type="dxa"/>
            <w:vMerge/>
            <w:shd w:val="clear" w:color="auto" w:fill="auto"/>
          </w:tcPr>
          <w:p w:rsidR="00CF3565" w:rsidRPr="00B740BB" w:rsidRDefault="00CF3565" w:rsidP="00B740BB">
            <w:pPr>
              <w:spacing w:after="120"/>
              <w:jc w:val="center"/>
              <w:rPr>
                <w:sz w:val="20"/>
              </w:rPr>
            </w:pPr>
          </w:p>
        </w:tc>
      </w:tr>
      <w:tr w:rsidR="00CF3565" w:rsidRPr="00B740BB" w:rsidTr="00B740BB">
        <w:tc>
          <w:tcPr>
            <w:tcW w:w="3420" w:type="dxa"/>
            <w:tcBorders>
              <w:bottom w:val="single" w:sz="4" w:space="0" w:color="auto"/>
            </w:tcBorders>
            <w:shd w:val="clear" w:color="auto" w:fill="auto"/>
            <w:vAlign w:val="center"/>
          </w:tcPr>
          <w:p w:rsidR="00CF3565" w:rsidRPr="00B740BB" w:rsidRDefault="00CF3565" w:rsidP="00B740BB">
            <w:pPr>
              <w:spacing w:after="120"/>
              <w:rPr>
                <w:rFonts w:eastAsia="Arial"/>
                <w:sz w:val="20"/>
              </w:rPr>
            </w:pPr>
            <w:r w:rsidRPr="00B740BB">
              <w:rPr>
                <w:rFonts w:eastAsia="Arial"/>
                <w:sz w:val="20"/>
              </w:rPr>
              <w:t>Výstup 2 - Návrh odporúčaní vyplývajúcich z prognózy vývoja na trhu práce v roku 2015</w:t>
            </w:r>
          </w:p>
        </w:tc>
        <w:tc>
          <w:tcPr>
            <w:tcW w:w="1258" w:type="dxa"/>
            <w:vMerge/>
            <w:tcBorders>
              <w:bottom w:val="single" w:sz="4" w:space="0" w:color="auto"/>
            </w:tcBorders>
            <w:shd w:val="clear" w:color="auto" w:fill="auto"/>
          </w:tcPr>
          <w:p w:rsidR="00CF3565" w:rsidRPr="00B740BB" w:rsidRDefault="00CF3565" w:rsidP="00B740BB">
            <w:pPr>
              <w:spacing w:after="120"/>
              <w:jc w:val="center"/>
              <w:rPr>
                <w:sz w:val="20"/>
              </w:rPr>
            </w:pPr>
          </w:p>
        </w:tc>
        <w:tc>
          <w:tcPr>
            <w:tcW w:w="1260" w:type="dxa"/>
            <w:vMerge/>
            <w:tcBorders>
              <w:bottom w:val="single" w:sz="4" w:space="0" w:color="auto"/>
            </w:tcBorders>
            <w:shd w:val="clear" w:color="auto" w:fill="auto"/>
            <w:vAlign w:val="center"/>
          </w:tcPr>
          <w:p w:rsidR="00CF3565" w:rsidRPr="00B740BB" w:rsidRDefault="00CF3565" w:rsidP="00B740BB">
            <w:pPr>
              <w:spacing w:after="120"/>
              <w:jc w:val="center"/>
              <w:rPr>
                <w:sz w:val="20"/>
              </w:rPr>
            </w:pPr>
          </w:p>
        </w:tc>
        <w:tc>
          <w:tcPr>
            <w:tcW w:w="1575" w:type="dxa"/>
            <w:vMerge/>
            <w:tcBorders>
              <w:bottom w:val="single" w:sz="4" w:space="0" w:color="auto"/>
            </w:tcBorders>
            <w:shd w:val="clear" w:color="auto" w:fill="auto"/>
          </w:tcPr>
          <w:p w:rsidR="00CF3565" w:rsidRPr="00B740BB" w:rsidRDefault="00CF3565" w:rsidP="00B740BB">
            <w:pPr>
              <w:jc w:val="center"/>
              <w:rPr>
                <w:sz w:val="20"/>
              </w:rPr>
            </w:pPr>
          </w:p>
        </w:tc>
        <w:tc>
          <w:tcPr>
            <w:tcW w:w="1164" w:type="dxa"/>
            <w:vMerge/>
            <w:tcBorders>
              <w:bottom w:val="single" w:sz="4" w:space="0" w:color="auto"/>
            </w:tcBorders>
            <w:shd w:val="clear" w:color="auto" w:fill="auto"/>
          </w:tcPr>
          <w:p w:rsidR="00CF3565" w:rsidRPr="00B740BB" w:rsidRDefault="00CF3565" w:rsidP="00B740BB">
            <w:pPr>
              <w:rPr>
                <w:sz w:val="20"/>
              </w:rPr>
            </w:pPr>
          </w:p>
        </w:tc>
        <w:tc>
          <w:tcPr>
            <w:tcW w:w="992" w:type="dxa"/>
            <w:vMerge/>
            <w:tcBorders>
              <w:bottom w:val="single" w:sz="4" w:space="0" w:color="auto"/>
            </w:tcBorders>
            <w:shd w:val="clear" w:color="auto" w:fill="auto"/>
          </w:tcPr>
          <w:p w:rsidR="00CF3565" w:rsidRPr="00B740BB" w:rsidRDefault="00CF3565" w:rsidP="00B740BB">
            <w:pPr>
              <w:spacing w:after="120"/>
              <w:jc w:val="center"/>
              <w:rPr>
                <w:sz w:val="20"/>
              </w:rPr>
            </w:pPr>
          </w:p>
        </w:tc>
      </w:tr>
    </w:tbl>
    <w:p w:rsidR="00CD6E41" w:rsidRPr="000C0959" w:rsidRDefault="00CD6E41" w:rsidP="00CD6E41">
      <w:pPr>
        <w:autoSpaceDE w:val="0"/>
        <w:autoSpaceDN w:val="0"/>
        <w:adjustRightInd w:val="0"/>
        <w:spacing w:after="120"/>
        <w:jc w:val="both"/>
      </w:pPr>
      <w:r w:rsidRPr="000C0959">
        <w:t xml:space="preserve">Výstupy budú sprístupnené v elektronickej podobe, prostredníctvom SSH Serveru </w:t>
      </w:r>
      <w:r w:rsidRPr="000C0959">
        <w:rPr>
          <w:szCs w:val="24"/>
        </w:rPr>
        <w:t>(</w:t>
      </w:r>
      <w:proofErr w:type="spellStart"/>
      <w:r w:rsidRPr="000C0959">
        <w:rPr>
          <w:iCs/>
          <w:szCs w:val="24"/>
          <w:shd w:val="clear" w:color="auto" w:fill="FFFFFF"/>
        </w:rPr>
        <w:t>secure</w:t>
      </w:r>
      <w:proofErr w:type="spellEnd"/>
      <w:r w:rsidRPr="000C0959">
        <w:rPr>
          <w:iCs/>
          <w:szCs w:val="24"/>
          <w:shd w:val="clear" w:color="auto" w:fill="FFFFFF"/>
        </w:rPr>
        <w:t xml:space="preserve"> </w:t>
      </w:r>
      <w:proofErr w:type="spellStart"/>
      <w:r w:rsidRPr="000C0959">
        <w:rPr>
          <w:iCs/>
          <w:szCs w:val="24"/>
          <w:shd w:val="clear" w:color="auto" w:fill="FFFFFF"/>
        </w:rPr>
        <w:t>shell</w:t>
      </w:r>
      <w:proofErr w:type="spellEnd"/>
      <w:r w:rsidRPr="000C0959">
        <w:rPr>
          <w:iCs/>
          <w:szCs w:val="24"/>
          <w:shd w:val="clear" w:color="auto" w:fill="FFFFFF"/>
        </w:rPr>
        <w:t xml:space="preserve"> server</w:t>
      </w:r>
      <w:r w:rsidRPr="000C0959">
        <w:rPr>
          <w:szCs w:val="24"/>
        </w:rPr>
        <w:t xml:space="preserve">) </w:t>
      </w:r>
      <w:r w:rsidRPr="000C0959">
        <w:t>a internetu.</w:t>
      </w:r>
    </w:p>
    <w:p w:rsidR="00132743" w:rsidRPr="000C0959" w:rsidRDefault="00132743" w:rsidP="00132743">
      <w:pPr>
        <w:autoSpaceDE w:val="0"/>
        <w:autoSpaceDN w:val="0"/>
        <w:adjustRightInd w:val="0"/>
        <w:ind w:left="284" w:hanging="284"/>
        <w:jc w:val="both"/>
        <w:rPr>
          <w:szCs w:val="24"/>
        </w:rPr>
      </w:pPr>
      <w:r w:rsidRPr="000C0959">
        <w:rPr>
          <w:szCs w:val="24"/>
        </w:rPr>
        <w:t>Podrobný popis hlavných aktivít</w:t>
      </w:r>
    </w:p>
    <w:p w:rsidR="00FC4141" w:rsidRPr="000C0959" w:rsidRDefault="00FC4141" w:rsidP="00FC4141">
      <w:pPr>
        <w:pStyle w:val="Pta"/>
        <w:spacing w:before="20" w:after="20"/>
        <w:jc w:val="both"/>
        <w:rPr>
          <w:b/>
          <w:szCs w:val="24"/>
        </w:rPr>
      </w:pPr>
      <w:r w:rsidRPr="000C0959">
        <w:rPr>
          <w:b/>
          <w:szCs w:val="24"/>
        </w:rPr>
        <w:t xml:space="preserve">Aktivita 1 – Analýzy a kvalitatívne prieskumy ponuky a dopytu po práci na trhu práce </w:t>
      </w:r>
    </w:p>
    <w:p w:rsidR="00FC4141" w:rsidRPr="000C0959" w:rsidRDefault="00FC4141" w:rsidP="00FC4141">
      <w:pPr>
        <w:jc w:val="both"/>
        <w:rPr>
          <w:szCs w:val="24"/>
        </w:rPr>
      </w:pPr>
      <w:r w:rsidRPr="000C0959">
        <w:rPr>
          <w:szCs w:val="24"/>
        </w:rPr>
        <w:t xml:space="preserve">Aktivita bude realizovaná dodávateľsky. Financovanie aktivity bude zabezpečené z úrovne </w:t>
      </w:r>
      <w:r w:rsidR="007C1BBB" w:rsidRPr="000C0959">
        <w:rPr>
          <w:szCs w:val="24"/>
        </w:rPr>
        <w:t>Ústredia PSVR</w:t>
      </w:r>
      <w:r w:rsidRPr="000C0959">
        <w:rPr>
          <w:szCs w:val="24"/>
        </w:rPr>
        <w:t>. Cena bola stanovená na základe prieskumu trhu.</w:t>
      </w:r>
    </w:p>
    <w:p w:rsidR="00FC4141" w:rsidRPr="000C0959" w:rsidRDefault="00FC4141" w:rsidP="00FC4141">
      <w:pPr>
        <w:pStyle w:val="Pta"/>
        <w:spacing w:before="20" w:after="20"/>
        <w:jc w:val="both"/>
        <w:rPr>
          <w:b/>
          <w:szCs w:val="24"/>
        </w:rPr>
      </w:pPr>
    </w:p>
    <w:p w:rsidR="00FC4141" w:rsidRPr="000C0959" w:rsidRDefault="00FC4141" w:rsidP="00FC4141">
      <w:pPr>
        <w:pStyle w:val="Pta"/>
        <w:spacing w:before="20" w:after="20"/>
        <w:jc w:val="both"/>
        <w:rPr>
          <w:b/>
          <w:szCs w:val="24"/>
        </w:rPr>
      </w:pPr>
      <w:proofErr w:type="spellStart"/>
      <w:r w:rsidRPr="000C0959">
        <w:rPr>
          <w:b/>
          <w:szCs w:val="24"/>
        </w:rPr>
        <w:t>Podaktivita</w:t>
      </w:r>
      <w:proofErr w:type="spellEnd"/>
      <w:r w:rsidRPr="000C0959">
        <w:rPr>
          <w:b/>
          <w:szCs w:val="24"/>
        </w:rPr>
        <w:t xml:space="preserve"> 1.1 - Retrospektívna analýza trendov v oblasti zamestnanosti v národnom hospodárstve</w:t>
      </w:r>
    </w:p>
    <w:p w:rsidR="00FC4141" w:rsidRPr="000C0959" w:rsidRDefault="00FC4141" w:rsidP="00FC4141">
      <w:pPr>
        <w:pStyle w:val="Pta"/>
        <w:spacing w:before="20" w:after="20"/>
        <w:jc w:val="both"/>
        <w:rPr>
          <w:b/>
          <w:szCs w:val="24"/>
        </w:rPr>
      </w:pPr>
      <w:r w:rsidRPr="000C0959">
        <w:rPr>
          <w:rFonts w:eastAsia="Arial"/>
          <w:szCs w:val="24"/>
        </w:rPr>
        <w:t xml:space="preserve">Výstup 1 - Retrospektívna analýza zamestnanosti a komparácie štruktúr v národnom hospodárstve v období r. 2000 – 1. polrok 2013, </w:t>
      </w:r>
    </w:p>
    <w:p w:rsidR="00FC4141" w:rsidRPr="000C0959" w:rsidRDefault="00FC4141" w:rsidP="00FC4141">
      <w:pPr>
        <w:pStyle w:val="Pta"/>
        <w:spacing w:before="20" w:after="20"/>
        <w:jc w:val="both"/>
        <w:rPr>
          <w:szCs w:val="24"/>
        </w:rPr>
      </w:pPr>
      <w:r w:rsidRPr="000C0959">
        <w:rPr>
          <w:rFonts w:eastAsia="Arial"/>
          <w:szCs w:val="24"/>
        </w:rPr>
        <w:t xml:space="preserve">Výstup 2 - Retrospektívna analýza zamestnanosti  a komparácie štruktúr v národnom hospodárstve v období r. </w:t>
      </w:r>
      <w:r w:rsidRPr="000C0959">
        <w:rPr>
          <w:szCs w:val="24"/>
        </w:rPr>
        <w:t>2011 – 1. polrok 2014</w:t>
      </w:r>
    </w:p>
    <w:p w:rsidR="00FC4141" w:rsidRPr="000C0959" w:rsidRDefault="00FC4141" w:rsidP="00FC4141">
      <w:pPr>
        <w:pStyle w:val="Pta"/>
        <w:spacing w:before="20" w:after="20"/>
        <w:jc w:val="both"/>
        <w:rPr>
          <w:szCs w:val="24"/>
        </w:rPr>
      </w:pPr>
      <w:r w:rsidRPr="000C0959">
        <w:rPr>
          <w:szCs w:val="24"/>
        </w:rPr>
        <w:t xml:space="preserve">Výstupy budú obsahovať popis  hlavných trendov v zamestnanosti na Slovensku. </w:t>
      </w:r>
    </w:p>
    <w:p w:rsidR="00FC4141" w:rsidRPr="000C0959" w:rsidRDefault="00FC4141" w:rsidP="00FC4141">
      <w:pPr>
        <w:pStyle w:val="Pta"/>
        <w:spacing w:before="20" w:after="20"/>
        <w:jc w:val="both"/>
        <w:rPr>
          <w:szCs w:val="24"/>
        </w:rPr>
      </w:pPr>
      <w:r w:rsidRPr="000C0959">
        <w:rPr>
          <w:szCs w:val="24"/>
        </w:rPr>
        <w:t>Retrospektívna analýza trendov v oblasti zamestnanosti v národnom hospodárstve SR je prvý a významný pilier pri kvalifikovanej tvorbe prognóz budúcich potrieb na trhu práce. Neoddeliteľnou súčasťou tohto systému musí byť dôsledná realizácia úloh, zameraných na poskytovanie súboru aktuálnych informácií o nových, voľných a zaniknutých  pracovných miestach ako aj výsledkov z monitorovania a analytického vyhodnocovania. Ide najmä o  analýzy odvetvovej, profesijnej a kvalifikačnej  štruktúry zamestnanosti, ceny práce, mobility a fluktuácie zamestnancov. .</w:t>
      </w:r>
    </w:p>
    <w:p w:rsidR="00FC4141" w:rsidRPr="000C0959" w:rsidRDefault="00FC4141" w:rsidP="00FC4141">
      <w:pPr>
        <w:jc w:val="both"/>
        <w:rPr>
          <w:szCs w:val="24"/>
          <w:lang w:eastAsia="en-US"/>
        </w:rPr>
      </w:pPr>
      <w:r w:rsidRPr="000C0959">
        <w:rPr>
          <w:szCs w:val="24"/>
          <w:lang w:eastAsia="en-US"/>
        </w:rPr>
        <w:t xml:space="preserve">Zavedenie efektívneho systému pre predvídanie potrieb a požiadaviek zamestnávateľov na kvalifikovanú pracovnú silu sa musí realizovať v členení podľa SK NACE Rev.2 na úrovni 2 zn., SK ISCO-08 na úrovni 4 zn., NUTS 3, skupiny okresov NUTS 4, štatistickej klasifikácie odborov vzdelania (KOV) a medzinárodného klasifikačného štandardu pre vzdelávanie (ISCED) a to za účelom urýchlenia procesov v oblasti </w:t>
      </w:r>
      <w:proofErr w:type="spellStart"/>
      <w:r w:rsidRPr="000C0959">
        <w:rPr>
          <w:szCs w:val="24"/>
          <w:lang w:eastAsia="en-US"/>
        </w:rPr>
        <w:t>zosúlaďovania</w:t>
      </w:r>
      <w:proofErr w:type="spellEnd"/>
      <w:r w:rsidRPr="000C0959">
        <w:rPr>
          <w:szCs w:val="24"/>
          <w:lang w:eastAsia="en-US"/>
        </w:rPr>
        <w:t xml:space="preserve"> dopytu a ponuky na trhu práce a eliminácie nerovnovážnych tendencií na národnom, ale najmä na regionálnych trhoch práce a v predchádzaní sociálnych napätí.</w:t>
      </w:r>
    </w:p>
    <w:p w:rsidR="00FC4141" w:rsidRPr="000C0959" w:rsidRDefault="00FC4141" w:rsidP="00FC4141">
      <w:pPr>
        <w:pStyle w:val="Pta"/>
        <w:spacing w:before="20" w:after="20"/>
        <w:jc w:val="both"/>
        <w:rPr>
          <w:szCs w:val="24"/>
        </w:rPr>
      </w:pPr>
      <w:r w:rsidRPr="000C0959">
        <w:rPr>
          <w:szCs w:val="24"/>
        </w:rPr>
        <w:t>Časové intervaly ohraničujúce vyššie uvedené analýzy reflektujú na časovú postupnosť spracovania jednotlivých krátkodobých a strednodobých prognóz. Tieto časové intervaly sú nastavené tak, aby zároveň boli v plnej miere zachytené do prognóz dynamicky sa meniace podmienky a vývoj na trhu práce.</w:t>
      </w:r>
    </w:p>
    <w:p w:rsidR="00FC4141" w:rsidRPr="000C0959" w:rsidRDefault="00FC4141" w:rsidP="00FC4141">
      <w:pPr>
        <w:pStyle w:val="Odsekzoznamu"/>
        <w:ind w:left="0"/>
        <w:jc w:val="both"/>
        <w:rPr>
          <w:szCs w:val="24"/>
          <w:lang w:eastAsia="en-US"/>
        </w:rPr>
      </w:pPr>
      <w:r w:rsidRPr="000C0959">
        <w:rPr>
          <w:szCs w:val="24"/>
          <w:lang w:eastAsia="en-US"/>
        </w:rPr>
        <w:t xml:space="preserve">Aktuálne analýzy na týchto úrovniach územného členenia (NUTS 3,4) a podľa takéhoto podrobného členenia podľa SK ISCO-08 a SK NACE Rev.2 v súčasnosti absentujú (Rámcové osnovy týchto dokumentov obsahuje príloha </w:t>
      </w:r>
      <w:r w:rsidR="004C6CE8" w:rsidRPr="000C0959">
        <w:rPr>
          <w:szCs w:val="24"/>
          <w:lang w:eastAsia="en-US"/>
        </w:rPr>
        <w:t>Zadania na vypracovanie dokumentov „</w:t>
      </w:r>
      <w:r w:rsidR="004C6CE8" w:rsidRPr="000C0959">
        <w:rPr>
          <w:szCs w:val="24"/>
        </w:rPr>
        <w:t>Retrospektívna analýza trendov v oblasti zamestnanosti v národnom hospodárstve“</w:t>
      </w:r>
      <w:r w:rsidRPr="000C0959">
        <w:rPr>
          <w:szCs w:val="24"/>
          <w:lang w:eastAsia="en-US"/>
        </w:rPr>
        <w:t>).</w:t>
      </w:r>
    </w:p>
    <w:p w:rsidR="00FC4141" w:rsidRPr="000C0959" w:rsidRDefault="00FC4141" w:rsidP="00FC4141">
      <w:pPr>
        <w:pStyle w:val="Pta"/>
        <w:spacing w:before="20" w:after="20"/>
        <w:jc w:val="both"/>
        <w:rPr>
          <w:szCs w:val="24"/>
        </w:rPr>
      </w:pPr>
    </w:p>
    <w:p w:rsidR="00FC4141" w:rsidRPr="000C0959" w:rsidRDefault="00FC4141" w:rsidP="00FC4141">
      <w:pPr>
        <w:pStyle w:val="Pta"/>
        <w:spacing w:before="20" w:after="20"/>
        <w:jc w:val="both"/>
        <w:rPr>
          <w:rFonts w:eastAsia="Arial"/>
          <w:szCs w:val="24"/>
        </w:rPr>
      </w:pPr>
      <w:proofErr w:type="spellStart"/>
      <w:r w:rsidRPr="000C0959">
        <w:rPr>
          <w:b/>
          <w:szCs w:val="24"/>
        </w:rPr>
        <w:t>Podaktivita</w:t>
      </w:r>
      <w:proofErr w:type="spellEnd"/>
      <w:r w:rsidRPr="000C0959">
        <w:rPr>
          <w:b/>
          <w:szCs w:val="24"/>
        </w:rPr>
        <w:t xml:space="preserve"> 1.2 - Kvalitatívne a kvantitatívne prieskumy vo vybraných skupinách odvetví </w:t>
      </w:r>
    </w:p>
    <w:p w:rsidR="00FC4141" w:rsidRPr="000C0959" w:rsidRDefault="00FC4141" w:rsidP="00FC4141">
      <w:pPr>
        <w:pStyle w:val="Pta"/>
        <w:spacing w:before="20" w:after="20"/>
        <w:jc w:val="both"/>
        <w:rPr>
          <w:rFonts w:eastAsia="Arial"/>
          <w:szCs w:val="24"/>
        </w:rPr>
      </w:pPr>
      <w:r w:rsidRPr="000C0959">
        <w:rPr>
          <w:rFonts w:eastAsia="Arial"/>
          <w:szCs w:val="24"/>
        </w:rPr>
        <w:t xml:space="preserve">Výstup 1 - Správa o priebehu a zistených výsledkoch z výberových kvalitatívnych prieskumov vychádzajúce z relevantných údajov za rok 2014 </w:t>
      </w:r>
    </w:p>
    <w:p w:rsidR="00FC4141" w:rsidRPr="000C0959" w:rsidRDefault="00FC4141" w:rsidP="00FC4141">
      <w:pPr>
        <w:jc w:val="both"/>
        <w:rPr>
          <w:rFonts w:eastAsia="Arial"/>
          <w:szCs w:val="24"/>
        </w:rPr>
      </w:pPr>
      <w:r w:rsidRPr="000C0959">
        <w:rPr>
          <w:rFonts w:eastAsia="Arial"/>
          <w:szCs w:val="24"/>
        </w:rPr>
        <w:t>Výstup 2 - Správa o priebehu a zistených výsledkoch z výberových kvalitatívnych prieskumov vychádzajúce z relevantných údajov za rok 2015</w:t>
      </w:r>
    </w:p>
    <w:p w:rsidR="00FC4141" w:rsidRPr="000C0959" w:rsidRDefault="00FC4141" w:rsidP="00FC4141">
      <w:pPr>
        <w:jc w:val="both"/>
        <w:rPr>
          <w:szCs w:val="24"/>
          <w:lang w:eastAsia="en-US"/>
        </w:rPr>
      </w:pPr>
      <w:r w:rsidRPr="000C0959">
        <w:rPr>
          <w:rFonts w:eastAsia="Arial"/>
          <w:szCs w:val="24"/>
        </w:rPr>
        <w:t xml:space="preserve">V rámci týchto výstupov sa budú realizovať odborné činnosti súvisiace so zisťovaním  (prieskumom) u riadiacich zamestnancov najvýznamnejších regionálnych zamestnávateľov a vyhodnocovať súbory získaných údajov. </w:t>
      </w:r>
      <w:r w:rsidR="00CF0364" w:rsidRPr="000C0959">
        <w:rPr>
          <w:rFonts w:eastAsia="Arial"/>
          <w:szCs w:val="24"/>
        </w:rPr>
        <w:t xml:space="preserve">Správa o </w:t>
      </w:r>
      <w:r w:rsidR="00CF0364" w:rsidRPr="000C0959">
        <w:rPr>
          <w:szCs w:val="24"/>
        </w:rPr>
        <w:t xml:space="preserve">priebehu </w:t>
      </w:r>
      <w:r w:rsidRPr="000C0959">
        <w:rPr>
          <w:szCs w:val="24"/>
        </w:rPr>
        <w:t xml:space="preserve">a zistených výsledkoch z výberových kvalitatívnych prieskumov vychádzajúce z relevantných údajov bude obsahovať aj podrobný popis priebehu zberu. V rámci týchto prieskumov budú oslovený </w:t>
      </w:r>
      <w:r w:rsidR="00CF0364" w:rsidRPr="000C0959">
        <w:rPr>
          <w:szCs w:val="24"/>
        </w:rPr>
        <w:t xml:space="preserve">významní </w:t>
      </w:r>
      <w:r w:rsidRPr="000C0959">
        <w:rPr>
          <w:szCs w:val="24"/>
        </w:rPr>
        <w:t>zamestnávatelia, najmä zamestnávatelia s 500 a viac zamestnancami.</w:t>
      </w:r>
      <w:r w:rsidR="00D85E5C" w:rsidRPr="000C0959">
        <w:rPr>
          <w:szCs w:val="24"/>
        </w:rPr>
        <w:t xml:space="preserve"> </w:t>
      </w:r>
      <w:r w:rsidRPr="000C0959">
        <w:rPr>
          <w:szCs w:val="24"/>
        </w:rPr>
        <w:t xml:space="preserve">V opodstatnených prípadoch (najmä vo väzbe na ekonomicky potenciál regiónu a odvetvia, môžu byť </w:t>
      </w:r>
      <w:r w:rsidR="00CD6E41" w:rsidRPr="000C0959">
        <w:rPr>
          <w:szCs w:val="24"/>
        </w:rPr>
        <w:t xml:space="preserve">ako významní zamestnávatelia oslovení </w:t>
      </w:r>
      <w:proofErr w:type="spellStart"/>
      <w:r w:rsidRPr="000C0959">
        <w:rPr>
          <w:szCs w:val="24"/>
        </w:rPr>
        <w:t>oslovení</w:t>
      </w:r>
      <w:proofErr w:type="spellEnd"/>
      <w:r w:rsidRPr="000C0959">
        <w:rPr>
          <w:szCs w:val="24"/>
        </w:rPr>
        <w:t xml:space="preserve"> aj zamestnávatelia s menším počtom zamestnancov). Prieskumy u zamestnávateľov sa budú </w:t>
      </w:r>
      <w:r w:rsidRPr="000C0959">
        <w:rPr>
          <w:szCs w:val="24"/>
          <w:lang w:eastAsia="en-US"/>
        </w:rPr>
        <w:t>realizovať v členení podľa SK NACE Rev.2 na úrovni 2 zn., SK ISCO-08 na úrovni 4 zn., NUTS 3, príp. skupiny okresov NUTS 4.</w:t>
      </w:r>
    </w:p>
    <w:p w:rsidR="00FC4141" w:rsidRPr="000C0959" w:rsidRDefault="00FC4141" w:rsidP="00FC4141">
      <w:pPr>
        <w:pStyle w:val="Pta"/>
        <w:spacing w:before="20" w:after="20"/>
        <w:jc w:val="both"/>
        <w:rPr>
          <w:szCs w:val="24"/>
        </w:rPr>
      </w:pPr>
      <w:r w:rsidRPr="000C0959">
        <w:rPr>
          <w:szCs w:val="24"/>
        </w:rPr>
        <w:t xml:space="preserve">Aktuálne prieskumy na týchto úrovniach územného členenia (NUTS 3,4) a podľa takéhoto podrobného členenia podľa SK ISCO-08 a SK NACE Rev.2 v súčasnosti absentujú (Rámcové osnovy dokumentov obsahuje príloha </w:t>
      </w:r>
      <w:r w:rsidR="004C6CE8" w:rsidRPr="000C0959">
        <w:rPr>
          <w:szCs w:val="24"/>
        </w:rPr>
        <w:t>Zadania na vypracovanie dokumentov „Kvalitatívne a kvantitatívne prieskumy vo vybraných skupinách odvetví“</w:t>
      </w:r>
      <w:r w:rsidRPr="000C0959">
        <w:rPr>
          <w:szCs w:val="24"/>
        </w:rPr>
        <w:t>).</w:t>
      </w:r>
    </w:p>
    <w:p w:rsidR="00FC4141" w:rsidRPr="000C0959" w:rsidRDefault="00FC4141" w:rsidP="00FC4141">
      <w:pPr>
        <w:pStyle w:val="Pta"/>
        <w:spacing w:before="20" w:after="20"/>
        <w:jc w:val="both"/>
        <w:rPr>
          <w:szCs w:val="24"/>
        </w:rPr>
      </w:pPr>
    </w:p>
    <w:p w:rsidR="00FC4141" w:rsidRPr="000C0959" w:rsidRDefault="00FC4141" w:rsidP="00FC4141">
      <w:pPr>
        <w:pStyle w:val="Pta"/>
        <w:spacing w:before="20" w:after="20"/>
        <w:jc w:val="both"/>
        <w:rPr>
          <w:rFonts w:eastAsia="Arial"/>
          <w:szCs w:val="24"/>
        </w:rPr>
      </w:pPr>
      <w:proofErr w:type="spellStart"/>
      <w:r w:rsidRPr="000C0959">
        <w:rPr>
          <w:b/>
          <w:szCs w:val="24"/>
        </w:rPr>
        <w:t>Podaktivita</w:t>
      </w:r>
      <w:proofErr w:type="spellEnd"/>
      <w:r w:rsidRPr="000C0959">
        <w:rPr>
          <w:b/>
          <w:szCs w:val="24"/>
        </w:rPr>
        <w:t xml:space="preserve"> 1.3 - Komplexná analýza demografických štruktúr a vývojových trendov pracovných síl</w:t>
      </w:r>
    </w:p>
    <w:p w:rsidR="00FC4141" w:rsidRPr="000C0959" w:rsidRDefault="00FC4141" w:rsidP="00FC4141">
      <w:pPr>
        <w:pStyle w:val="Pta"/>
        <w:spacing w:before="20" w:after="20"/>
        <w:jc w:val="both"/>
        <w:rPr>
          <w:szCs w:val="24"/>
        </w:rPr>
      </w:pPr>
      <w:r w:rsidRPr="000C0959">
        <w:rPr>
          <w:rFonts w:eastAsia="Arial"/>
          <w:szCs w:val="24"/>
        </w:rPr>
        <w:t xml:space="preserve">Výstup 1 - Demografická analýza  a vývojové trendy </w:t>
      </w:r>
      <w:r w:rsidRPr="000C0959">
        <w:rPr>
          <w:szCs w:val="24"/>
        </w:rPr>
        <w:t xml:space="preserve">pracovných síl v období r. 2001 – 2010 a 2011 -  I. polroku 2013 </w:t>
      </w:r>
    </w:p>
    <w:p w:rsidR="00CF0364" w:rsidRPr="000C0959" w:rsidRDefault="00CF0364" w:rsidP="00CF0364">
      <w:pPr>
        <w:pStyle w:val="Pta"/>
        <w:spacing w:before="20" w:after="20"/>
        <w:jc w:val="both"/>
        <w:rPr>
          <w:szCs w:val="24"/>
        </w:rPr>
      </w:pPr>
      <w:r w:rsidRPr="000C0959">
        <w:rPr>
          <w:rFonts w:eastAsia="Arial"/>
          <w:szCs w:val="24"/>
        </w:rPr>
        <w:t xml:space="preserve">Výstup 2 - </w:t>
      </w:r>
      <w:r w:rsidRPr="000C0959">
        <w:rPr>
          <w:rFonts w:eastAsia="Arial"/>
          <w:szCs w:val="24"/>
        </w:rPr>
        <w:tab/>
        <w:t xml:space="preserve">Demografická analýza  a vývojové trendy </w:t>
      </w:r>
      <w:r w:rsidRPr="000C0959">
        <w:rPr>
          <w:szCs w:val="24"/>
        </w:rPr>
        <w:t>pracovných síl za II. polrok 2013 do roku 2014</w:t>
      </w:r>
    </w:p>
    <w:p w:rsidR="00FC4141" w:rsidRPr="000C0959" w:rsidRDefault="00FC4141" w:rsidP="00FC4141">
      <w:pPr>
        <w:pStyle w:val="Pta"/>
        <w:spacing w:before="20" w:after="20"/>
        <w:jc w:val="both"/>
        <w:rPr>
          <w:szCs w:val="24"/>
        </w:rPr>
      </w:pPr>
      <w:r w:rsidRPr="000C0959">
        <w:rPr>
          <w:szCs w:val="24"/>
        </w:rPr>
        <w:t xml:space="preserve">Komplexné analýzy demografických štruktúr a vývojových trendov pracovných síl SR je ďalším významným pilierom a predpokladom pre zabezpečenie vysokej hodnovernosti prognóz budúcich potrieb na trhu práce. Výstup bude obsahovať demografický vývoj na Slovensku za dostupné aktuálne údaje ako aj retrospektívny pohľad na demografický vývoj v SR. </w:t>
      </w:r>
    </w:p>
    <w:p w:rsidR="00FC4141" w:rsidRPr="000C0959" w:rsidRDefault="00FC4141" w:rsidP="00FC4141">
      <w:pPr>
        <w:pStyle w:val="Pta"/>
        <w:spacing w:before="20" w:after="20"/>
        <w:jc w:val="both"/>
        <w:rPr>
          <w:b/>
          <w:szCs w:val="24"/>
        </w:rPr>
      </w:pPr>
      <w:r w:rsidRPr="000C0959">
        <w:rPr>
          <w:szCs w:val="24"/>
        </w:rPr>
        <w:t xml:space="preserve">V rámci projektu bude zabezpečená udržateľnosť a využitie pozitívnych výsledkov NP Stratégia aktívneho starnutia aj NP XIV-2 Systém zisťovania vzniknutých a zaniknutých pracovných miest a prognózovanie potrieb trhu práce. K obsahovému zameraniu tohto projektu taktiež je potrebné mať k dispozícii aktuálne výsledky Sčítania obyvateľov, domov a bytov 2011. Prirodzene budú využité v maximálne možnej miere už existujúce dostupné štúdie, avšak tieto štúdie obsahujú poznatky na vyššom stupni </w:t>
      </w:r>
      <w:proofErr w:type="spellStart"/>
      <w:r w:rsidRPr="000C0959">
        <w:rPr>
          <w:szCs w:val="24"/>
        </w:rPr>
        <w:t>agregácie</w:t>
      </w:r>
      <w:proofErr w:type="spellEnd"/>
      <w:r w:rsidRPr="000C0959">
        <w:rPr>
          <w:szCs w:val="24"/>
        </w:rPr>
        <w:t xml:space="preserve"> (SR). Realizácia predmetného projektu si vyžaduje mať k dispozícii informácie o aktuálnych demografických stavoch a trendoch na nižších stupňoch </w:t>
      </w:r>
      <w:proofErr w:type="spellStart"/>
      <w:r w:rsidRPr="000C0959">
        <w:rPr>
          <w:szCs w:val="24"/>
        </w:rPr>
        <w:t>agregácie</w:t>
      </w:r>
      <w:proofErr w:type="spellEnd"/>
      <w:r w:rsidRPr="000C0959">
        <w:rPr>
          <w:szCs w:val="24"/>
        </w:rPr>
        <w:t xml:space="preserve"> v podrobnejšom členení a najnovšie komplexné informácie o trendoch vyplývajúcich z najvýznamnejších faktorov vývoja štruktúry obyvateľstva </w:t>
      </w:r>
      <w:r w:rsidR="00CF0364" w:rsidRPr="000C0959">
        <w:rPr>
          <w:szCs w:val="24"/>
        </w:rPr>
        <w:t xml:space="preserve">(natalita, mortalita) </w:t>
      </w:r>
      <w:r w:rsidRPr="000C0959">
        <w:rPr>
          <w:szCs w:val="24"/>
        </w:rPr>
        <w:t xml:space="preserve">vrátane vplyvu migrácie vrátane analýzy výsledkov sčítania obyvateľstva. V takejto štruktúre aktuálne demografické analýzy a informácie o vývojových trendoch nie sú k dispozícii. </w:t>
      </w:r>
    </w:p>
    <w:p w:rsidR="00FC4141" w:rsidRPr="000C0959" w:rsidRDefault="00FC4141" w:rsidP="00FC4141">
      <w:pPr>
        <w:pStyle w:val="Pta"/>
        <w:spacing w:before="20" w:after="20"/>
        <w:jc w:val="both"/>
        <w:rPr>
          <w:szCs w:val="24"/>
        </w:rPr>
      </w:pPr>
      <w:r w:rsidRPr="000C0959">
        <w:rPr>
          <w:szCs w:val="24"/>
        </w:rPr>
        <w:t xml:space="preserve">Časové intervaly ohraničujúce vyššie uvedené analýzy reflektujú na časovú postupnosť spracovania jednotlivých krátkodobých a strednodobých prognóz. Tieto časové intervaly sú nastavené tak, aby zároveň boli v plnej miere zachytené do prognóz dynamicky sa meniace podmienky a vývoj na trhu práce. Súčasne komparáciou výsledkov sčítania obyvateľov domov a bytov v rokoch 2001 a 2011 budú zachytené dopady zmien demografických štruktúr na ne/zamestnanosť. </w:t>
      </w:r>
    </w:p>
    <w:p w:rsidR="00FC4141" w:rsidRPr="000C0959" w:rsidRDefault="00FC4141" w:rsidP="00FC4141">
      <w:pPr>
        <w:pStyle w:val="Pta"/>
        <w:spacing w:before="20" w:after="20"/>
        <w:jc w:val="both"/>
        <w:rPr>
          <w:szCs w:val="24"/>
        </w:rPr>
      </w:pPr>
      <w:r w:rsidRPr="000C0959">
        <w:rPr>
          <w:szCs w:val="24"/>
        </w:rPr>
        <w:t xml:space="preserve">(Rámcové osnovy dokumentov obsahuje príloha </w:t>
      </w:r>
      <w:r w:rsidR="004C6CE8" w:rsidRPr="000C0959">
        <w:rPr>
          <w:szCs w:val="24"/>
        </w:rPr>
        <w:t>Zadania na vypracovanie dokumentov „Komplexná analýza demografických štruktúr a vývojových trendov pracovných síl“</w:t>
      </w:r>
      <w:r w:rsidRPr="000C0959">
        <w:rPr>
          <w:szCs w:val="24"/>
        </w:rPr>
        <w:t>)</w:t>
      </w:r>
      <w:r w:rsidR="004C6CE8" w:rsidRPr="000C0959">
        <w:rPr>
          <w:szCs w:val="24"/>
        </w:rPr>
        <w:t>.</w:t>
      </w:r>
    </w:p>
    <w:p w:rsidR="00FC4141" w:rsidRPr="000C0959" w:rsidRDefault="00FC4141" w:rsidP="00FC4141">
      <w:pPr>
        <w:pStyle w:val="Pta"/>
        <w:spacing w:before="20" w:after="20"/>
        <w:jc w:val="both"/>
        <w:rPr>
          <w:szCs w:val="24"/>
        </w:rPr>
      </w:pPr>
    </w:p>
    <w:p w:rsidR="00FC4141" w:rsidRPr="000C0959" w:rsidRDefault="00FC4141" w:rsidP="00FC4141">
      <w:pPr>
        <w:pStyle w:val="Pta"/>
        <w:tabs>
          <w:tab w:val="clear" w:pos="4536"/>
          <w:tab w:val="center" w:pos="0"/>
        </w:tabs>
        <w:spacing w:before="20" w:after="20"/>
        <w:jc w:val="both"/>
        <w:rPr>
          <w:rFonts w:eastAsia="Arial"/>
          <w:szCs w:val="24"/>
        </w:rPr>
      </w:pPr>
      <w:proofErr w:type="spellStart"/>
      <w:r w:rsidRPr="000C0959">
        <w:rPr>
          <w:b/>
          <w:szCs w:val="24"/>
        </w:rPr>
        <w:t>Podaktivita</w:t>
      </w:r>
      <w:proofErr w:type="spellEnd"/>
      <w:r w:rsidRPr="000C0959">
        <w:rPr>
          <w:b/>
          <w:szCs w:val="24"/>
        </w:rPr>
        <w:t xml:space="preserve"> 1.4 - Komplexná analýza o miere uplatniteľnosti absolventov na trhu práce podľa odboru vzdelania a vykonávaného zamestnania</w:t>
      </w:r>
    </w:p>
    <w:p w:rsidR="00FC4141" w:rsidRPr="000C0959" w:rsidRDefault="00FC4141" w:rsidP="00FC4141">
      <w:pPr>
        <w:pStyle w:val="Pta"/>
        <w:tabs>
          <w:tab w:val="clear" w:pos="4536"/>
          <w:tab w:val="center" w:pos="0"/>
        </w:tabs>
        <w:spacing w:before="20" w:after="20"/>
        <w:jc w:val="both"/>
        <w:rPr>
          <w:szCs w:val="24"/>
        </w:rPr>
      </w:pPr>
      <w:r w:rsidRPr="000C0959">
        <w:rPr>
          <w:rFonts w:eastAsia="Arial"/>
          <w:szCs w:val="24"/>
        </w:rPr>
        <w:t>Výstup 1 - Komplexná analýza uplatniteľnosti absolventov na trhu práce za 1. polrok 2014 Výstup 2  - Komplexná analýza uplatniteľnosti absolventov na trhu práce za 1. polrok 2015</w:t>
      </w:r>
      <w:r w:rsidRPr="000C0959">
        <w:rPr>
          <w:rFonts w:eastAsia="Arial"/>
          <w:sz w:val="20"/>
        </w:rPr>
        <w:t xml:space="preserve"> </w:t>
      </w:r>
    </w:p>
    <w:p w:rsidR="00FC4141" w:rsidRPr="000C0959" w:rsidRDefault="00FC4141" w:rsidP="00FC4141">
      <w:pPr>
        <w:pStyle w:val="Pta"/>
        <w:spacing w:before="20" w:after="20"/>
        <w:jc w:val="both"/>
        <w:rPr>
          <w:szCs w:val="24"/>
        </w:rPr>
      </w:pPr>
    </w:p>
    <w:p w:rsidR="00FC4141" w:rsidRPr="000C0959" w:rsidRDefault="00FC4141" w:rsidP="00FC4141">
      <w:pPr>
        <w:pStyle w:val="Pta"/>
        <w:spacing w:before="20" w:after="20"/>
        <w:jc w:val="both"/>
        <w:rPr>
          <w:szCs w:val="24"/>
        </w:rPr>
      </w:pPr>
      <w:r w:rsidRPr="000C0959">
        <w:rPr>
          <w:szCs w:val="24"/>
        </w:rPr>
        <w:t>V rámci týchto výstupov sa analýzy zamerajú hlavne na uplatniteľnosť absolventov na trhu práce z pohľadu odborov vzdelania (KOV na úroveň min. 4 znakov) a vykonávaného zamestnania (na úroveň min.4 znakov  SK ISCO- 08) v členení až na NUTS 3. Výstup aktivity rozšíri a kvantifikuje uplatnenie absolventov stredných a vysokých škôl na trhu práce z pohľadu ich konkrétneho uplatnenia. Výsledky ďalej umožnia hodnotenie učebných a študijných odborov na stredných a vysokých školách pre ďalšie nastavenie kapacít a optimalizáciu siete vysokých a stredných škôl.</w:t>
      </w:r>
    </w:p>
    <w:p w:rsidR="00FC4141" w:rsidRPr="000C0959" w:rsidRDefault="00FC4141" w:rsidP="00FC4141">
      <w:pPr>
        <w:pStyle w:val="Pta"/>
        <w:tabs>
          <w:tab w:val="clear" w:pos="4536"/>
          <w:tab w:val="center" w:pos="0"/>
        </w:tabs>
        <w:spacing w:before="20" w:after="20"/>
        <w:jc w:val="both"/>
        <w:rPr>
          <w:szCs w:val="24"/>
        </w:rPr>
      </w:pPr>
      <w:r w:rsidRPr="000C0959">
        <w:rPr>
          <w:szCs w:val="24"/>
        </w:rPr>
        <w:t>V súčasnosti analýzy o miere uplatniteľnosti absolventov na trhu práce v takejto podrobnej štruktúrnej klasifikácii ako aj na navrhovanej úrovni územného členenia neexistujú. Tieto analýzy sú zamerané na tento špecifický segment trhu práce, čím reagujú na akútnu potrebu eliminácie resp. zmiernenia dlhodobo pretrvávajúceho nesúladu medzi vzdelávacími systémami a aktuálnymi potrebami trhu práce.</w:t>
      </w:r>
    </w:p>
    <w:p w:rsidR="00FC4141" w:rsidRPr="000C0959" w:rsidRDefault="00FC4141" w:rsidP="00FC4141">
      <w:pPr>
        <w:pStyle w:val="Pta"/>
        <w:tabs>
          <w:tab w:val="clear" w:pos="4536"/>
          <w:tab w:val="center" w:pos="0"/>
        </w:tabs>
        <w:spacing w:before="20" w:after="20"/>
        <w:jc w:val="both"/>
        <w:rPr>
          <w:szCs w:val="24"/>
        </w:rPr>
      </w:pPr>
      <w:r w:rsidRPr="000C0959">
        <w:rPr>
          <w:szCs w:val="24"/>
        </w:rPr>
        <w:t xml:space="preserve">Časové intervaly ohraničujúce vyššie uvedené analýzy reflektujú na dlhodobé cyklické trendy. Zohľadňujú aktuálnu situáciu vývoja ne/zamestnanosti tejto cieľovej skupiny. </w:t>
      </w:r>
    </w:p>
    <w:p w:rsidR="00FC4141" w:rsidRPr="000C0959" w:rsidRDefault="00FC4141" w:rsidP="00FC4141">
      <w:pPr>
        <w:pStyle w:val="Pta"/>
        <w:tabs>
          <w:tab w:val="clear" w:pos="4536"/>
          <w:tab w:val="center" w:pos="0"/>
        </w:tabs>
        <w:spacing w:before="20" w:after="20"/>
        <w:jc w:val="both"/>
        <w:rPr>
          <w:szCs w:val="24"/>
        </w:rPr>
      </w:pPr>
      <w:r w:rsidRPr="000C0959">
        <w:rPr>
          <w:szCs w:val="24"/>
        </w:rPr>
        <w:t xml:space="preserve">(Rámcové osnovy dokumentov obsahuje príloha </w:t>
      </w:r>
      <w:r w:rsidR="004C6CE8" w:rsidRPr="000C0959">
        <w:rPr>
          <w:szCs w:val="24"/>
        </w:rPr>
        <w:t>Zadania na vypracovanie dokumentov „Komplexná analýza o miere uplatniteľnosti absolventov na trhu práce podľa odboru vzdelania a vykonávaného zamestnania“</w:t>
      </w:r>
      <w:r w:rsidRPr="000C0959">
        <w:rPr>
          <w:szCs w:val="24"/>
        </w:rPr>
        <w:t>).</w:t>
      </w:r>
    </w:p>
    <w:p w:rsidR="00FC4141" w:rsidRPr="000C0959" w:rsidRDefault="00FC4141" w:rsidP="00FC4141">
      <w:pPr>
        <w:pStyle w:val="Pta"/>
        <w:spacing w:before="20" w:after="20"/>
        <w:jc w:val="both"/>
        <w:rPr>
          <w:szCs w:val="24"/>
        </w:rPr>
      </w:pPr>
    </w:p>
    <w:p w:rsidR="00FC4141" w:rsidRPr="000C0959" w:rsidRDefault="00FC4141" w:rsidP="00FC4141">
      <w:pPr>
        <w:pStyle w:val="Pta"/>
        <w:spacing w:before="20" w:after="20"/>
        <w:jc w:val="both"/>
        <w:rPr>
          <w:b/>
          <w:szCs w:val="24"/>
        </w:rPr>
      </w:pPr>
      <w:r w:rsidRPr="000C0959">
        <w:rPr>
          <w:b/>
          <w:szCs w:val="24"/>
        </w:rPr>
        <w:t xml:space="preserve">Aktivita 2 - Prognózy vývoja trhu práce </w:t>
      </w:r>
    </w:p>
    <w:p w:rsidR="00FC4141" w:rsidRPr="000C0959" w:rsidRDefault="00FC4141" w:rsidP="00FC4141">
      <w:pPr>
        <w:jc w:val="both"/>
        <w:rPr>
          <w:szCs w:val="24"/>
        </w:rPr>
      </w:pPr>
      <w:r w:rsidRPr="000C0959">
        <w:rPr>
          <w:szCs w:val="24"/>
        </w:rPr>
        <w:t xml:space="preserve">Aktivita bude realizovaná dodávateľsky. Financovanie aktivity bude zabezpečené z úrovne </w:t>
      </w:r>
      <w:r w:rsidR="007C1BBB" w:rsidRPr="000C0959">
        <w:rPr>
          <w:szCs w:val="24"/>
        </w:rPr>
        <w:t>Ústredia PSVR</w:t>
      </w:r>
      <w:r w:rsidRPr="000C0959">
        <w:rPr>
          <w:szCs w:val="24"/>
        </w:rPr>
        <w:t>. Cena bola stanovená na základe prieskumu trhu.</w:t>
      </w:r>
    </w:p>
    <w:p w:rsidR="00FC4141" w:rsidRPr="000C0959" w:rsidRDefault="00FC4141" w:rsidP="00FC4141">
      <w:pPr>
        <w:pStyle w:val="Pta"/>
        <w:spacing w:before="20" w:after="20"/>
        <w:jc w:val="both"/>
        <w:rPr>
          <w:b/>
          <w:szCs w:val="24"/>
        </w:rPr>
      </w:pPr>
    </w:p>
    <w:p w:rsidR="00FC4141" w:rsidRPr="000C0959" w:rsidRDefault="00FC4141" w:rsidP="00FC4141">
      <w:pPr>
        <w:pStyle w:val="Pta"/>
        <w:spacing w:before="20" w:after="20"/>
        <w:jc w:val="both"/>
        <w:rPr>
          <w:b/>
          <w:szCs w:val="24"/>
        </w:rPr>
      </w:pPr>
      <w:proofErr w:type="spellStart"/>
      <w:r w:rsidRPr="000C0959">
        <w:rPr>
          <w:b/>
          <w:szCs w:val="24"/>
        </w:rPr>
        <w:t>Podaktivita</w:t>
      </w:r>
      <w:proofErr w:type="spellEnd"/>
      <w:r w:rsidRPr="000C0959">
        <w:rPr>
          <w:b/>
          <w:szCs w:val="24"/>
        </w:rPr>
        <w:t xml:space="preserve"> 2.1 - Metodika sústavy </w:t>
      </w:r>
      <w:proofErr w:type="spellStart"/>
      <w:r w:rsidRPr="000C0959">
        <w:rPr>
          <w:b/>
          <w:szCs w:val="24"/>
        </w:rPr>
        <w:t>ekonometrických</w:t>
      </w:r>
      <w:proofErr w:type="spellEnd"/>
      <w:r w:rsidRPr="000C0959">
        <w:rPr>
          <w:b/>
          <w:szCs w:val="24"/>
        </w:rPr>
        <w:t xml:space="preserve"> modelov pre prognózy vývoja na trhu práce </w:t>
      </w:r>
    </w:p>
    <w:p w:rsidR="00FC4141" w:rsidRPr="000C0959" w:rsidRDefault="00FC4141" w:rsidP="00FC4141">
      <w:pPr>
        <w:pStyle w:val="Pta"/>
        <w:spacing w:before="20" w:after="20"/>
        <w:jc w:val="both"/>
        <w:rPr>
          <w:rFonts w:eastAsia="Arial"/>
          <w:szCs w:val="24"/>
        </w:rPr>
      </w:pPr>
      <w:r w:rsidRPr="000C0959">
        <w:rPr>
          <w:rFonts w:eastAsia="Arial"/>
          <w:szCs w:val="24"/>
        </w:rPr>
        <w:t xml:space="preserve">Výstup 1 - Metodika a sústava modelov pre tvorbu a verifikáciu prognóz vývoja na trhu práce </w:t>
      </w:r>
    </w:p>
    <w:p w:rsidR="00CF0364" w:rsidRPr="000C0959" w:rsidRDefault="00FC4141" w:rsidP="00CF0364">
      <w:pPr>
        <w:pStyle w:val="Pta"/>
        <w:spacing w:before="20" w:after="20"/>
        <w:jc w:val="both"/>
        <w:rPr>
          <w:szCs w:val="24"/>
        </w:rPr>
      </w:pPr>
      <w:r w:rsidRPr="000C0959">
        <w:rPr>
          <w:szCs w:val="24"/>
        </w:rPr>
        <w:t xml:space="preserve">Výstup bude obsahovať popis základných </w:t>
      </w:r>
      <w:proofErr w:type="spellStart"/>
      <w:r w:rsidRPr="000C0959">
        <w:rPr>
          <w:szCs w:val="24"/>
        </w:rPr>
        <w:t>ekonometrických</w:t>
      </w:r>
      <w:proofErr w:type="spellEnd"/>
      <w:r w:rsidRPr="000C0959">
        <w:rPr>
          <w:szCs w:val="24"/>
        </w:rPr>
        <w:t xml:space="preserve"> rovníc a modelov, ktoré budú vybrané na základe skúseností a testovania ich významnosti (relevantnosti). Bude spracovaná podrobná metodika realizácie predmetnej aktivity a v rámci nej pôjde o nastavenie a testovanie viacerých čiastkových </w:t>
      </w:r>
      <w:proofErr w:type="spellStart"/>
      <w:r w:rsidRPr="000C0959">
        <w:rPr>
          <w:szCs w:val="24"/>
        </w:rPr>
        <w:t>ekonometrických</w:t>
      </w:r>
      <w:proofErr w:type="spellEnd"/>
      <w:r w:rsidRPr="000C0959">
        <w:rPr>
          <w:szCs w:val="24"/>
        </w:rPr>
        <w:t xml:space="preserve"> modelov. </w:t>
      </w:r>
      <w:proofErr w:type="spellStart"/>
      <w:r w:rsidRPr="000C0959">
        <w:rPr>
          <w:szCs w:val="24"/>
        </w:rPr>
        <w:t>Vrámci</w:t>
      </w:r>
      <w:proofErr w:type="spellEnd"/>
      <w:r w:rsidRPr="000C0959">
        <w:rPr>
          <w:szCs w:val="24"/>
        </w:rPr>
        <w:t xml:space="preserve"> výstupu budú zohľadnené možné prístupy reflektovania výsledkov z realizovaných kvalitatívnych prieskumov u významných zamestnávateľov. Zakomponovanie týchto výsledkov bude slúžiť na verifikáciu resp. korekciu výsledkov aplikovanej sústavy modelov. </w:t>
      </w:r>
      <w:r w:rsidR="00CF0364" w:rsidRPr="000C0959">
        <w:rPr>
          <w:szCs w:val="24"/>
        </w:rPr>
        <w:t>Pri nastavení modelov budú využité aj zahraničné skúsenosti v oblasti prognózovania (</w:t>
      </w:r>
      <w:proofErr w:type="spellStart"/>
      <w:r w:rsidR="00CF0364" w:rsidRPr="000C0959">
        <w:rPr>
          <w:szCs w:val="24"/>
        </w:rPr>
        <w:t>Warwický</w:t>
      </w:r>
      <w:proofErr w:type="spellEnd"/>
      <w:r w:rsidR="00CF0364" w:rsidRPr="000C0959">
        <w:rPr>
          <w:szCs w:val="24"/>
        </w:rPr>
        <w:t xml:space="preserve"> inštitút pre výskum zamestnanosti (IER), Cambridge </w:t>
      </w:r>
      <w:proofErr w:type="spellStart"/>
      <w:r w:rsidR="00CF0364" w:rsidRPr="000C0959">
        <w:rPr>
          <w:szCs w:val="24"/>
        </w:rPr>
        <w:t>econometrics</w:t>
      </w:r>
      <w:proofErr w:type="spellEnd"/>
      <w:r w:rsidR="00CF0364" w:rsidRPr="000C0959">
        <w:rPr>
          <w:szCs w:val="24"/>
        </w:rPr>
        <w:t xml:space="preserve">, Výskumný ústav zamestnanosti v Norimbergu, CEDEFOP a skúsenosti z Českej republiky – Česká akadémia vied, </w:t>
      </w:r>
      <w:proofErr w:type="spellStart"/>
      <w:r w:rsidR="00CF0364" w:rsidRPr="000C0959">
        <w:rPr>
          <w:szCs w:val="24"/>
        </w:rPr>
        <w:t>Výzkumný</w:t>
      </w:r>
      <w:proofErr w:type="spellEnd"/>
      <w:r w:rsidR="00CF0364" w:rsidRPr="000C0959">
        <w:rPr>
          <w:szCs w:val="24"/>
        </w:rPr>
        <w:t xml:space="preserve"> ústav práce a </w:t>
      </w:r>
      <w:proofErr w:type="spellStart"/>
      <w:r w:rsidR="00CF0364" w:rsidRPr="000C0959">
        <w:rPr>
          <w:szCs w:val="24"/>
        </w:rPr>
        <w:t>sociálních</w:t>
      </w:r>
      <w:proofErr w:type="spellEnd"/>
      <w:r w:rsidR="00CF0364" w:rsidRPr="000C0959">
        <w:rPr>
          <w:szCs w:val="24"/>
        </w:rPr>
        <w:t xml:space="preserve"> </w:t>
      </w:r>
      <w:proofErr w:type="spellStart"/>
      <w:r w:rsidR="00CF0364" w:rsidRPr="000C0959">
        <w:rPr>
          <w:szCs w:val="24"/>
        </w:rPr>
        <w:t>věcí</w:t>
      </w:r>
      <w:proofErr w:type="spellEnd"/>
      <w:r w:rsidR="00CF0364" w:rsidRPr="000C0959">
        <w:rPr>
          <w:szCs w:val="24"/>
        </w:rPr>
        <w:t xml:space="preserve">). </w:t>
      </w:r>
    </w:p>
    <w:p w:rsidR="00CF0364" w:rsidRPr="000C0959" w:rsidRDefault="00CF0364" w:rsidP="00CF0364">
      <w:pPr>
        <w:pStyle w:val="Pta"/>
        <w:spacing w:before="20" w:after="20"/>
        <w:jc w:val="both"/>
        <w:rPr>
          <w:szCs w:val="24"/>
        </w:rPr>
      </w:pPr>
      <w:r w:rsidRPr="000C0959">
        <w:rPr>
          <w:szCs w:val="24"/>
        </w:rPr>
        <w:t xml:space="preserve">Výstupom bude: </w:t>
      </w:r>
    </w:p>
    <w:p w:rsidR="00CF0364" w:rsidRPr="000C0959" w:rsidRDefault="00CF0364" w:rsidP="00CF0364">
      <w:pPr>
        <w:pStyle w:val="Pta"/>
        <w:spacing w:before="20" w:after="20"/>
        <w:jc w:val="both"/>
        <w:rPr>
          <w:szCs w:val="24"/>
        </w:rPr>
      </w:pPr>
      <w:r w:rsidRPr="000C0959">
        <w:rPr>
          <w:szCs w:val="24"/>
        </w:rPr>
        <w:t>Metodika prognózovania v požadovanej štruktúre a s využitím zahraničných skúseností, ktorá v súčasnosti nie je k dispozícii.</w:t>
      </w:r>
    </w:p>
    <w:p w:rsidR="00FC4141" w:rsidRPr="000C0959" w:rsidRDefault="00CF0364" w:rsidP="00CF0364">
      <w:pPr>
        <w:pStyle w:val="Pta"/>
        <w:spacing w:before="20" w:after="20"/>
        <w:jc w:val="both"/>
        <w:rPr>
          <w:szCs w:val="24"/>
        </w:rPr>
      </w:pPr>
      <w:r w:rsidRPr="000C0959">
        <w:rPr>
          <w:szCs w:val="24"/>
        </w:rPr>
        <w:t xml:space="preserve"> </w:t>
      </w:r>
      <w:r w:rsidR="00FC4141" w:rsidRPr="000C0959">
        <w:rPr>
          <w:szCs w:val="24"/>
        </w:rPr>
        <w:t xml:space="preserve">(Rámcovú osnovu dokumentu obsahuje príloha </w:t>
      </w:r>
      <w:r w:rsidR="004C6CE8" w:rsidRPr="000C0959">
        <w:rPr>
          <w:szCs w:val="24"/>
        </w:rPr>
        <w:t>Zadania na vypracovanie dokumentov „</w:t>
      </w:r>
      <w:r w:rsidR="004572A0" w:rsidRPr="000C0959">
        <w:rPr>
          <w:szCs w:val="24"/>
        </w:rPr>
        <w:t xml:space="preserve">Metodika sústavy </w:t>
      </w:r>
      <w:proofErr w:type="spellStart"/>
      <w:r w:rsidR="004572A0" w:rsidRPr="000C0959">
        <w:rPr>
          <w:szCs w:val="24"/>
        </w:rPr>
        <w:t>ekonometrických</w:t>
      </w:r>
      <w:proofErr w:type="spellEnd"/>
      <w:r w:rsidR="004572A0" w:rsidRPr="000C0959">
        <w:rPr>
          <w:szCs w:val="24"/>
        </w:rPr>
        <w:t xml:space="preserve"> modelov pre prognózy vývoja na trhu práce“</w:t>
      </w:r>
      <w:r w:rsidR="00FC4141" w:rsidRPr="000C0959">
        <w:rPr>
          <w:szCs w:val="24"/>
        </w:rPr>
        <w:t>).</w:t>
      </w:r>
    </w:p>
    <w:p w:rsidR="00FC4141" w:rsidRPr="000C0959" w:rsidRDefault="00FC4141" w:rsidP="00FC4141">
      <w:pPr>
        <w:pStyle w:val="Pta"/>
        <w:spacing w:before="20" w:after="20"/>
        <w:jc w:val="both"/>
        <w:rPr>
          <w:szCs w:val="24"/>
        </w:rPr>
      </w:pPr>
    </w:p>
    <w:p w:rsidR="00FC4141" w:rsidRPr="000C0959" w:rsidRDefault="00FC4141" w:rsidP="00FC4141">
      <w:pPr>
        <w:pStyle w:val="Pta"/>
        <w:spacing w:before="20" w:after="20"/>
        <w:jc w:val="both"/>
        <w:rPr>
          <w:szCs w:val="24"/>
        </w:rPr>
      </w:pPr>
      <w:proofErr w:type="spellStart"/>
      <w:r w:rsidRPr="000C0959">
        <w:rPr>
          <w:b/>
          <w:szCs w:val="24"/>
        </w:rPr>
        <w:t>Podaktivita</w:t>
      </w:r>
      <w:proofErr w:type="spellEnd"/>
      <w:r w:rsidRPr="000C0959">
        <w:rPr>
          <w:b/>
          <w:szCs w:val="24"/>
        </w:rPr>
        <w:t xml:space="preserve"> 2.2 - Prognóza očakávaných budúcich potrieb zamestnancov v horizonte 1 roka</w:t>
      </w:r>
    </w:p>
    <w:p w:rsidR="00FC4141" w:rsidRPr="000C0959" w:rsidRDefault="00FC4141" w:rsidP="00FC4141">
      <w:pPr>
        <w:pStyle w:val="Pta"/>
        <w:tabs>
          <w:tab w:val="clear" w:pos="4536"/>
          <w:tab w:val="center" w:pos="0"/>
        </w:tabs>
        <w:spacing w:before="20" w:after="20"/>
        <w:jc w:val="both"/>
        <w:rPr>
          <w:rFonts w:eastAsia="Arial"/>
          <w:szCs w:val="24"/>
        </w:rPr>
      </w:pPr>
      <w:r w:rsidRPr="000C0959">
        <w:rPr>
          <w:rFonts w:eastAsia="Arial"/>
          <w:szCs w:val="24"/>
        </w:rPr>
        <w:t>Výstup 1 - Prognóza očakávaných budúcich potrieb zamestnancov v roku 2015</w:t>
      </w:r>
    </w:p>
    <w:p w:rsidR="00FC4141" w:rsidRPr="000C0959" w:rsidRDefault="00FC4141" w:rsidP="00FC4141">
      <w:pPr>
        <w:pStyle w:val="Pta"/>
        <w:tabs>
          <w:tab w:val="clear" w:pos="4536"/>
          <w:tab w:val="center" w:pos="0"/>
        </w:tabs>
        <w:spacing w:before="20" w:after="20"/>
        <w:jc w:val="both"/>
        <w:rPr>
          <w:rFonts w:eastAsia="Arial"/>
          <w:szCs w:val="24"/>
        </w:rPr>
      </w:pPr>
      <w:r w:rsidRPr="000C0959">
        <w:rPr>
          <w:rFonts w:eastAsia="Arial"/>
          <w:szCs w:val="24"/>
        </w:rPr>
        <w:t>Výstup 2 - Prognóza očakávaných budúcich potrieb zamestnancov v roku 2016</w:t>
      </w:r>
    </w:p>
    <w:p w:rsidR="00FC4141" w:rsidRPr="000C0959" w:rsidRDefault="00FC4141" w:rsidP="00FC4141">
      <w:pPr>
        <w:pStyle w:val="Pta"/>
        <w:spacing w:before="20" w:after="20"/>
        <w:jc w:val="both"/>
        <w:rPr>
          <w:szCs w:val="24"/>
        </w:rPr>
      </w:pPr>
      <w:r w:rsidRPr="000C0959">
        <w:rPr>
          <w:szCs w:val="24"/>
        </w:rPr>
        <w:t>Realizácia aktivity bude obsahovať očakávaný stav na trhu práce v krátkodobom horizonte 1 roka a podrobné členenie ponuky a dopytu po práci (vrátane substitúcie práce v súvislosti s odchodom do dôchodku) a vyhodnotenie súladu</w:t>
      </w:r>
      <w:r w:rsidR="00D85E5C" w:rsidRPr="000C0959">
        <w:rPr>
          <w:szCs w:val="24"/>
        </w:rPr>
        <w:t>,</w:t>
      </w:r>
      <w:r w:rsidRPr="000C0959">
        <w:rPr>
          <w:szCs w:val="24"/>
        </w:rPr>
        <w:t xml:space="preserve"> resp. nesúladu v nasledovnej štruktúre: </w:t>
      </w:r>
    </w:p>
    <w:p w:rsidR="00FC4141" w:rsidRPr="000C0959" w:rsidRDefault="00FC4141" w:rsidP="00372576">
      <w:pPr>
        <w:pStyle w:val="Pta"/>
        <w:numPr>
          <w:ilvl w:val="0"/>
          <w:numId w:val="22"/>
        </w:numPr>
        <w:spacing w:before="20" w:after="20"/>
        <w:jc w:val="both"/>
        <w:rPr>
          <w:szCs w:val="24"/>
        </w:rPr>
      </w:pPr>
      <w:r w:rsidRPr="000C0959">
        <w:rPr>
          <w:szCs w:val="24"/>
        </w:rPr>
        <w:t xml:space="preserve">na úroveň NUTS 3 až 4,  </w:t>
      </w:r>
    </w:p>
    <w:p w:rsidR="00FC4141" w:rsidRPr="000C0959" w:rsidRDefault="00FC4141" w:rsidP="00372576">
      <w:pPr>
        <w:pStyle w:val="Pta"/>
        <w:numPr>
          <w:ilvl w:val="0"/>
          <w:numId w:val="22"/>
        </w:numPr>
        <w:spacing w:before="20" w:after="20"/>
        <w:jc w:val="both"/>
        <w:rPr>
          <w:szCs w:val="24"/>
        </w:rPr>
      </w:pPr>
      <w:r w:rsidRPr="000C0959">
        <w:rPr>
          <w:szCs w:val="24"/>
        </w:rPr>
        <w:t>na úroveň 4 zn. SK ISCO-08,</w:t>
      </w:r>
    </w:p>
    <w:p w:rsidR="00FC4141" w:rsidRPr="000C0959" w:rsidRDefault="00FC4141" w:rsidP="00372576">
      <w:pPr>
        <w:pStyle w:val="Pta"/>
        <w:numPr>
          <w:ilvl w:val="0"/>
          <w:numId w:val="22"/>
        </w:numPr>
        <w:spacing w:before="20" w:after="20"/>
        <w:jc w:val="both"/>
        <w:rPr>
          <w:szCs w:val="24"/>
        </w:rPr>
      </w:pPr>
      <w:r w:rsidRPr="000C0959">
        <w:rPr>
          <w:szCs w:val="24"/>
        </w:rPr>
        <w:t>na úroveň 2 zn. SK NACE rev.2</w:t>
      </w:r>
      <w:r w:rsidR="00D85E5C" w:rsidRPr="000C0959">
        <w:rPr>
          <w:szCs w:val="24"/>
        </w:rPr>
        <w:t>.</w:t>
      </w:r>
    </w:p>
    <w:p w:rsidR="00FC4141" w:rsidRPr="000C0959" w:rsidRDefault="00FC4141" w:rsidP="00FC4141">
      <w:pPr>
        <w:pStyle w:val="Pta"/>
        <w:tabs>
          <w:tab w:val="clear" w:pos="4536"/>
          <w:tab w:val="center" w:pos="0"/>
        </w:tabs>
        <w:spacing w:before="20" w:after="20"/>
        <w:jc w:val="both"/>
        <w:rPr>
          <w:b/>
          <w:szCs w:val="24"/>
        </w:rPr>
      </w:pPr>
      <w:r w:rsidRPr="000C0959">
        <w:rPr>
          <w:szCs w:val="24"/>
        </w:rPr>
        <w:t xml:space="preserve">V súčasnosti aktuálne prognózy potrieb trhu práce v takejto podrobnej obsahovej štruktúre absentujú. Aktualizovaná krátkodobá prognóza je nevyhnutná na elimináciu nerovnováhy ponuky a dopytu po práci. </w:t>
      </w:r>
    </w:p>
    <w:p w:rsidR="00FC4141" w:rsidRPr="000C0959" w:rsidRDefault="00FC4141" w:rsidP="00FC4141">
      <w:pPr>
        <w:pStyle w:val="Pta"/>
        <w:spacing w:before="20" w:after="20"/>
        <w:jc w:val="both"/>
        <w:rPr>
          <w:szCs w:val="24"/>
        </w:rPr>
      </w:pPr>
      <w:r w:rsidRPr="000C0959">
        <w:rPr>
          <w:szCs w:val="24"/>
        </w:rPr>
        <w:t>Časové intervaly ohraničujúce vyššie uvedených prognóz reflektujú na dynamické zmeny na trhu práce ako aj úlohy MPSVR SR a UPSVR vyplývajúce z legislatívneho rámca E</w:t>
      </w:r>
      <w:r w:rsidR="00372576" w:rsidRPr="000C0959">
        <w:rPr>
          <w:szCs w:val="24"/>
        </w:rPr>
        <w:t>Ú</w:t>
      </w:r>
      <w:r w:rsidRPr="000C0959">
        <w:rPr>
          <w:szCs w:val="24"/>
        </w:rPr>
        <w:t xml:space="preserve"> a SR. </w:t>
      </w:r>
    </w:p>
    <w:p w:rsidR="00FC4141" w:rsidRPr="000C0959" w:rsidRDefault="00FC4141" w:rsidP="00FC4141">
      <w:pPr>
        <w:pStyle w:val="Pta"/>
        <w:spacing w:before="20" w:after="20"/>
        <w:jc w:val="both"/>
        <w:rPr>
          <w:szCs w:val="24"/>
        </w:rPr>
      </w:pPr>
      <w:r w:rsidRPr="000C0959">
        <w:rPr>
          <w:szCs w:val="24"/>
        </w:rPr>
        <w:t xml:space="preserve">V súčasnosti v takejto podrobnej obsahovej štruktúre prognózy absentujú. </w:t>
      </w:r>
    </w:p>
    <w:p w:rsidR="00FC4141" w:rsidRPr="000C0959" w:rsidRDefault="00FC4141" w:rsidP="00FC4141">
      <w:pPr>
        <w:pStyle w:val="Pta"/>
        <w:spacing w:before="20" w:after="20"/>
        <w:jc w:val="both"/>
        <w:rPr>
          <w:szCs w:val="24"/>
        </w:rPr>
      </w:pPr>
      <w:r w:rsidRPr="000C0959">
        <w:rPr>
          <w:szCs w:val="24"/>
        </w:rPr>
        <w:t xml:space="preserve">Výsledky prognóz budú využívať zainteresované subjekty na trhu práce, predovšetkým MPSVR SR, ÚPSVR (výbory pre otázky zamestnanosti pri jednotlivých úradoch práce, sociálnych vecí a rodiny), MŠVVŠ SR, ŠÚ SR, </w:t>
      </w:r>
      <w:proofErr w:type="spellStart"/>
      <w:r w:rsidRPr="000C0959">
        <w:rPr>
          <w:szCs w:val="24"/>
        </w:rPr>
        <w:t>Eurostat</w:t>
      </w:r>
      <w:proofErr w:type="spellEnd"/>
      <w:r w:rsidRPr="000C0959">
        <w:rPr>
          <w:szCs w:val="24"/>
        </w:rPr>
        <w:t>, Európska Komisia, odvetvové rezorty a im podriadené inštitúcie, sociálni partneri a širšia odborná verejnosť. Konkrétne z toho dôvodu, že ÚPSVR je členom Rady Vlády SR pre odborné vzdelávanie, výsledky prognóz budú využívané pre aktualizáciu zoznamov učebných a študijných odborov ako aj optimalizáciu siete škôl, ďalej sektorovými radami Národnej sústavy povolaní, Národnou sústavou kvalifikácií a pod.</w:t>
      </w:r>
    </w:p>
    <w:p w:rsidR="00FC4141" w:rsidRPr="000C0959" w:rsidRDefault="00FC4141" w:rsidP="00FC4141">
      <w:pPr>
        <w:pStyle w:val="Pta"/>
        <w:spacing w:before="20" w:after="20"/>
        <w:jc w:val="both"/>
        <w:rPr>
          <w:szCs w:val="24"/>
        </w:rPr>
      </w:pPr>
      <w:r w:rsidRPr="000C0959">
        <w:rPr>
          <w:szCs w:val="24"/>
        </w:rPr>
        <w:t>Okrem iného tieto informácie významnou mierou prispejú k optimalizácii nasadzovania aktívnych politík zamestnanosti na trhu práce (napr. vzdelávanie).</w:t>
      </w:r>
    </w:p>
    <w:p w:rsidR="00FC4141" w:rsidRPr="000C0959" w:rsidRDefault="00FC4141" w:rsidP="00FC4141">
      <w:pPr>
        <w:pStyle w:val="Pta"/>
        <w:tabs>
          <w:tab w:val="clear" w:pos="4536"/>
          <w:tab w:val="center" w:pos="0"/>
        </w:tabs>
        <w:spacing w:before="20" w:after="20"/>
        <w:jc w:val="both"/>
        <w:rPr>
          <w:szCs w:val="24"/>
        </w:rPr>
      </w:pPr>
      <w:r w:rsidRPr="000C0959">
        <w:rPr>
          <w:szCs w:val="24"/>
        </w:rPr>
        <w:t xml:space="preserve">(Rámcové </w:t>
      </w:r>
      <w:r w:rsidR="00CD6E41" w:rsidRPr="000C0959">
        <w:rPr>
          <w:szCs w:val="24"/>
        </w:rPr>
        <w:t xml:space="preserve">osnovy </w:t>
      </w:r>
      <w:r w:rsidRPr="000C0959">
        <w:rPr>
          <w:szCs w:val="24"/>
        </w:rPr>
        <w:t xml:space="preserve">dokumentov obsahuje príloha </w:t>
      </w:r>
      <w:r w:rsidR="004C6CE8" w:rsidRPr="000C0959">
        <w:rPr>
          <w:szCs w:val="24"/>
        </w:rPr>
        <w:t>Zadania na vypracovanie dokumentov „</w:t>
      </w:r>
      <w:r w:rsidR="004572A0" w:rsidRPr="000C0959">
        <w:rPr>
          <w:szCs w:val="24"/>
        </w:rPr>
        <w:t>Prognóza očakávaných budúcich potrieb zamestnancov v horizonte 1 roka“</w:t>
      </w:r>
      <w:r w:rsidRPr="000C0959">
        <w:rPr>
          <w:szCs w:val="24"/>
        </w:rPr>
        <w:t>).</w:t>
      </w:r>
    </w:p>
    <w:p w:rsidR="00FC4141" w:rsidRPr="000C0959" w:rsidRDefault="00FC4141" w:rsidP="00FC4141">
      <w:pPr>
        <w:pStyle w:val="Pta"/>
        <w:tabs>
          <w:tab w:val="clear" w:pos="4536"/>
          <w:tab w:val="center" w:pos="0"/>
        </w:tabs>
        <w:spacing w:before="20" w:after="20"/>
        <w:ind w:left="360"/>
        <w:jc w:val="both"/>
        <w:rPr>
          <w:szCs w:val="24"/>
        </w:rPr>
      </w:pPr>
    </w:p>
    <w:p w:rsidR="00FC4141" w:rsidRPr="000C0959" w:rsidRDefault="00FC4141" w:rsidP="00FC4141">
      <w:pPr>
        <w:pStyle w:val="Pta"/>
        <w:spacing w:before="20" w:after="20"/>
        <w:jc w:val="both"/>
        <w:rPr>
          <w:b/>
          <w:szCs w:val="24"/>
        </w:rPr>
      </w:pPr>
      <w:proofErr w:type="spellStart"/>
      <w:r w:rsidRPr="000C0959">
        <w:rPr>
          <w:b/>
          <w:szCs w:val="24"/>
        </w:rPr>
        <w:t>Podaktivita</w:t>
      </w:r>
      <w:proofErr w:type="spellEnd"/>
      <w:r w:rsidRPr="000C0959">
        <w:rPr>
          <w:b/>
          <w:szCs w:val="24"/>
        </w:rPr>
        <w:t xml:space="preserve"> 2.3 - Prognóza očakávaných budúcich potrieb zamestnancov v horizonte 5 rokov </w:t>
      </w:r>
    </w:p>
    <w:p w:rsidR="00FC4141" w:rsidRPr="000C0959" w:rsidRDefault="00FC4141" w:rsidP="00FC4141">
      <w:pPr>
        <w:rPr>
          <w:rFonts w:eastAsia="Arial"/>
          <w:szCs w:val="24"/>
        </w:rPr>
      </w:pPr>
      <w:r w:rsidRPr="000C0959">
        <w:rPr>
          <w:rFonts w:eastAsia="Arial"/>
          <w:szCs w:val="24"/>
        </w:rPr>
        <w:t>Výstup 1 - Prognóza očakávaných budúcich potrieb zamestnancov do roku 2019</w:t>
      </w:r>
    </w:p>
    <w:p w:rsidR="00FC4141" w:rsidRPr="000C0959" w:rsidRDefault="00FC4141" w:rsidP="00FC4141">
      <w:pPr>
        <w:pStyle w:val="Pta"/>
        <w:spacing w:before="20" w:after="20"/>
        <w:jc w:val="both"/>
        <w:rPr>
          <w:rFonts w:eastAsia="Arial"/>
          <w:szCs w:val="24"/>
        </w:rPr>
      </w:pPr>
      <w:r w:rsidRPr="000C0959">
        <w:rPr>
          <w:rFonts w:eastAsia="Arial"/>
          <w:szCs w:val="24"/>
        </w:rPr>
        <w:t>Výstup 2 - Prognóza očakávaných budúcich potrieb zamestnancov do roku 2020</w:t>
      </w:r>
    </w:p>
    <w:p w:rsidR="00FC4141" w:rsidRPr="000C0959" w:rsidRDefault="00FC4141" w:rsidP="00FC4141">
      <w:pPr>
        <w:pStyle w:val="Pta"/>
        <w:spacing w:before="20" w:after="20"/>
        <w:jc w:val="both"/>
        <w:rPr>
          <w:szCs w:val="24"/>
        </w:rPr>
      </w:pPr>
      <w:r w:rsidRPr="000C0959">
        <w:rPr>
          <w:szCs w:val="24"/>
        </w:rPr>
        <w:t xml:space="preserve">Výstupy budú obsahovať pohľad na </w:t>
      </w:r>
      <w:r w:rsidR="00CD6E41" w:rsidRPr="000C0959">
        <w:rPr>
          <w:szCs w:val="24"/>
        </w:rPr>
        <w:t xml:space="preserve">trh </w:t>
      </w:r>
      <w:r w:rsidRPr="000C0959">
        <w:rPr>
          <w:szCs w:val="24"/>
        </w:rPr>
        <w:t xml:space="preserve">práce v strednodobom horizonte 5 rokov (vrátane substitúcie práce v súvislosti s odchodom do dôchodku) a podrobné členenie ponuky a dopytu po práci a vyhodnotenie súladu resp. nesúladu v nasledovnej štruktúre: </w:t>
      </w:r>
    </w:p>
    <w:p w:rsidR="00FC4141" w:rsidRPr="000C0959" w:rsidRDefault="00FC4141" w:rsidP="001C2E01">
      <w:pPr>
        <w:pStyle w:val="Pta"/>
        <w:numPr>
          <w:ilvl w:val="0"/>
          <w:numId w:val="19"/>
        </w:numPr>
        <w:spacing w:before="20" w:after="20"/>
        <w:jc w:val="both"/>
        <w:rPr>
          <w:szCs w:val="24"/>
        </w:rPr>
      </w:pPr>
      <w:r w:rsidRPr="000C0959">
        <w:rPr>
          <w:szCs w:val="24"/>
        </w:rPr>
        <w:t xml:space="preserve">na úroveň NUTS 3 až 4,  </w:t>
      </w:r>
    </w:p>
    <w:p w:rsidR="00FC4141" w:rsidRPr="000C0959" w:rsidRDefault="00FC4141" w:rsidP="001C2E01">
      <w:pPr>
        <w:pStyle w:val="Pta"/>
        <w:numPr>
          <w:ilvl w:val="0"/>
          <w:numId w:val="19"/>
        </w:numPr>
        <w:spacing w:before="20" w:after="20"/>
        <w:jc w:val="both"/>
        <w:rPr>
          <w:szCs w:val="24"/>
        </w:rPr>
      </w:pPr>
      <w:r w:rsidRPr="000C0959">
        <w:rPr>
          <w:szCs w:val="24"/>
        </w:rPr>
        <w:t>na úroveň 4 zn. SK ISCO-08,</w:t>
      </w:r>
    </w:p>
    <w:p w:rsidR="00FC4141" w:rsidRPr="000C0959" w:rsidRDefault="00FC4141" w:rsidP="001C2E01">
      <w:pPr>
        <w:pStyle w:val="Pta"/>
        <w:numPr>
          <w:ilvl w:val="0"/>
          <w:numId w:val="19"/>
        </w:numPr>
        <w:spacing w:before="20" w:after="20"/>
        <w:jc w:val="both"/>
        <w:rPr>
          <w:szCs w:val="24"/>
        </w:rPr>
      </w:pPr>
      <w:r w:rsidRPr="000C0959">
        <w:rPr>
          <w:szCs w:val="24"/>
        </w:rPr>
        <w:t>na úroveň 2 zn. SK NACE rev.2.</w:t>
      </w:r>
    </w:p>
    <w:p w:rsidR="00FC4141" w:rsidRPr="000C0959" w:rsidRDefault="00FC4141" w:rsidP="00FC4141">
      <w:pPr>
        <w:pStyle w:val="Pta"/>
        <w:tabs>
          <w:tab w:val="clear" w:pos="4536"/>
          <w:tab w:val="center" w:pos="0"/>
        </w:tabs>
        <w:spacing w:before="20" w:after="20"/>
        <w:jc w:val="both"/>
        <w:rPr>
          <w:szCs w:val="24"/>
        </w:rPr>
      </w:pPr>
      <w:r w:rsidRPr="000C0959">
        <w:rPr>
          <w:szCs w:val="24"/>
        </w:rPr>
        <w:t xml:space="preserve">V súčasnosti aktuálne strednodobé prognózy potrieb trhu práce v takejto podrobnej štruktúrnej klasifikácii ako aj na navrhovanej úrovni územného členenia absentujú. Sú nevyhnutné z toho dôvodu, nakoľko zmena zamerania odbornej prípravy nie je realizovateľná najskôr </w:t>
      </w:r>
      <w:r w:rsidR="00CD6E41" w:rsidRPr="000C0959">
        <w:rPr>
          <w:szCs w:val="24"/>
        </w:rPr>
        <w:t xml:space="preserve">po 5-tich </w:t>
      </w:r>
      <w:r w:rsidRPr="000C0959">
        <w:rPr>
          <w:szCs w:val="24"/>
        </w:rPr>
        <w:t xml:space="preserve">rokoch. </w:t>
      </w:r>
    </w:p>
    <w:p w:rsidR="00FC4141" w:rsidRPr="000C0959" w:rsidRDefault="00FC4141" w:rsidP="00FC4141">
      <w:pPr>
        <w:pStyle w:val="Pta"/>
        <w:spacing w:before="20" w:after="20"/>
        <w:jc w:val="both"/>
        <w:rPr>
          <w:szCs w:val="24"/>
        </w:rPr>
      </w:pPr>
      <w:r w:rsidRPr="000C0959">
        <w:rPr>
          <w:szCs w:val="24"/>
        </w:rPr>
        <w:t xml:space="preserve">Výsledky prognóz budú využívať zainteresované subjekty na trhu práce, predovšetkým MPSVR SR, ÚPSVR, MŠVVŠ SR, ŠÚ SR, </w:t>
      </w:r>
      <w:proofErr w:type="spellStart"/>
      <w:r w:rsidRPr="000C0959">
        <w:rPr>
          <w:szCs w:val="24"/>
        </w:rPr>
        <w:t>Eurostat</w:t>
      </w:r>
      <w:proofErr w:type="spellEnd"/>
      <w:r w:rsidRPr="000C0959">
        <w:rPr>
          <w:szCs w:val="24"/>
        </w:rPr>
        <w:t>, Európska Komisia, odvetvové rezorty a im podriadené inštitúcie, sociálni partneri a širšia odborná verejnosť. Konkrétne z toho dôvodu, že ÚPSVR je členom Rady Vlády SR pre odborné vzdelávanie, výsledky prognóz budú využívané pre aktualizáciu zoznamov učebných a študijných odborov ako aj optimalizáciu siete škôl, ďalej Národnou sústavou povolaní, Národnou sústavou kvalifikácií a pod.</w:t>
      </w:r>
    </w:p>
    <w:p w:rsidR="00FC4141" w:rsidRPr="000C0959" w:rsidRDefault="00FC4141" w:rsidP="00FC4141">
      <w:pPr>
        <w:pStyle w:val="Pta"/>
        <w:spacing w:before="20" w:after="20"/>
        <w:jc w:val="both"/>
        <w:rPr>
          <w:szCs w:val="24"/>
        </w:rPr>
      </w:pPr>
      <w:r w:rsidRPr="000C0959">
        <w:rPr>
          <w:szCs w:val="24"/>
        </w:rPr>
        <w:t>Okrem iného tieto informácie významnou mierou prispejú k optimalizácii nasadzovania aktívnych politík zamestnanosti na trhu práce (napr. vzdelávanie).</w:t>
      </w:r>
    </w:p>
    <w:p w:rsidR="00FC4141" w:rsidRPr="000C0959" w:rsidRDefault="00FC4141" w:rsidP="00FC4141">
      <w:pPr>
        <w:pStyle w:val="Pta"/>
        <w:spacing w:before="20" w:after="20"/>
        <w:jc w:val="both"/>
        <w:rPr>
          <w:szCs w:val="24"/>
        </w:rPr>
      </w:pPr>
      <w:r w:rsidRPr="000C0959">
        <w:rPr>
          <w:szCs w:val="24"/>
        </w:rPr>
        <w:t xml:space="preserve">(Rámcové </w:t>
      </w:r>
      <w:r w:rsidR="00CD6E41" w:rsidRPr="000C0959">
        <w:rPr>
          <w:szCs w:val="24"/>
        </w:rPr>
        <w:t xml:space="preserve">osnovy </w:t>
      </w:r>
      <w:r w:rsidR="004572A0" w:rsidRPr="000C0959">
        <w:rPr>
          <w:szCs w:val="24"/>
        </w:rPr>
        <w:t xml:space="preserve">dokumentov obsahuje príloha </w:t>
      </w:r>
      <w:r w:rsidR="004C6CE8" w:rsidRPr="000C0959">
        <w:rPr>
          <w:szCs w:val="24"/>
        </w:rPr>
        <w:t>Zadania na vypracovanie dokumentov „</w:t>
      </w:r>
      <w:r w:rsidR="004572A0" w:rsidRPr="000C0959">
        <w:rPr>
          <w:szCs w:val="24"/>
        </w:rPr>
        <w:t>Prognóza očakávaných budúcich potrieb zamestnancov v horizonte 5 rokov“</w:t>
      </w:r>
      <w:r w:rsidRPr="000C0959">
        <w:rPr>
          <w:szCs w:val="24"/>
        </w:rPr>
        <w:t>).</w:t>
      </w:r>
    </w:p>
    <w:p w:rsidR="00FC4141" w:rsidRPr="000C0959" w:rsidRDefault="00FC4141" w:rsidP="00FC4141">
      <w:pPr>
        <w:pStyle w:val="Pta"/>
        <w:spacing w:before="20" w:after="20"/>
        <w:jc w:val="both"/>
        <w:rPr>
          <w:szCs w:val="24"/>
        </w:rPr>
      </w:pPr>
    </w:p>
    <w:p w:rsidR="00FC4141" w:rsidRPr="000C0959" w:rsidRDefault="00FC4141" w:rsidP="00FC4141">
      <w:pPr>
        <w:autoSpaceDE w:val="0"/>
        <w:autoSpaceDN w:val="0"/>
        <w:adjustRightInd w:val="0"/>
        <w:jc w:val="both"/>
        <w:rPr>
          <w:rFonts w:eastAsia="Arial"/>
          <w:szCs w:val="24"/>
        </w:rPr>
      </w:pPr>
      <w:proofErr w:type="spellStart"/>
      <w:r w:rsidRPr="000C0959">
        <w:rPr>
          <w:b/>
          <w:szCs w:val="24"/>
        </w:rPr>
        <w:t>Podaktivita</w:t>
      </w:r>
      <w:proofErr w:type="spellEnd"/>
      <w:r w:rsidRPr="000C0959">
        <w:rPr>
          <w:b/>
          <w:szCs w:val="24"/>
        </w:rPr>
        <w:t xml:space="preserve"> 2.4 - Návrh odporúčaní vyplývajúcich z prognózy vývoja na trhu práce</w:t>
      </w:r>
    </w:p>
    <w:p w:rsidR="00FC4141" w:rsidRPr="000C0959" w:rsidRDefault="00FC4141" w:rsidP="00FC4141">
      <w:pPr>
        <w:autoSpaceDE w:val="0"/>
        <w:autoSpaceDN w:val="0"/>
        <w:adjustRightInd w:val="0"/>
        <w:jc w:val="both"/>
        <w:rPr>
          <w:rFonts w:eastAsia="Arial"/>
          <w:szCs w:val="24"/>
        </w:rPr>
      </w:pPr>
      <w:r w:rsidRPr="000C0959">
        <w:rPr>
          <w:rFonts w:eastAsia="Arial"/>
          <w:szCs w:val="24"/>
        </w:rPr>
        <w:t>Výstup 1 - Návrh odporúčaní vyplývajúcich z prognózy vývoja na trhu práce v roku 2014</w:t>
      </w:r>
    </w:p>
    <w:p w:rsidR="00FC4141" w:rsidRPr="000C0959" w:rsidRDefault="00FC4141" w:rsidP="00FC4141">
      <w:pPr>
        <w:autoSpaceDE w:val="0"/>
        <w:autoSpaceDN w:val="0"/>
        <w:adjustRightInd w:val="0"/>
        <w:jc w:val="both"/>
        <w:rPr>
          <w:rFonts w:eastAsia="Arial"/>
          <w:szCs w:val="24"/>
        </w:rPr>
      </w:pPr>
      <w:r w:rsidRPr="000C0959">
        <w:rPr>
          <w:rFonts w:eastAsia="Arial"/>
          <w:szCs w:val="24"/>
        </w:rPr>
        <w:t>Výstup 2 - Návrh odporúčaní vyplývajúcich z prognózy vývoja na trhu práce v roku 2015</w:t>
      </w:r>
    </w:p>
    <w:p w:rsidR="00FC4141" w:rsidRPr="000C0959" w:rsidRDefault="00FC4141" w:rsidP="00FC4141">
      <w:pPr>
        <w:autoSpaceDE w:val="0"/>
        <w:autoSpaceDN w:val="0"/>
        <w:adjustRightInd w:val="0"/>
        <w:jc w:val="both"/>
        <w:rPr>
          <w:szCs w:val="24"/>
        </w:rPr>
      </w:pPr>
      <w:r w:rsidRPr="000C0959">
        <w:rPr>
          <w:szCs w:val="24"/>
        </w:rPr>
        <w:t xml:space="preserve">Výstup bude obsahovať sumár najvýznamnejších odporúčaní pre </w:t>
      </w:r>
      <w:proofErr w:type="spellStart"/>
      <w:r w:rsidRPr="000C0959">
        <w:rPr>
          <w:szCs w:val="24"/>
        </w:rPr>
        <w:t>decíznu</w:t>
      </w:r>
      <w:proofErr w:type="spellEnd"/>
      <w:r w:rsidRPr="000C0959">
        <w:rPr>
          <w:szCs w:val="24"/>
        </w:rPr>
        <w:t xml:space="preserve"> sféru, ktoré sa zistili pri realizácii aktivít </w:t>
      </w:r>
      <w:r w:rsidR="00CD6E41" w:rsidRPr="000C0959">
        <w:rPr>
          <w:szCs w:val="24"/>
        </w:rPr>
        <w:t>(2.2, 2.3, 1.4 a 1.3)</w:t>
      </w:r>
      <w:r w:rsidR="00CF0364" w:rsidRPr="000C0959">
        <w:rPr>
          <w:szCs w:val="24"/>
        </w:rPr>
        <w:t xml:space="preserve"> a súvisia s predpokladaným stavom na trhu práce v budúcom období (v krátkodobom a strednodobom horizonte).</w:t>
      </w:r>
    </w:p>
    <w:p w:rsidR="00FC4141" w:rsidRPr="000C0959" w:rsidRDefault="00FC4141" w:rsidP="00FC4141">
      <w:pPr>
        <w:pStyle w:val="Pta"/>
        <w:spacing w:before="20" w:after="20"/>
        <w:jc w:val="both"/>
        <w:rPr>
          <w:szCs w:val="24"/>
        </w:rPr>
      </w:pPr>
      <w:r w:rsidRPr="000C0959">
        <w:rPr>
          <w:szCs w:val="24"/>
        </w:rPr>
        <w:t xml:space="preserve">Výsledky prognóz budú využívať zainteresované subjekty na trhu práce, predovšetkým MPSVR SR, ÚPSVR, MŠVVŠ SR, odvetvové rezorty a im podriadené inštitúcie, sociálni partneri a širšia odborná verejnosť. </w:t>
      </w:r>
    </w:p>
    <w:p w:rsidR="00FC4141" w:rsidRPr="000C0959" w:rsidRDefault="00FC4141" w:rsidP="00FC4141">
      <w:pPr>
        <w:autoSpaceDE w:val="0"/>
        <w:autoSpaceDN w:val="0"/>
        <w:adjustRightInd w:val="0"/>
        <w:spacing w:after="120"/>
        <w:jc w:val="both"/>
        <w:rPr>
          <w:szCs w:val="24"/>
        </w:rPr>
      </w:pPr>
      <w:r w:rsidRPr="000C0959">
        <w:rPr>
          <w:szCs w:val="24"/>
          <w:lang w:eastAsia="en-US"/>
        </w:rPr>
        <w:t xml:space="preserve">(Rámcové osnovy dokumentov obsahuje príloha </w:t>
      </w:r>
      <w:r w:rsidR="004C6CE8" w:rsidRPr="000C0959">
        <w:rPr>
          <w:szCs w:val="24"/>
          <w:lang w:eastAsia="en-US"/>
        </w:rPr>
        <w:t>Zadania na vypracovanie dokumentov „</w:t>
      </w:r>
      <w:r w:rsidR="004572A0" w:rsidRPr="000C0959">
        <w:rPr>
          <w:szCs w:val="24"/>
        </w:rPr>
        <w:t>Návrh odporúčaní vyplývajúcich z prognózy vývoja na trhu práce“</w:t>
      </w:r>
      <w:r w:rsidRPr="000C0959">
        <w:rPr>
          <w:szCs w:val="24"/>
          <w:lang w:eastAsia="en-US"/>
        </w:rPr>
        <w:t>)</w:t>
      </w:r>
      <w:r w:rsidRPr="000C0959">
        <w:rPr>
          <w:szCs w:val="24"/>
        </w:rPr>
        <w:t>.</w:t>
      </w:r>
    </w:p>
    <w:p w:rsidR="00BB5DD5" w:rsidRPr="000C0959" w:rsidRDefault="00BB5DD5" w:rsidP="00BB5DD5">
      <w:pPr>
        <w:autoSpaceDE w:val="0"/>
        <w:autoSpaceDN w:val="0"/>
        <w:adjustRightInd w:val="0"/>
        <w:spacing w:after="120"/>
        <w:jc w:val="both"/>
        <w:rPr>
          <w:sz w:val="20"/>
        </w:rPr>
      </w:pPr>
    </w:p>
    <w:p w:rsidR="00BB5DD5" w:rsidRPr="000C0959" w:rsidRDefault="00BB5DD5" w:rsidP="00556209">
      <w:pPr>
        <w:autoSpaceDE w:val="0"/>
        <w:autoSpaceDN w:val="0"/>
        <w:adjustRightInd w:val="0"/>
        <w:spacing w:after="120"/>
        <w:ind w:left="284" w:hanging="284"/>
        <w:jc w:val="both"/>
        <w:rPr>
          <w:szCs w:val="24"/>
        </w:rPr>
      </w:pPr>
      <w:r w:rsidRPr="000C0959">
        <w:rPr>
          <w:szCs w:val="24"/>
        </w:rPr>
        <w:t xml:space="preserve">Podrobný popis </w:t>
      </w:r>
      <w:r w:rsidR="00E42CD5" w:rsidRPr="000C0959">
        <w:rPr>
          <w:szCs w:val="24"/>
        </w:rPr>
        <w:t>podporných</w:t>
      </w:r>
      <w:r w:rsidRPr="000C0959">
        <w:rPr>
          <w:szCs w:val="24"/>
        </w:rPr>
        <w:t xml:space="preserve"> aktivít </w:t>
      </w:r>
      <w:r w:rsidR="0003756F" w:rsidRPr="000C0959">
        <w:rPr>
          <w:szCs w:val="24"/>
        </w:rPr>
        <w:t>(riadenie a</w:t>
      </w:r>
      <w:r w:rsidR="004934E0" w:rsidRPr="000C0959">
        <w:rPr>
          <w:szCs w:val="24"/>
        </w:rPr>
        <w:t> </w:t>
      </w:r>
      <w:r w:rsidR="0003756F" w:rsidRPr="000C0959">
        <w:rPr>
          <w:szCs w:val="24"/>
        </w:rPr>
        <w:t>publicita</w:t>
      </w:r>
      <w:r w:rsidR="004934E0" w:rsidRPr="000C0959">
        <w:rPr>
          <w:szCs w:val="24"/>
        </w:rPr>
        <w:t xml:space="preserve"> a informovanosť</w:t>
      </w:r>
      <w:r w:rsidR="0003756F" w:rsidRPr="000C0959">
        <w:rPr>
          <w:szCs w:val="24"/>
        </w:rPr>
        <w:t>)</w:t>
      </w:r>
    </w:p>
    <w:p w:rsidR="00FC4141" w:rsidRPr="000C0959" w:rsidRDefault="00FC4141" w:rsidP="00FC4141">
      <w:pPr>
        <w:spacing w:line="360" w:lineRule="auto"/>
        <w:jc w:val="both"/>
        <w:rPr>
          <w:b/>
          <w:i/>
          <w:szCs w:val="24"/>
        </w:rPr>
      </w:pPr>
      <w:r w:rsidRPr="000C0959">
        <w:rPr>
          <w:b/>
          <w:i/>
          <w:szCs w:val="24"/>
        </w:rPr>
        <w:t>Aktivita:  Riadenie projektu</w:t>
      </w:r>
    </w:p>
    <w:p w:rsidR="00FC4141" w:rsidRPr="000C0959" w:rsidRDefault="00FC4141" w:rsidP="00FC4141">
      <w:pPr>
        <w:jc w:val="both"/>
        <w:rPr>
          <w:szCs w:val="24"/>
        </w:rPr>
      </w:pPr>
      <w:r w:rsidRPr="000C0959">
        <w:rPr>
          <w:szCs w:val="24"/>
        </w:rPr>
        <w:t xml:space="preserve">Riadenie projektu bude zabezpečované v súlade so zmluvou o poskytnutí nenávratného finančného príspevku na realizáciu projektu medzi RO a Ústredím PSVR. Ústredie </w:t>
      </w:r>
      <w:r w:rsidR="00803822" w:rsidRPr="000C0959">
        <w:rPr>
          <w:szCs w:val="24"/>
        </w:rPr>
        <w:t xml:space="preserve">PSVR </w:t>
      </w:r>
      <w:r w:rsidRPr="000C0959">
        <w:rPr>
          <w:szCs w:val="24"/>
        </w:rPr>
        <w:t>bude pri realizácii projektu zabezpečovať najmä riadiacu a koordinačnú činnosť, komunikáciu vo vzťahu k riadiacemu orgánu a aktivity s dopadom na celé cieľové územie.</w:t>
      </w:r>
    </w:p>
    <w:p w:rsidR="00FC4141" w:rsidRPr="000C0959" w:rsidRDefault="00FC4141" w:rsidP="00FC4141">
      <w:pPr>
        <w:jc w:val="both"/>
        <w:rPr>
          <w:szCs w:val="24"/>
        </w:rPr>
      </w:pPr>
    </w:p>
    <w:p w:rsidR="00CF0364" w:rsidRPr="000C0959" w:rsidRDefault="00CF0364" w:rsidP="00CF0364">
      <w:pPr>
        <w:spacing w:line="276" w:lineRule="auto"/>
        <w:jc w:val="both"/>
        <w:rPr>
          <w:szCs w:val="24"/>
        </w:rPr>
      </w:pPr>
      <w:r w:rsidRPr="000C0959">
        <w:rPr>
          <w:szCs w:val="24"/>
        </w:rPr>
        <w:t>Efektívne a správne riadenie projektu bude zabezpečované interne – prostredníctvom zamestnancov Ústredia PSVR. Pozri Tabuľka „Personálne zabezpečenie“.</w:t>
      </w:r>
    </w:p>
    <w:p w:rsidR="00FC4141" w:rsidRPr="000C0959" w:rsidRDefault="00FC4141" w:rsidP="00FC4141">
      <w:pPr>
        <w:spacing w:line="276" w:lineRule="auto"/>
        <w:jc w:val="both"/>
        <w:rPr>
          <w:szCs w:val="24"/>
        </w:rPr>
      </w:pPr>
    </w:p>
    <w:p w:rsidR="00FC4141" w:rsidRPr="000C0959" w:rsidRDefault="00FC4141" w:rsidP="00FC4141">
      <w:pPr>
        <w:jc w:val="both"/>
        <w:rPr>
          <w:b/>
          <w:i/>
          <w:szCs w:val="24"/>
        </w:rPr>
      </w:pPr>
      <w:r w:rsidRPr="000C0959">
        <w:rPr>
          <w:b/>
          <w:i/>
          <w:szCs w:val="24"/>
        </w:rPr>
        <w:t xml:space="preserve">Aktivita:  Publicita a informovanosť </w:t>
      </w:r>
    </w:p>
    <w:p w:rsidR="00FC4141" w:rsidRPr="000C0959" w:rsidRDefault="00FC4141" w:rsidP="00FC4141">
      <w:pPr>
        <w:jc w:val="both"/>
        <w:rPr>
          <w:b/>
          <w:szCs w:val="24"/>
        </w:rPr>
      </w:pPr>
    </w:p>
    <w:p w:rsidR="00FC4141" w:rsidRPr="000C0959" w:rsidRDefault="00FC4141" w:rsidP="00FC4141">
      <w:pPr>
        <w:jc w:val="both"/>
        <w:rPr>
          <w:szCs w:val="24"/>
        </w:rPr>
      </w:pPr>
      <w:r w:rsidRPr="000C0959">
        <w:rPr>
          <w:szCs w:val="24"/>
        </w:rPr>
        <w:t>Publicita a informovanosť bude zabezpečená počas celého obdobia trvania realizácie projektu a bude sa riadiť Manuálom pre informovanie a publicitu pre prijímateľov v rámci ESF (2007-2013) pre Operačný program Zamestnanosť a sociálna inklúzia.</w:t>
      </w:r>
    </w:p>
    <w:p w:rsidR="00FC4141" w:rsidRPr="000C0959" w:rsidRDefault="00FC4141" w:rsidP="00FC4141">
      <w:pPr>
        <w:jc w:val="both"/>
        <w:rPr>
          <w:szCs w:val="24"/>
        </w:rPr>
      </w:pPr>
      <w:r w:rsidRPr="000C0959">
        <w:rPr>
          <w:szCs w:val="24"/>
        </w:rPr>
        <w:t> </w:t>
      </w:r>
    </w:p>
    <w:p w:rsidR="00FC4141" w:rsidRPr="000C0959" w:rsidRDefault="00FC4141" w:rsidP="00FC4141">
      <w:pPr>
        <w:spacing w:after="120"/>
        <w:jc w:val="both"/>
        <w:rPr>
          <w:szCs w:val="24"/>
        </w:rPr>
      </w:pPr>
      <w:r w:rsidRPr="000C0959">
        <w:rPr>
          <w:szCs w:val="24"/>
        </w:rPr>
        <w:t>V zmysle Manuálu pre informovanosť a publicitu bude publicita projektu realizovaná prostredníctvom povinných a dobrovoľných komunikačných ciest, konkrétne cez informačné/propagačné materiály. Prostredníctvom nich bude prijímateľ informovať účastníkov projektu ako aj širokú verejnosť, že aktivity, ktoré sa realizujú v rámci projektu sa uskutočňujú vďaka pomoci EÚ, konkrétne vďaka prostriedkom poskytnutým z ESF.</w:t>
      </w:r>
    </w:p>
    <w:p w:rsidR="00FC4141" w:rsidRPr="000C0959" w:rsidRDefault="00FC4141" w:rsidP="00FC4141">
      <w:pPr>
        <w:spacing w:after="120"/>
        <w:jc w:val="both"/>
        <w:rPr>
          <w:szCs w:val="24"/>
        </w:rPr>
      </w:pPr>
      <w:r w:rsidRPr="000C0959">
        <w:rPr>
          <w:szCs w:val="24"/>
        </w:rPr>
        <w:t xml:space="preserve">Plagáty a samolepky budú obsahovať všetky potrebné informácie týkajúce sa spolufinancovania ESF, logo ESF, logo OP </w:t>
      </w:r>
      <w:proofErr w:type="spellStart"/>
      <w:r w:rsidRPr="000C0959">
        <w:rPr>
          <w:szCs w:val="24"/>
        </w:rPr>
        <w:t>ZaSI</w:t>
      </w:r>
      <w:proofErr w:type="spellEnd"/>
      <w:r w:rsidRPr="000C0959">
        <w:rPr>
          <w:szCs w:val="24"/>
        </w:rPr>
        <w:t>. Keďže prijímateľ je povinný informovať účastníkov projektu a verejnosť o tom, že aktivity, ktoré realizuje, sa uskutočňujú vďaka pomoci EÚ, konkrétne vďaka prostriedkom poskytnutým z ESF,</w:t>
      </w:r>
      <w:r w:rsidRPr="000C0959">
        <w:rPr>
          <w:rFonts w:ascii="Arial Narrow" w:hAnsi="Arial Narrow"/>
          <w:sz w:val="20"/>
        </w:rPr>
        <w:t xml:space="preserve"> </w:t>
      </w:r>
      <w:r w:rsidRPr="000C0959">
        <w:rPr>
          <w:szCs w:val="24"/>
        </w:rPr>
        <w:t xml:space="preserve">informácie o projekte budú vyhotovené  za účelom informovania a budú  dostupné i na </w:t>
      </w:r>
      <w:hyperlink r:id="rId14" w:history="1">
        <w:r w:rsidRPr="000C0959">
          <w:rPr>
            <w:szCs w:val="24"/>
          </w:rPr>
          <w:t>www.upsvar.sk</w:t>
        </w:r>
      </w:hyperlink>
      <w:r w:rsidRPr="000C0959">
        <w:rPr>
          <w:szCs w:val="24"/>
        </w:rPr>
        <w:t>. Z dôvodu informovania verejnosti a užívateľov výsledkov projektu budú plagáty umiestnené </w:t>
      </w:r>
      <w:r w:rsidR="00CD6E41" w:rsidRPr="000C0959">
        <w:rPr>
          <w:szCs w:val="24"/>
        </w:rPr>
        <w:t>v inštitúciách a u subjektov, pre ktoré sú aktivity projektu určené (napr. na Ústredí PSVR, úradoch práce, sociálnych vecí a rodiny, VÚC, MPSVR SR, MŠVVŠ SR, zástupcovia zamestnávateľov a KOZ).</w:t>
      </w:r>
    </w:p>
    <w:p w:rsidR="00FC4141" w:rsidRPr="000C0959" w:rsidRDefault="00FC4141" w:rsidP="00FC4141">
      <w:pPr>
        <w:spacing w:after="120"/>
        <w:jc w:val="both"/>
        <w:rPr>
          <w:szCs w:val="24"/>
        </w:rPr>
      </w:pPr>
      <w:r w:rsidRPr="000C0959">
        <w:rPr>
          <w:szCs w:val="24"/>
        </w:rPr>
        <w:t xml:space="preserve">Samolepky budú slúžiť na povinné označovanie priestorov, majetku, materiálu zakúpeného z finančných prostriedkov projektu </w:t>
      </w:r>
      <w:r w:rsidR="00CD6E41" w:rsidRPr="000C0959">
        <w:rPr>
          <w:szCs w:val="24"/>
        </w:rPr>
        <w:t>na Ústredí PSVR.</w:t>
      </w:r>
    </w:p>
    <w:p w:rsidR="00FC4141" w:rsidRPr="000C0959" w:rsidRDefault="00FC4141" w:rsidP="00FC4141">
      <w:pPr>
        <w:jc w:val="both"/>
        <w:rPr>
          <w:szCs w:val="24"/>
        </w:rPr>
      </w:pPr>
      <w:r w:rsidRPr="000C0959">
        <w:rPr>
          <w:szCs w:val="24"/>
        </w:rPr>
        <w:t>Publicita bude centrálne zabezpečovaná a koordinovaná Ústredím PSVR.</w:t>
      </w:r>
    </w:p>
    <w:p w:rsidR="007A7DEA" w:rsidRPr="000C0959" w:rsidRDefault="007A7DEA" w:rsidP="00BB5DD5">
      <w:pPr>
        <w:autoSpaceDE w:val="0"/>
        <w:autoSpaceDN w:val="0"/>
        <w:adjustRightInd w:val="0"/>
        <w:spacing w:after="120"/>
        <w:jc w:val="both"/>
        <w:rPr>
          <w:sz w:val="20"/>
        </w:rPr>
      </w:pPr>
    </w:p>
    <w:sectPr w:rsidR="007A7DEA" w:rsidRPr="000C0959" w:rsidSect="00EC31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0BB" w:rsidRDefault="00B740BB">
      <w:r>
        <w:separator/>
      </w:r>
    </w:p>
  </w:endnote>
  <w:endnote w:type="continuationSeparator" w:id="0">
    <w:p w:rsidR="00B740BB" w:rsidRDefault="00B740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9392"/>
      <w:docPartObj>
        <w:docPartGallery w:val="Page Numbers (Bottom of Page)"/>
        <w:docPartUnique/>
      </w:docPartObj>
    </w:sdtPr>
    <w:sdtContent>
      <w:p w:rsidR="00B740BB" w:rsidRDefault="00B740BB">
        <w:pPr>
          <w:pStyle w:val="Pta"/>
          <w:jc w:val="right"/>
        </w:pPr>
        <w:fldSimple w:instr=" PAGE   \* MERGEFORMAT ">
          <w:r w:rsidR="00553F08">
            <w:rPr>
              <w:noProof/>
            </w:rPr>
            <w:t>16</w:t>
          </w:r>
        </w:fldSimple>
      </w:p>
    </w:sdtContent>
  </w:sdt>
  <w:p w:rsidR="00B740BB" w:rsidRPr="00F704E7" w:rsidRDefault="00B740BB" w:rsidP="00371C8E">
    <w:pPr>
      <w:pStyle w:val="Pta"/>
      <w:tabs>
        <w:tab w:val="clear" w:pos="4536"/>
        <w:tab w:val="clear" w:pos="9072"/>
        <w:tab w:val="left" w:pos="7245"/>
      </w:tabs>
      <w:rPr>
        <w:rFonts w:ascii="Arial Narrow" w:hAnsi="Arial Narrow"/>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0BB" w:rsidRDefault="00B740BB">
      <w:r>
        <w:separator/>
      </w:r>
    </w:p>
  </w:footnote>
  <w:footnote w:type="continuationSeparator" w:id="0">
    <w:p w:rsidR="00B740BB" w:rsidRDefault="00B74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363F"/>
    <w:multiLevelType w:val="hybridMultilevel"/>
    <w:tmpl w:val="BBC29F06"/>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AFD4AEC"/>
    <w:multiLevelType w:val="hybridMultilevel"/>
    <w:tmpl w:val="366AD5A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5BA40C4"/>
    <w:multiLevelType w:val="hybridMultilevel"/>
    <w:tmpl w:val="A49A2DF2"/>
    <w:lvl w:ilvl="0" w:tplc="A3407008">
      <w:start w:val="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43329"/>
    <w:multiLevelType w:val="hybridMultilevel"/>
    <w:tmpl w:val="B7E0A5AA"/>
    <w:lvl w:ilvl="0" w:tplc="8F4E454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2DF97114"/>
    <w:multiLevelType w:val="hybridMultilevel"/>
    <w:tmpl w:val="9A3673F8"/>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nsid w:val="30B24B51"/>
    <w:multiLevelType w:val="hybridMultilevel"/>
    <w:tmpl w:val="39FCFD4E"/>
    <w:lvl w:ilvl="0" w:tplc="041B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732"/>
        </w:tabs>
        <w:ind w:left="732" w:hanging="360"/>
      </w:pPr>
      <w:rPr>
        <w:rFonts w:ascii="Courier New" w:hAnsi="Courier New" w:cs="Symbol"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cs="Symbol"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cs="Symbol"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7">
    <w:nsid w:val="30D34753"/>
    <w:multiLevelType w:val="hybridMultilevel"/>
    <w:tmpl w:val="2E8074EE"/>
    <w:lvl w:ilvl="0" w:tplc="041B0001">
      <w:start w:val="1"/>
      <w:numFmt w:val="bullet"/>
      <w:lvlText w:val=""/>
      <w:lvlJc w:val="left"/>
      <w:pPr>
        <w:ind w:left="787" w:hanging="360"/>
      </w:pPr>
      <w:rPr>
        <w:rFonts w:ascii="Symbol" w:hAnsi="Symbol" w:hint="default"/>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8">
    <w:nsid w:val="35234E48"/>
    <w:multiLevelType w:val="hybridMultilevel"/>
    <w:tmpl w:val="6376FC4A"/>
    <w:lvl w:ilvl="0" w:tplc="4F70FEEC">
      <w:start w:val="2"/>
      <w:numFmt w:val="bullet"/>
      <w:lvlText w:val="-"/>
      <w:lvlJc w:val="left"/>
      <w:pPr>
        <w:ind w:left="720" w:hanging="360"/>
      </w:pPr>
      <w:rPr>
        <w:rFonts w:ascii="Arial Narrow" w:eastAsia="Times New Roman" w:hAnsi="Arial Narrow"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6616139"/>
    <w:multiLevelType w:val="hybridMultilevel"/>
    <w:tmpl w:val="1B20EA6C"/>
    <w:lvl w:ilvl="0" w:tplc="E81AE8A2">
      <w:start w:val="2"/>
      <w:numFmt w:val="bullet"/>
      <w:lvlText w:val="-"/>
      <w:lvlJc w:val="left"/>
      <w:pPr>
        <w:tabs>
          <w:tab w:val="num" w:pos="720"/>
        </w:tabs>
        <w:ind w:left="720" w:hanging="360"/>
      </w:pPr>
      <w:rPr>
        <w:rFonts w:ascii="Arial Narrow" w:eastAsia="Times New Roman" w:hAnsi="Arial Narrow"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37C52FCC"/>
    <w:multiLevelType w:val="hybridMultilevel"/>
    <w:tmpl w:val="8E225878"/>
    <w:lvl w:ilvl="0" w:tplc="8062B2FA">
      <w:numFmt w:val="bullet"/>
      <w:lvlText w:val="-"/>
      <w:lvlJc w:val="left"/>
      <w:pPr>
        <w:ind w:left="720" w:hanging="360"/>
      </w:pPr>
      <w:rPr>
        <w:rFonts w:ascii="Arial Narrow" w:eastAsia="Times New Roman" w:hAnsi="Arial Narrow"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3CD73D7C"/>
    <w:multiLevelType w:val="hybridMultilevel"/>
    <w:tmpl w:val="7838851C"/>
    <w:lvl w:ilvl="0" w:tplc="A3407008">
      <w:start w:val="4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0331767"/>
    <w:multiLevelType w:val="hybridMultilevel"/>
    <w:tmpl w:val="7B1A1228"/>
    <w:lvl w:ilvl="0" w:tplc="F98C0ACC">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576765D"/>
    <w:multiLevelType w:val="hybridMultilevel"/>
    <w:tmpl w:val="5FE09C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F471EAB"/>
    <w:multiLevelType w:val="hybridMultilevel"/>
    <w:tmpl w:val="A2460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1DF15A0"/>
    <w:multiLevelType w:val="hybridMultilevel"/>
    <w:tmpl w:val="7E0E7D5E"/>
    <w:lvl w:ilvl="0" w:tplc="C68C8ABA">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52DC7DFB"/>
    <w:multiLevelType w:val="hybridMultilevel"/>
    <w:tmpl w:val="D1203156"/>
    <w:lvl w:ilvl="0" w:tplc="DCCAD9C0">
      <w:start w:val="5"/>
      <w:numFmt w:val="bullet"/>
      <w:lvlText w:val="-"/>
      <w:lvlJc w:val="left"/>
      <w:pPr>
        <w:ind w:left="1007" w:hanging="360"/>
      </w:pPr>
      <w:rPr>
        <w:rFonts w:ascii="Times New Roman" w:eastAsia="Times New Roman" w:hAnsi="Times New Roman" w:hint="default"/>
      </w:rPr>
    </w:lvl>
    <w:lvl w:ilvl="1" w:tplc="041B0003" w:tentative="1">
      <w:start w:val="1"/>
      <w:numFmt w:val="bullet"/>
      <w:lvlText w:val="o"/>
      <w:lvlJc w:val="left"/>
      <w:pPr>
        <w:ind w:left="1727" w:hanging="360"/>
      </w:pPr>
      <w:rPr>
        <w:rFonts w:ascii="Courier New" w:hAnsi="Courier New" w:cs="Courier New" w:hint="default"/>
      </w:rPr>
    </w:lvl>
    <w:lvl w:ilvl="2" w:tplc="041B0005" w:tentative="1">
      <w:start w:val="1"/>
      <w:numFmt w:val="bullet"/>
      <w:lvlText w:val=""/>
      <w:lvlJc w:val="left"/>
      <w:pPr>
        <w:ind w:left="2447" w:hanging="360"/>
      </w:pPr>
      <w:rPr>
        <w:rFonts w:ascii="Wingdings" w:hAnsi="Wingdings" w:hint="default"/>
      </w:rPr>
    </w:lvl>
    <w:lvl w:ilvl="3" w:tplc="041B0001" w:tentative="1">
      <w:start w:val="1"/>
      <w:numFmt w:val="bullet"/>
      <w:lvlText w:val=""/>
      <w:lvlJc w:val="left"/>
      <w:pPr>
        <w:ind w:left="3167" w:hanging="360"/>
      </w:pPr>
      <w:rPr>
        <w:rFonts w:ascii="Symbol" w:hAnsi="Symbol" w:hint="default"/>
      </w:rPr>
    </w:lvl>
    <w:lvl w:ilvl="4" w:tplc="041B0003" w:tentative="1">
      <w:start w:val="1"/>
      <w:numFmt w:val="bullet"/>
      <w:lvlText w:val="o"/>
      <w:lvlJc w:val="left"/>
      <w:pPr>
        <w:ind w:left="3887" w:hanging="360"/>
      </w:pPr>
      <w:rPr>
        <w:rFonts w:ascii="Courier New" w:hAnsi="Courier New" w:cs="Courier New" w:hint="default"/>
      </w:rPr>
    </w:lvl>
    <w:lvl w:ilvl="5" w:tplc="041B0005" w:tentative="1">
      <w:start w:val="1"/>
      <w:numFmt w:val="bullet"/>
      <w:lvlText w:val=""/>
      <w:lvlJc w:val="left"/>
      <w:pPr>
        <w:ind w:left="4607" w:hanging="360"/>
      </w:pPr>
      <w:rPr>
        <w:rFonts w:ascii="Wingdings" w:hAnsi="Wingdings" w:hint="default"/>
      </w:rPr>
    </w:lvl>
    <w:lvl w:ilvl="6" w:tplc="041B0001" w:tentative="1">
      <w:start w:val="1"/>
      <w:numFmt w:val="bullet"/>
      <w:lvlText w:val=""/>
      <w:lvlJc w:val="left"/>
      <w:pPr>
        <w:ind w:left="5327" w:hanging="360"/>
      </w:pPr>
      <w:rPr>
        <w:rFonts w:ascii="Symbol" w:hAnsi="Symbol" w:hint="default"/>
      </w:rPr>
    </w:lvl>
    <w:lvl w:ilvl="7" w:tplc="041B0003" w:tentative="1">
      <w:start w:val="1"/>
      <w:numFmt w:val="bullet"/>
      <w:lvlText w:val="o"/>
      <w:lvlJc w:val="left"/>
      <w:pPr>
        <w:ind w:left="6047" w:hanging="360"/>
      </w:pPr>
      <w:rPr>
        <w:rFonts w:ascii="Courier New" w:hAnsi="Courier New" w:cs="Courier New" w:hint="default"/>
      </w:rPr>
    </w:lvl>
    <w:lvl w:ilvl="8" w:tplc="041B0005" w:tentative="1">
      <w:start w:val="1"/>
      <w:numFmt w:val="bullet"/>
      <w:lvlText w:val=""/>
      <w:lvlJc w:val="left"/>
      <w:pPr>
        <w:ind w:left="6767" w:hanging="360"/>
      </w:pPr>
      <w:rPr>
        <w:rFonts w:ascii="Wingdings" w:hAnsi="Wingdings" w:hint="default"/>
      </w:rPr>
    </w:lvl>
  </w:abstractNum>
  <w:abstractNum w:abstractNumId="18">
    <w:nsid w:val="56843DE4"/>
    <w:multiLevelType w:val="hybridMultilevel"/>
    <w:tmpl w:val="097A0800"/>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600D29DE"/>
    <w:multiLevelType w:val="hybridMultilevel"/>
    <w:tmpl w:val="DF043086"/>
    <w:lvl w:ilvl="0" w:tplc="DCCAD9C0">
      <w:start w:val="5"/>
      <w:numFmt w:val="bullet"/>
      <w:lvlText w:val="-"/>
      <w:lvlJc w:val="left"/>
      <w:pPr>
        <w:ind w:left="1007" w:hanging="360"/>
      </w:pPr>
      <w:rPr>
        <w:rFonts w:ascii="Times New Roman" w:eastAsia="Times New Roman" w:hAnsi="Times New Roman" w:hint="default"/>
      </w:rPr>
    </w:lvl>
    <w:lvl w:ilvl="1" w:tplc="041B0003" w:tentative="1">
      <w:start w:val="1"/>
      <w:numFmt w:val="bullet"/>
      <w:lvlText w:val="o"/>
      <w:lvlJc w:val="left"/>
      <w:pPr>
        <w:ind w:left="1727" w:hanging="360"/>
      </w:pPr>
      <w:rPr>
        <w:rFonts w:ascii="Courier New" w:hAnsi="Courier New" w:cs="Courier New" w:hint="default"/>
      </w:rPr>
    </w:lvl>
    <w:lvl w:ilvl="2" w:tplc="041B0005" w:tentative="1">
      <w:start w:val="1"/>
      <w:numFmt w:val="bullet"/>
      <w:lvlText w:val=""/>
      <w:lvlJc w:val="left"/>
      <w:pPr>
        <w:ind w:left="2447" w:hanging="360"/>
      </w:pPr>
      <w:rPr>
        <w:rFonts w:ascii="Wingdings" w:hAnsi="Wingdings" w:hint="default"/>
      </w:rPr>
    </w:lvl>
    <w:lvl w:ilvl="3" w:tplc="041B0001" w:tentative="1">
      <w:start w:val="1"/>
      <w:numFmt w:val="bullet"/>
      <w:lvlText w:val=""/>
      <w:lvlJc w:val="left"/>
      <w:pPr>
        <w:ind w:left="3167" w:hanging="360"/>
      </w:pPr>
      <w:rPr>
        <w:rFonts w:ascii="Symbol" w:hAnsi="Symbol" w:hint="default"/>
      </w:rPr>
    </w:lvl>
    <w:lvl w:ilvl="4" w:tplc="041B0003" w:tentative="1">
      <w:start w:val="1"/>
      <w:numFmt w:val="bullet"/>
      <w:lvlText w:val="o"/>
      <w:lvlJc w:val="left"/>
      <w:pPr>
        <w:ind w:left="3887" w:hanging="360"/>
      </w:pPr>
      <w:rPr>
        <w:rFonts w:ascii="Courier New" w:hAnsi="Courier New" w:cs="Courier New" w:hint="default"/>
      </w:rPr>
    </w:lvl>
    <w:lvl w:ilvl="5" w:tplc="041B0005" w:tentative="1">
      <w:start w:val="1"/>
      <w:numFmt w:val="bullet"/>
      <w:lvlText w:val=""/>
      <w:lvlJc w:val="left"/>
      <w:pPr>
        <w:ind w:left="4607" w:hanging="360"/>
      </w:pPr>
      <w:rPr>
        <w:rFonts w:ascii="Wingdings" w:hAnsi="Wingdings" w:hint="default"/>
      </w:rPr>
    </w:lvl>
    <w:lvl w:ilvl="6" w:tplc="041B0001" w:tentative="1">
      <w:start w:val="1"/>
      <w:numFmt w:val="bullet"/>
      <w:lvlText w:val=""/>
      <w:lvlJc w:val="left"/>
      <w:pPr>
        <w:ind w:left="5327" w:hanging="360"/>
      </w:pPr>
      <w:rPr>
        <w:rFonts w:ascii="Symbol" w:hAnsi="Symbol" w:hint="default"/>
      </w:rPr>
    </w:lvl>
    <w:lvl w:ilvl="7" w:tplc="041B0003" w:tentative="1">
      <w:start w:val="1"/>
      <w:numFmt w:val="bullet"/>
      <w:lvlText w:val="o"/>
      <w:lvlJc w:val="left"/>
      <w:pPr>
        <w:ind w:left="6047" w:hanging="360"/>
      </w:pPr>
      <w:rPr>
        <w:rFonts w:ascii="Courier New" w:hAnsi="Courier New" w:cs="Courier New" w:hint="default"/>
      </w:rPr>
    </w:lvl>
    <w:lvl w:ilvl="8" w:tplc="041B0005" w:tentative="1">
      <w:start w:val="1"/>
      <w:numFmt w:val="bullet"/>
      <w:lvlText w:val=""/>
      <w:lvlJc w:val="left"/>
      <w:pPr>
        <w:ind w:left="6767" w:hanging="360"/>
      </w:pPr>
      <w:rPr>
        <w:rFonts w:ascii="Wingdings" w:hAnsi="Wingdings" w:hint="default"/>
      </w:rPr>
    </w:lvl>
  </w:abstractNum>
  <w:abstractNum w:abstractNumId="20">
    <w:nsid w:val="6CB05F10"/>
    <w:multiLevelType w:val="hybridMultilevel"/>
    <w:tmpl w:val="8E641CEE"/>
    <w:lvl w:ilvl="0" w:tplc="3992E7C0">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6"/>
  </w:num>
  <w:num w:numId="2">
    <w:abstractNumId w:val="21"/>
  </w:num>
  <w:num w:numId="3">
    <w:abstractNumId w:val="15"/>
  </w:num>
  <w:num w:numId="4">
    <w:abstractNumId w:val="2"/>
  </w:num>
  <w:num w:numId="5">
    <w:abstractNumId w:val="8"/>
  </w:num>
  <w:num w:numId="6">
    <w:abstractNumId w:val="12"/>
  </w:num>
  <w:num w:numId="7">
    <w:abstractNumId w:val="11"/>
  </w:num>
  <w:num w:numId="8">
    <w:abstractNumId w:val="3"/>
  </w:num>
  <w:num w:numId="9">
    <w:abstractNumId w:val="9"/>
  </w:num>
  <w:num w:numId="10">
    <w:abstractNumId w:val="0"/>
  </w:num>
  <w:num w:numId="11">
    <w:abstractNumId w:val="18"/>
  </w:num>
  <w:num w:numId="12">
    <w:abstractNumId w:val="1"/>
  </w:num>
  <w:num w:numId="13">
    <w:abstractNumId w:val="6"/>
  </w:num>
  <w:num w:numId="14">
    <w:abstractNumId w:val="13"/>
  </w:num>
  <w:num w:numId="15">
    <w:abstractNumId w:val="17"/>
  </w:num>
  <w:num w:numId="16">
    <w:abstractNumId w:val="19"/>
  </w:num>
  <w:num w:numId="17">
    <w:abstractNumId w:val="4"/>
  </w:num>
  <w:num w:numId="18">
    <w:abstractNumId w:val="5"/>
  </w:num>
  <w:num w:numId="19">
    <w:abstractNumId w:val="20"/>
  </w:num>
  <w:num w:numId="20">
    <w:abstractNumId w:val="14"/>
  </w:num>
  <w:num w:numId="21">
    <w:abstractNumId w:val="7"/>
  </w:num>
  <w:num w:numId="22">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B5DD5"/>
    <w:rsid w:val="0003756F"/>
    <w:rsid w:val="00062401"/>
    <w:rsid w:val="0007051E"/>
    <w:rsid w:val="00086336"/>
    <w:rsid w:val="000935C0"/>
    <w:rsid w:val="00093899"/>
    <w:rsid w:val="000B588F"/>
    <w:rsid w:val="000B5CA7"/>
    <w:rsid w:val="000B626C"/>
    <w:rsid w:val="000C0959"/>
    <w:rsid w:val="000D15EA"/>
    <w:rsid w:val="000D2DCB"/>
    <w:rsid w:val="000E071F"/>
    <w:rsid w:val="000E1FD4"/>
    <w:rsid w:val="000E37F7"/>
    <w:rsid w:val="00105311"/>
    <w:rsid w:val="001169EC"/>
    <w:rsid w:val="00117C71"/>
    <w:rsid w:val="0012243B"/>
    <w:rsid w:val="00132743"/>
    <w:rsid w:val="00132F05"/>
    <w:rsid w:val="00142128"/>
    <w:rsid w:val="0014214C"/>
    <w:rsid w:val="00155780"/>
    <w:rsid w:val="00155908"/>
    <w:rsid w:val="00155AEA"/>
    <w:rsid w:val="00161354"/>
    <w:rsid w:val="0016157B"/>
    <w:rsid w:val="00175200"/>
    <w:rsid w:val="001811F6"/>
    <w:rsid w:val="001818B0"/>
    <w:rsid w:val="00192F70"/>
    <w:rsid w:val="00193E5D"/>
    <w:rsid w:val="00196FBC"/>
    <w:rsid w:val="001A7C55"/>
    <w:rsid w:val="001B4F48"/>
    <w:rsid w:val="001B7250"/>
    <w:rsid w:val="001C2E01"/>
    <w:rsid w:val="001D63DD"/>
    <w:rsid w:val="001F26AF"/>
    <w:rsid w:val="002024FA"/>
    <w:rsid w:val="00212040"/>
    <w:rsid w:val="00223BFE"/>
    <w:rsid w:val="00223E01"/>
    <w:rsid w:val="00226A13"/>
    <w:rsid w:val="00232502"/>
    <w:rsid w:val="00235DFE"/>
    <w:rsid w:val="002462F7"/>
    <w:rsid w:val="00251D4E"/>
    <w:rsid w:val="00254B8F"/>
    <w:rsid w:val="00254BFC"/>
    <w:rsid w:val="00291520"/>
    <w:rsid w:val="00292928"/>
    <w:rsid w:val="00294DA4"/>
    <w:rsid w:val="002B7A2C"/>
    <w:rsid w:val="002C0B68"/>
    <w:rsid w:val="002C166F"/>
    <w:rsid w:val="002D02E8"/>
    <w:rsid w:val="002D3C8C"/>
    <w:rsid w:val="002E4045"/>
    <w:rsid w:val="002E5E98"/>
    <w:rsid w:val="002F1E84"/>
    <w:rsid w:val="002F2EEA"/>
    <w:rsid w:val="00301B80"/>
    <w:rsid w:val="00311423"/>
    <w:rsid w:val="00314CA5"/>
    <w:rsid w:val="00317B08"/>
    <w:rsid w:val="00350796"/>
    <w:rsid w:val="003568ED"/>
    <w:rsid w:val="00357473"/>
    <w:rsid w:val="00371C8E"/>
    <w:rsid w:val="00372576"/>
    <w:rsid w:val="0037508B"/>
    <w:rsid w:val="0038003D"/>
    <w:rsid w:val="00386313"/>
    <w:rsid w:val="003E76EF"/>
    <w:rsid w:val="003F0A9F"/>
    <w:rsid w:val="003F4E64"/>
    <w:rsid w:val="003F5B6A"/>
    <w:rsid w:val="0040575A"/>
    <w:rsid w:val="00456E9B"/>
    <w:rsid w:val="004572A0"/>
    <w:rsid w:val="00463CA5"/>
    <w:rsid w:val="004653CF"/>
    <w:rsid w:val="00466AE5"/>
    <w:rsid w:val="004856A7"/>
    <w:rsid w:val="00491223"/>
    <w:rsid w:val="00491FE8"/>
    <w:rsid w:val="004934E0"/>
    <w:rsid w:val="004A3043"/>
    <w:rsid w:val="004C6CE8"/>
    <w:rsid w:val="004D29B6"/>
    <w:rsid w:val="004D541E"/>
    <w:rsid w:val="004E3715"/>
    <w:rsid w:val="004E56FD"/>
    <w:rsid w:val="004F5711"/>
    <w:rsid w:val="00500A0A"/>
    <w:rsid w:val="005063AB"/>
    <w:rsid w:val="005079A0"/>
    <w:rsid w:val="00524DEF"/>
    <w:rsid w:val="00535EB4"/>
    <w:rsid w:val="00541796"/>
    <w:rsid w:val="00543106"/>
    <w:rsid w:val="005433D9"/>
    <w:rsid w:val="00553F08"/>
    <w:rsid w:val="00556209"/>
    <w:rsid w:val="00556D26"/>
    <w:rsid w:val="00561084"/>
    <w:rsid w:val="005617FD"/>
    <w:rsid w:val="00561B32"/>
    <w:rsid w:val="005640A8"/>
    <w:rsid w:val="0056487B"/>
    <w:rsid w:val="00581A64"/>
    <w:rsid w:val="00587ACD"/>
    <w:rsid w:val="00597577"/>
    <w:rsid w:val="005A0140"/>
    <w:rsid w:val="005B2CFD"/>
    <w:rsid w:val="005B40C3"/>
    <w:rsid w:val="005B60DB"/>
    <w:rsid w:val="005B6D77"/>
    <w:rsid w:val="005C0076"/>
    <w:rsid w:val="005D01A0"/>
    <w:rsid w:val="005E5224"/>
    <w:rsid w:val="005E5E80"/>
    <w:rsid w:val="005F7B21"/>
    <w:rsid w:val="00602601"/>
    <w:rsid w:val="006072CA"/>
    <w:rsid w:val="006203DF"/>
    <w:rsid w:val="00625D78"/>
    <w:rsid w:val="006348F6"/>
    <w:rsid w:val="00634C9E"/>
    <w:rsid w:val="00634EEA"/>
    <w:rsid w:val="00640FBD"/>
    <w:rsid w:val="00641CB2"/>
    <w:rsid w:val="0064581F"/>
    <w:rsid w:val="0065142C"/>
    <w:rsid w:val="00665A5B"/>
    <w:rsid w:val="00690B08"/>
    <w:rsid w:val="00693448"/>
    <w:rsid w:val="006A1F1B"/>
    <w:rsid w:val="006A671E"/>
    <w:rsid w:val="006D1FC4"/>
    <w:rsid w:val="006D6111"/>
    <w:rsid w:val="006E6E18"/>
    <w:rsid w:val="006E7ADA"/>
    <w:rsid w:val="006F5EB3"/>
    <w:rsid w:val="0070177E"/>
    <w:rsid w:val="00703CEE"/>
    <w:rsid w:val="00723189"/>
    <w:rsid w:val="00731F8C"/>
    <w:rsid w:val="007320CE"/>
    <w:rsid w:val="00732350"/>
    <w:rsid w:val="00737940"/>
    <w:rsid w:val="00741250"/>
    <w:rsid w:val="00757434"/>
    <w:rsid w:val="00783DC9"/>
    <w:rsid w:val="00786664"/>
    <w:rsid w:val="00797839"/>
    <w:rsid w:val="007A16CA"/>
    <w:rsid w:val="007A7DEA"/>
    <w:rsid w:val="007B32F2"/>
    <w:rsid w:val="007B4C31"/>
    <w:rsid w:val="007B5C0C"/>
    <w:rsid w:val="007B6207"/>
    <w:rsid w:val="007C1BBB"/>
    <w:rsid w:val="007C7D98"/>
    <w:rsid w:val="007D1CE9"/>
    <w:rsid w:val="007D1D45"/>
    <w:rsid w:val="007E0AB9"/>
    <w:rsid w:val="007E576E"/>
    <w:rsid w:val="00803822"/>
    <w:rsid w:val="00812D63"/>
    <w:rsid w:val="00814F80"/>
    <w:rsid w:val="0082417B"/>
    <w:rsid w:val="008258C5"/>
    <w:rsid w:val="008263CA"/>
    <w:rsid w:val="00845E86"/>
    <w:rsid w:val="008507B4"/>
    <w:rsid w:val="00856135"/>
    <w:rsid w:val="00861097"/>
    <w:rsid w:val="00886525"/>
    <w:rsid w:val="008875C8"/>
    <w:rsid w:val="008A22A7"/>
    <w:rsid w:val="008C3898"/>
    <w:rsid w:val="008E5D7D"/>
    <w:rsid w:val="008E6313"/>
    <w:rsid w:val="00902F70"/>
    <w:rsid w:val="00904878"/>
    <w:rsid w:val="00904ACA"/>
    <w:rsid w:val="009074FB"/>
    <w:rsid w:val="00913FD3"/>
    <w:rsid w:val="009207D4"/>
    <w:rsid w:val="0092292F"/>
    <w:rsid w:val="009354AE"/>
    <w:rsid w:val="009374B8"/>
    <w:rsid w:val="009510EB"/>
    <w:rsid w:val="00954B27"/>
    <w:rsid w:val="00981009"/>
    <w:rsid w:val="00981E05"/>
    <w:rsid w:val="00987698"/>
    <w:rsid w:val="00992B93"/>
    <w:rsid w:val="009B4B65"/>
    <w:rsid w:val="009B7C6F"/>
    <w:rsid w:val="009D2F7C"/>
    <w:rsid w:val="009E0788"/>
    <w:rsid w:val="009E2469"/>
    <w:rsid w:val="009E44D4"/>
    <w:rsid w:val="009E5D80"/>
    <w:rsid w:val="009F0859"/>
    <w:rsid w:val="009F35F0"/>
    <w:rsid w:val="00A15DD3"/>
    <w:rsid w:val="00A24D10"/>
    <w:rsid w:val="00A25C1E"/>
    <w:rsid w:val="00A5183C"/>
    <w:rsid w:val="00A553F8"/>
    <w:rsid w:val="00A63497"/>
    <w:rsid w:val="00A63741"/>
    <w:rsid w:val="00A66A7C"/>
    <w:rsid w:val="00A705C6"/>
    <w:rsid w:val="00A71B30"/>
    <w:rsid w:val="00A97DBD"/>
    <w:rsid w:val="00AA2199"/>
    <w:rsid w:val="00AB5491"/>
    <w:rsid w:val="00AB6C7F"/>
    <w:rsid w:val="00AD250A"/>
    <w:rsid w:val="00AE6C37"/>
    <w:rsid w:val="00AF31D5"/>
    <w:rsid w:val="00B14863"/>
    <w:rsid w:val="00B33564"/>
    <w:rsid w:val="00B44BF2"/>
    <w:rsid w:val="00B50BC0"/>
    <w:rsid w:val="00B65515"/>
    <w:rsid w:val="00B740BB"/>
    <w:rsid w:val="00B8630E"/>
    <w:rsid w:val="00B91859"/>
    <w:rsid w:val="00B92272"/>
    <w:rsid w:val="00B957F8"/>
    <w:rsid w:val="00BB27E7"/>
    <w:rsid w:val="00BB2909"/>
    <w:rsid w:val="00BB5DD5"/>
    <w:rsid w:val="00BC1E4F"/>
    <w:rsid w:val="00BC4C47"/>
    <w:rsid w:val="00BC50B9"/>
    <w:rsid w:val="00BC79CA"/>
    <w:rsid w:val="00BF7B67"/>
    <w:rsid w:val="00C002E1"/>
    <w:rsid w:val="00C03104"/>
    <w:rsid w:val="00C15A2A"/>
    <w:rsid w:val="00C208A8"/>
    <w:rsid w:val="00C23B76"/>
    <w:rsid w:val="00C26243"/>
    <w:rsid w:val="00C32BD3"/>
    <w:rsid w:val="00C52CFB"/>
    <w:rsid w:val="00C60133"/>
    <w:rsid w:val="00C938EB"/>
    <w:rsid w:val="00CA2C02"/>
    <w:rsid w:val="00CD6E41"/>
    <w:rsid w:val="00CD6F48"/>
    <w:rsid w:val="00CE5928"/>
    <w:rsid w:val="00CF0364"/>
    <w:rsid w:val="00CF3565"/>
    <w:rsid w:val="00D01C65"/>
    <w:rsid w:val="00D35AF7"/>
    <w:rsid w:val="00D369E2"/>
    <w:rsid w:val="00D4737A"/>
    <w:rsid w:val="00D50D3F"/>
    <w:rsid w:val="00D61739"/>
    <w:rsid w:val="00D62938"/>
    <w:rsid w:val="00D735E3"/>
    <w:rsid w:val="00D74D48"/>
    <w:rsid w:val="00D77EE8"/>
    <w:rsid w:val="00D85E5C"/>
    <w:rsid w:val="00D9360D"/>
    <w:rsid w:val="00DA75F9"/>
    <w:rsid w:val="00DC129E"/>
    <w:rsid w:val="00E02874"/>
    <w:rsid w:val="00E02922"/>
    <w:rsid w:val="00E02943"/>
    <w:rsid w:val="00E11AE7"/>
    <w:rsid w:val="00E24727"/>
    <w:rsid w:val="00E25DDD"/>
    <w:rsid w:val="00E32F27"/>
    <w:rsid w:val="00E37885"/>
    <w:rsid w:val="00E42CD5"/>
    <w:rsid w:val="00E5566D"/>
    <w:rsid w:val="00E56362"/>
    <w:rsid w:val="00E6446C"/>
    <w:rsid w:val="00E752B7"/>
    <w:rsid w:val="00E94FA8"/>
    <w:rsid w:val="00EA11C6"/>
    <w:rsid w:val="00EA2F2E"/>
    <w:rsid w:val="00EB1FC0"/>
    <w:rsid w:val="00EB2CB8"/>
    <w:rsid w:val="00EB5332"/>
    <w:rsid w:val="00EC1841"/>
    <w:rsid w:val="00EC3158"/>
    <w:rsid w:val="00EE74E4"/>
    <w:rsid w:val="00EF73EF"/>
    <w:rsid w:val="00F059DD"/>
    <w:rsid w:val="00F12042"/>
    <w:rsid w:val="00F134F2"/>
    <w:rsid w:val="00F21E32"/>
    <w:rsid w:val="00F42787"/>
    <w:rsid w:val="00F476A9"/>
    <w:rsid w:val="00F5353C"/>
    <w:rsid w:val="00F56271"/>
    <w:rsid w:val="00F65CDE"/>
    <w:rsid w:val="00F704E7"/>
    <w:rsid w:val="00F7455E"/>
    <w:rsid w:val="00F82677"/>
    <w:rsid w:val="00FA27D6"/>
    <w:rsid w:val="00FB6944"/>
    <w:rsid w:val="00FC4141"/>
    <w:rsid w:val="00FD10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lang w:val="sk-SK" w:eastAsia="sk-SK"/>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
    <w:basedOn w:val="Normlny"/>
    <w:link w:val="TextpoznmkypodiarouChar"/>
    <w:uiPriority w:val="99"/>
    <w:rsid w:val="00BB5DD5"/>
    <w:rPr>
      <w:sz w:val="20"/>
    </w:rPr>
  </w:style>
  <w:style w:type="character" w:customStyle="1" w:styleId="TextpoznmkypodiarouChar">
    <w:name w:val="Text poznámky pod čiarou Char"/>
    <w:aliases w:val="Text poznámky pod čiarou 007 Char"/>
    <w:link w:val="Textpoznmkypodiarou"/>
    <w:uiPriority w:val="99"/>
    <w:locked/>
    <w:rsid w:val="00BB5DD5"/>
    <w:rPr>
      <w:lang w:val="sk-SK" w:eastAsia="sk-SK" w:bidi="ar-SA"/>
    </w:rPr>
  </w:style>
  <w:style w:type="character" w:styleId="Odkaznapoznmkupodiarou">
    <w:name w:val="footnote reference"/>
    <w:uiPriority w:val="99"/>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rsid w:val="00BB5DD5"/>
    <w:pPr>
      <w:numPr>
        <w:ilvl w:val="1"/>
        <w:numId w:val="2"/>
      </w:numPr>
      <w:tabs>
        <w:tab w:val="num" w:pos="360"/>
      </w:tabs>
      <w:spacing w:before="120"/>
      <w:ind w:left="0" w:firstLine="0"/>
    </w:pPr>
    <w:rPr>
      <w:bCs w:val="0"/>
      <w:sz w:val="32"/>
      <w:szCs w:val="20"/>
      <w:lang w:eastAsia="sk-SK"/>
    </w:rPr>
  </w:style>
  <w:style w:type="paragraph" w:customStyle="1" w:styleId="Nadpis3">
    <w:name w:val="Nadpis3"/>
    <w:basedOn w:val="Nadpis2"/>
    <w:link w:val="Nadpis3Char"/>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eastAsia="sk-SK"/>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eastAsia="sk-SK"/>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table" w:styleId="Mriekatabuky">
    <w:name w:val="Table Grid"/>
    <w:basedOn w:val="Normlnatabuka"/>
    <w:rsid w:val="0030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ekzoznamu">
    <w:name w:val="List Paragraph"/>
    <w:basedOn w:val="Normlny"/>
    <w:uiPriority w:val="34"/>
    <w:qFormat/>
    <w:rsid w:val="00954B27"/>
    <w:pPr>
      <w:ind w:left="720"/>
      <w:contextualSpacing/>
    </w:pPr>
  </w:style>
  <w:style w:type="paragraph" w:styleId="Revzia">
    <w:name w:val="Revision"/>
    <w:hidden/>
    <w:uiPriority w:val="99"/>
    <w:semiHidden/>
    <w:rsid w:val="00954B27"/>
    <w:rPr>
      <w:sz w:val="24"/>
      <w:lang w:val="sk-SK" w:eastAsia="sk-SK"/>
    </w:rPr>
  </w:style>
  <w:style w:type="paragraph" w:styleId="Zkladntext2">
    <w:name w:val="Body Text 2"/>
    <w:basedOn w:val="Normlny"/>
    <w:link w:val="Zkladntext2Char"/>
    <w:rsid w:val="00A66A7C"/>
    <w:pPr>
      <w:spacing w:after="120" w:line="480" w:lineRule="auto"/>
    </w:pPr>
  </w:style>
  <w:style w:type="character" w:customStyle="1" w:styleId="Zkladntext2Char">
    <w:name w:val="Základný text 2 Char"/>
    <w:basedOn w:val="Predvolenpsmoodseku"/>
    <w:link w:val="Zkladntext2"/>
    <w:rsid w:val="00A66A7C"/>
    <w:rPr>
      <w:sz w:val="24"/>
      <w:lang w:val="sk-SK" w:eastAsia="sk-SK"/>
    </w:rPr>
  </w:style>
  <w:style w:type="character" w:customStyle="1" w:styleId="PtaChar">
    <w:name w:val="Päta Char"/>
    <w:basedOn w:val="Predvolenpsmoodseku"/>
    <w:link w:val="Pta"/>
    <w:uiPriority w:val="99"/>
    <w:rsid w:val="00D74D48"/>
    <w:rPr>
      <w:sz w:val="24"/>
      <w:lang w:val="sk-SK"/>
    </w:rPr>
  </w:style>
  <w:style w:type="paragraph" w:styleId="Bezriadkovania">
    <w:name w:val="No Spacing"/>
    <w:uiPriority w:val="1"/>
    <w:qFormat/>
    <w:rsid w:val="00142128"/>
    <w:rPr>
      <w:rFonts w:asciiTheme="minorHAnsi" w:eastAsiaTheme="minorHAnsi" w:hAnsiTheme="minorHAnsi" w:cstheme="minorBidi"/>
      <w:sz w:val="22"/>
      <w:szCs w:val="22"/>
      <w:lang w:val="sk-SK"/>
    </w:rPr>
  </w:style>
  <w:style w:type="paragraph" w:customStyle="1" w:styleId="Normlnysozarkami1">
    <w:name w:val="Normálny so zarážkami1"/>
    <w:basedOn w:val="Normlny"/>
    <w:rsid w:val="00142128"/>
    <w:pPr>
      <w:suppressAutoHyphens/>
      <w:ind w:left="708"/>
    </w:pPr>
    <w:rPr>
      <w:szCs w:val="24"/>
      <w:lang w:val="en-GB" w:eastAsia="ar-SA"/>
    </w:rPr>
  </w:style>
  <w:style w:type="paragraph" w:customStyle="1" w:styleId="Zkladntext21">
    <w:name w:val="Základný text 21"/>
    <w:basedOn w:val="Normlny"/>
    <w:uiPriority w:val="99"/>
    <w:rsid w:val="00CF0364"/>
    <w:pPr>
      <w:overflowPunct w:val="0"/>
      <w:autoSpaceDE w:val="0"/>
      <w:autoSpaceDN w:val="0"/>
      <w:adjustRightInd w:val="0"/>
      <w:jc w:val="both"/>
      <w:textAlignment w:val="baseline"/>
    </w:pPr>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lang w:val="sk-SK" w:eastAsia="sk-SK"/>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
    <w:basedOn w:val="Normlny"/>
    <w:link w:val="TextpoznmkypodiarouChar"/>
    <w:rsid w:val="00BB5DD5"/>
    <w:rPr>
      <w:sz w:val="20"/>
    </w:rPr>
  </w:style>
  <w:style w:type="character" w:customStyle="1" w:styleId="TextpoznmkypodiarouChar">
    <w:name w:val="Text poznámky pod čiarou Char"/>
    <w:aliases w:val="Text poznámky pod čiarou 007 Char"/>
    <w:link w:val="Textpoznmkypodiarou"/>
    <w:locked/>
    <w:rsid w:val="00BB5DD5"/>
    <w:rPr>
      <w:lang w:val="sk-SK" w:eastAsia="sk-SK" w:bidi="ar-SA"/>
    </w:rPr>
  </w:style>
  <w:style w:type="character" w:styleId="Odkaznapoznmkupodiarou">
    <w:name w:val="footnote reference"/>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rsid w:val="00BB5DD5"/>
    <w:pPr>
      <w:numPr>
        <w:ilvl w:val="1"/>
        <w:numId w:val="13"/>
      </w:numPr>
      <w:tabs>
        <w:tab w:val="num" w:pos="360"/>
      </w:tabs>
      <w:spacing w:before="120"/>
      <w:ind w:left="0" w:firstLine="0"/>
    </w:pPr>
    <w:rPr>
      <w:bCs w:val="0"/>
      <w:sz w:val="32"/>
      <w:szCs w:val="20"/>
      <w:lang w:eastAsia="sk-SK"/>
    </w:rPr>
  </w:style>
  <w:style w:type="paragraph" w:customStyle="1" w:styleId="Nadpis3">
    <w:name w:val="Nadpis3"/>
    <w:basedOn w:val="Nadpis2"/>
    <w:link w:val="Nadpis3Char"/>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eastAsia="sk-SK" w:bidi="ar-SA"/>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eastAsia="sk-SK" w:bidi="ar-SA"/>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table" w:styleId="Mriekatabuky">
    <w:name w:val="Table Grid"/>
    <w:basedOn w:val="Normlnatabuka"/>
    <w:rsid w:val="0030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ekzoznamu">
    <w:name w:val="List Paragraph"/>
    <w:basedOn w:val="Normlny"/>
    <w:uiPriority w:val="34"/>
    <w:qFormat/>
    <w:rsid w:val="00954B27"/>
    <w:pPr>
      <w:ind w:left="720"/>
      <w:contextualSpacing/>
    </w:pPr>
  </w:style>
  <w:style w:type="paragraph" w:styleId="Revzia">
    <w:name w:val="Revision"/>
    <w:hidden/>
    <w:uiPriority w:val="99"/>
    <w:semiHidden/>
    <w:rsid w:val="00954B27"/>
    <w:rPr>
      <w:sz w:val="24"/>
      <w:lang w:val="sk-SK" w:eastAsia="sk-SK"/>
    </w:rPr>
  </w:style>
  <w:style w:type="paragraph" w:styleId="Zkladntext2">
    <w:name w:val="Body Text 2"/>
    <w:basedOn w:val="Normlny"/>
    <w:link w:val="Zkladntext2Char"/>
    <w:rsid w:val="00A66A7C"/>
    <w:pPr>
      <w:spacing w:after="120" w:line="480" w:lineRule="auto"/>
    </w:pPr>
  </w:style>
  <w:style w:type="character" w:customStyle="1" w:styleId="Zkladntext2Char">
    <w:name w:val="Základný text 2 Char"/>
    <w:basedOn w:val="Predvolenpsmoodseku"/>
    <w:link w:val="Zkladntext2"/>
    <w:rsid w:val="00A66A7C"/>
    <w:rPr>
      <w:sz w:val="24"/>
      <w:lang w:val="sk-SK" w:eastAsia="sk-SK"/>
    </w:rPr>
  </w:style>
  <w:style w:type="character" w:customStyle="1" w:styleId="PtaChar">
    <w:name w:val="Päta Char"/>
    <w:basedOn w:val="Predvolenpsmoodseku"/>
    <w:link w:val="Pta"/>
    <w:rsid w:val="00D74D48"/>
    <w:rPr>
      <w:sz w:val="24"/>
      <w:lang w:val="sk-SK"/>
    </w:rPr>
  </w:style>
  <w:style w:type="paragraph" w:styleId="Bezriadkovania">
    <w:name w:val="No Spacing"/>
    <w:uiPriority w:val="1"/>
    <w:qFormat/>
    <w:rsid w:val="00142128"/>
    <w:rPr>
      <w:rFonts w:asciiTheme="minorHAnsi" w:eastAsiaTheme="minorHAnsi" w:hAnsiTheme="minorHAnsi" w:cstheme="minorBidi"/>
      <w:sz w:val="22"/>
      <w:szCs w:val="22"/>
      <w:lang w:val="sk-SK"/>
    </w:rPr>
  </w:style>
  <w:style w:type="paragraph" w:customStyle="1" w:styleId="Normlnysozarkami1">
    <w:name w:val="Normálny so zarážkami1"/>
    <w:basedOn w:val="Normlny"/>
    <w:rsid w:val="00142128"/>
    <w:pPr>
      <w:suppressAutoHyphens/>
      <w:ind w:left="708"/>
    </w:pPr>
    <w:rPr>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svar.s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upsva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B41B-621C-409A-B1AC-C59FEA8B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5671</Words>
  <Characters>36375</Characters>
  <Application>Microsoft Office Word</Application>
  <DocSecurity>0</DocSecurity>
  <Lines>303</Lines>
  <Paragraphs>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41963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mpsvr</dc:creator>
  <cp:lastModifiedBy>novakova</cp:lastModifiedBy>
  <cp:revision>6</cp:revision>
  <cp:lastPrinted>2013-07-26T08:23:00Z</cp:lastPrinted>
  <dcterms:created xsi:type="dcterms:W3CDTF">2014-06-25T09:21:00Z</dcterms:created>
  <dcterms:modified xsi:type="dcterms:W3CDTF">2014-06-25T10:50:00Z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