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1D73D9" w:rsidP="00473CF6">
      <w:pPr>
        <w:spacing w:after="120"/>
        <w:rPr>
          <w:rFonts w:ascii="Verdana" w:hAnsi="Verdana" w:cs="Bookman Old Style"/>
          <w:b/>
          <w:bCs/>
        </w:rPr>
      </w:pPr>
      <w:r>
        <w:rPr>
          <w:noProof/>
          <w:lang w:eastAsia="sk-SK"/>
        </w:rPr>
        <w:drawing>
          <wp:inline distT="0" distB="0" distL="0" distR="0" wp14:anchorId="3BAFDA4A" wp14:editId="64562E2F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Pr="000D6F97" w:rsidRDefault="00C90426" w:rsidP="00191130">
      <w:pPr>
        <w:rPr>
          <w:rFonts w:ascii="Verdana" w:hAnsi="Verdana"/>
          <w:b/>
          <w:sz w:val="10"/>
          <w:szCs w:val="10"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8E3D4A">
        <w:rPr>
          <w:rFonts w:ascii="Verdana" w:hAnsi="Verdana"/>
          <w:b/>
        </w:rPr>
        <w:t xml:space="preserve">  </w:t>
      </w:r>
      <w:r w:rsidR="001B480F">
        <w:rPr>
          <w:rFonts w:ascii="Verdana" w:hAnsi="Verdana"/>
          <w:b/>
        </w:rPr>
        <w:tab/>
      </w:r>
      <w:r w:rsidR="001B480F">
        <w:rPr>
          <w:rFonts w:ascii="Verdana" w:hAnsi="Verdana"/>
          <w:b/>
        </w:rPr>
        <w:tab/>
      </w:r>
    </w:p>
    <w:p w:rsidR="001D73D9" w:rsidRDefault="001D73D9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79475D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Úspešne na trhu práce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1D73D9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1D73D9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1D73D9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1D73D9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79475D" w:rsidP="0079475D">
            <w:pPr>
              <w:rPr>
                <w:rFonts w:ascii="Verdana" w:hAnsi="Verdana"/>
                <w:highlight w:val="yellow"/>
              </w:rPr>
            </w:pPr>
            <w:r w:rsidRPr="0079475D">
              <w:rPr>
                <w:sz w:val="22"/>
                <w:szCs w:val="22"/>
              </w:rPr>
              <w:t>OP ĽZ NP 2015/2.1.1/04</w:t>
            </w:r>
            <w:r w:rsidR="008941EC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 </w:t>
            </w:r>
            <w:r w:rsidR="008941EC">
              <w:rPr>
                <w:sz w:val="23"/>
                <w:szCs w:val="23"/>
              </w:rPr>
              <w:t xml:space="preserve">     </w:t>
            </w:r>
            <w:r w:rsidR="002C4080" w:rsidRPr="002C4080">
              <w:rPr>
                <w:sz w:val="23"/>
                <w:szCs w:val="23"/>
              </w:rPr>
              <w:t xml:space="preserve"> </w:t>
            </w:r>
            <w:r w:rsidR="00A94A6B" w:rsidRPr="002C4080">
              <w:rPr>
                <w:sz w:val="23"/>
                <w:szCs w:val="23"/>
              </w:rPr>
              <w:t xml:space="preserve">ITMS kód projektu: </w:t>
            </w:r>
            <w:r w:rsidR="002C4080" w:rsidRPr="002C4080">
              <w:rPr>
                <w:sz w:val="23"/>
                <w:szCs w:val="23"/>
              </w:rPr>
              <w:t xml:space="preserve"> </w:t>
            </w:r>
            <w:r>
              <w:rPr>
                <w:sz w:val="22"/>
                <w:szCs w:val="22"/>
                <w:lang w:eastAsia="sk-SK"/>
              </w:rPr>
              <w:t>312021A139</w:t>
            </w:r>
            <w:r w:rsidR="008941EC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523941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Pr="00CF0B0D">
              <w:rPr>
                <w:rFonts w:ascii="Verdana" w:hAnsi="Verdana"/>
                <w:b/>
                <w:i/>
              </w:rPr>
              <w:t>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Default="00473CF6" w:rsidP="00FD1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Iniciatíva na podporu zamestnanosti mladých ľudí </w:t>
            </w:r>
          </w:p>
          <w:p w:rsidR="00A94A6B" w:rsidRDefault="00473CF6" w:rsidP="00FD16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Trvalo udržateľná integrácia mladých ľudí, najmä tých, ktorí nie sú zamestnaní, ani nie sú v procese vzdelávania alebo odbornej prípravy, na trh práce, vrátane mladých ľudí ohrozených sociálnym vylúčením a mladých ľudí z </w:t>
            </w:r>
            <w:proofErr w:type="spellStart"/>
            <w:r>
              <w:rPr>
                <w:sz w:val="22"/>
                <w:szCs w:val="22"/>
              </w:rPr>
              <w:t>marginalizovaných</w:t>
            </w:r>
            <w:proofErr w:type="spellEnd"/>
            <w:r>
              <w:rPr>
                <w:sz w:val="22"/>
                <w:szCs w:val="22"/>
              </w:rPr>
              <w:t xml:space="preserve"> komunít, vrátane vykonávania systému záruk pre mladých ľudí </w:t>
            </w:r>
          </w:p>
          <w:p w:rsidR="00523941" w:rsidRPr="00473CF6" w:rsidRDefault="00523941" w:rsidP="00523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3941">
              <w:rPr>
                <w:sz w:val="22"/>
                <w:szCs w:val="22"/>
              </w:rPr>
              <w:t>2.1.1 Zavedením záruky pre mladých nezamestnaných ľudí</w:t>
            </w:r>
            <w:r>
              <w:rPr>
                <w:sz w:val="22"/>
                <w:szCs w:val="22"/>
              </w:rPr>
              <w:t xml:space="preserve"> </w:t>
            </w:r>
            <w:r w:rsidRPr="00523941">
              <w:rPr>
                <w:sz w:val="22"/>
                <w:szCs w:val="22"/>
              </w:rPr>
              <w:t>(</w:t>
            </w:r>
            <w:proofErr w:type="spellStart"/>
            <w:r w:rsidRPr="00523941">
              <w:rPr>
                <w:sz w:val="22"/>
                <w:szCs w:val="22"/>
              </w:rPr>
              <w:t>UoZ</w:t>
            </w:r>
            <w:proofErr w:type="spellEnd"/>
            <w:r w:rsidRPr="00523941">
              <w:rPr>
                <w:sz w:val="22"/>
                <w:szCs w:val="22"/>
              </w:rPr>
              <w:t>), ktorí patria k NEET, zvýšiť zamestnanosť,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3941">
              <w:rPr>
                <w:sz w:val="22"/>
                <w:szCs w:val="22"/>
              </w:rPr>
              <w:t>zamestnateľnosť</w:t>
            </w:r>
            <w:proofErr w:type="spellEnd"/>
            <w:r w:rsidRPr="00523941">
              <w:rPr>
                <w:sz w:val="22"/>
                <w:szCs w:val="22"/>
              </w:rPr>
              <w:t xml:space="preserve"> a účasť mladých ľudí na trhu práce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FD16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1CC1" w:rsidRDefault="00473CF6" w:rsidP="00FD160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CB74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79475D">
              <w:rPr>
                <w:color w:val="000000"/>
                <w:sz w:val="23"/>
                <w:szCs w:val="23"/>
                <w:lang w:eastAsia="sk-SK"/>
              </w:rPr>
              <w:t>10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9475D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79475D">
              <w:rPr>
                <w:color w:val="000000"/>
                <w:sz w:val="23"/>
                <w:szCs w:val="23"/>
                <w:lang w:eastAsia="sk-SK"/>
              </w:rPr>
              <w:t>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CB748A">
              <w:rPr>
                <w:color w:val="000000"/>
                <w:sz w:val="23"/>
                <w:szCs w:val="23"/>
                <w:lang w:eastAsia="sk-SK"/>
              </w:rPr>
              <w:t>22</w:t>
            </w:r>
            <w:bookmarkStart w:id="0" w:name="_GoBack"/>
            <w:bookmarkEnd w:id="0"/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1D73D9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473CF6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00 000,00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473CF6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Mgr. Katarína Dvořáková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995</w:t>
            </w:r>
          </w:p>
          <w:p w:rsidR="00CE0860" w:rsidRDefault="00CB748A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473CF6" w:rsidRPr="00926559">
                <w:rPr>
                  <w:rStyle w:val="Hypertextovprepojenie"/>
                  <w:sz w:val="23"/>
                  <w:szCs w:val="23"/>
                  <w:lang w:eastAsia="sk-SK"/>
                </w:rPr>
                <w:t>katarina.dvorakova@upsvr.gov.sk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175301" w:rsidRDefault="0079475D" w:rsidP="0017530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Hlavným cieľom projektu je zlepšenie postavenia mladých ľudí do 29 rokov na trhu práce, zvýšenie ich </w:t>
            </w:r>
            <w:proofErr w:type="spellStart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 a zamestnanosti.</w:t>
            </w:r>
          </w:p>
        </w:tc>
      </w:tr>
    </w:tbl>
    <w:p w:rsidR="00C15548" w:rsidRDefault="00C15548"/>
    <w:p w:rsidR="001D73D9" w:rsidRDefault="001D73D9"/>
    <w:p w:rsidR="00175301" w:rsidRDefault="00175301"/>
    <w:p w:rsidR="00175301" w:rsidRDefault="001753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8D379C">
        <w:trPr>
          <w:trHeight w:val="464"/>
        </w:trPr>
        <w:tc>
          <w:tcPr>
            <w:tcW w:w="9212" w:type="dxa"/>
            <w:shd w:val="clear" w:color="auto" w:fill="auto"/>
          </w:tcPr>
          <w:p w:rsidR="00BA4E31" w:rsidRPr="0079475D" w:rsidRDefault="00BA4E31" w:rsidP="00BA4E31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NEET do 25 rokov (25 rokov mínus 1 deň) vedený v evidencii </w:t>
            </w:r>
            <w:proofErr w:type="spellStart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 minimálne 3 mesiace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 alebo</w:t>
            </w:r>
          </w:p>
          <w:p w:rsidR="00BA4E31" w:rsidRPr="0079475D" w:rsidRDefault="00BA4E31" w:rsidP="00BA4E31">
            <w:pPr>
              <w:pStyle w:val="Default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NEET do 29 rokov (29 rokov mínus 1 deň) vedený v evidencii </w:t>
            </w:r>
            <w:proofErr w:type="spellStart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 minimálne 6 mesiacov, s dôrazom na dlhodobo nezamestnaných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(v zmysle Záruky pre mladých ľudí v Slovenskej republike).</w:t>
            </w:r>
          </w:p>
          <w:p w:rsidR="0079475D" w:rsidRPr="008D379C" w:rsidRDefault="0079475D" w:rsidP="0079475D">
            <w:pPr>
              <w:pStyle w:val="Odsekzoznamu"/>
              <w:ind w:left="0"/>
              <w:jc w:val="both"/>
              <w:rPr>
                <w:sz w:val="23"/>
                <w:szCs w:val="23"/>
              </w:rPr>
            </w:pPr>
            <w:r w:rsidRPr="0079475D">
              <w:rPr>
                <w:sz w:val="23"/>
                <w:szCs w:val="23"/>
              </w:rPr>
              <w:t>Cieľovou skupinou projektu nie sú neaktívni mladí ľudia, ale mladí vedení v evidencii úradov.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79475D" w:rsidRDefault="0079475D" w:rsidP="0079475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V rámci projektu sa v regiónoch prostredníctvom úradov implement</w:t>
            </w:r>
            <w:r w:rsidR="006C573E">
              <w:rPr>
                <w:rFonts w:ascii="Times New Roman" w:hAnsi="Times New Roman" w:cs="Times New Roman"/>
                <w:sz w:val="23"/>
                <w:szCs w:val="23"/>
              </w:rPr>
              <w:t>ujú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 vybrané AOTP podľa §§ 51a a 54 zákona 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službách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zamestnanosti v platnom znení.</w:t>
            </w:r>
          </w:p>
          <w:p w:rsidR="006C573E" w:rsidRPr="0079475D" w:rsidRDefault="006C573E" w:rsidP="0079475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475D" w:rsidRPr="0079475D" w:rsidRDefault="0079475D" w:rsidP="0079475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Cieľom aktivity č. 1 je poskytovanie finančného príspevku na podporu vytvárania a následného udržania pracovných miest pre mladých </w:t>
            </w:r>
            <w:proofErr w:type="spellStart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ktorí pred prijatím na vytvorené pracovné miesto nemali svoje prvé pravidelne platené zamestnanie, čo znamená, že nikdy nezískali pravidelne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platené zamestnanie, ktoré trvalo najmenej šesť po sebe nasledujúcich mesiacov.</w:t>
            </w:r>
          </w:p>
          <w:p w:rsidR="0079475D" w:rsidRDefault="0079475D" w:rsidP="0079475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Cieľom aktivity č. 2 je poskytovanie finančného príspevku na podporu zamestnávania mladých </w:t>
            </w:r>
            <w:proofErr w:type="spellStart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 z oprávnenej cieľovej skupiny, ktorí si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vytvoria pracovné miesto, na ktorom budú prevádzkovať samostatnú zárobkovú činnosť.</w:t>
            </w:r>
          </w:p>
          <w:p w:rsidR="006C573E" w:rsidRDefault="006C573E" w:rsidP="0079475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475D" w:rsidRPr="0079475D" w:rsidRDefault="0079475D" w:rsidP="0079475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Realizácia projektu zvyšuje zamestnanosť, </w:t>
            </w:r>
            <w:proofErr w:type="spellStart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 a účasť mladých ľudí na trhu práce, čím prispieva k napĺňaniu špecifického cieľa</w:t>
            </w:r>
            <w:r w:rsidR="006C573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2.1.1 OP ĽZ.</w:t>
            </w:r>
          </w:p>
          <w:p w:rsidR="009A5261" w:rsidRPr="0079475D" w:rsidRDefault="0079475D" w:rsidP="006C573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 xml:space="preserve">Projekt </w:t>
            </w:r>
            <w:r w:rsidR="006C573E">
              <w:rPr>
                <w:rFonts w:ascii="Times New Roman" w:hAnsi="Times New Roman" w:cs="Times New Roman"/>
                <w:sz w:val="23"/>
                <w:szCs w:val="23"/>
              </w:rPr>
              <w:t>j</w:t>
            </w:r>
            <w:r w:rsidRPr="0079475D">
              <w:rPr>
                <w:rFonts w:ascii="Times New Roman" w:hAnsi="Times New Roman" w:cs="Times New Roman"/>
                <w:sz w:val="23"/>
                <w:szCs w:val="23"/>
              </w:rPr>
              <w:t>e realizovaný v rámci územia Slovenskej republiky, mimo BSK.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C648C1" w:rsidRPr="006C573E" w:rsidRDefault="00C648C1" w:rsidP="00C648C1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eastAsia="sk-SK"/>
              </w:rPr>
            </w:pPr>
            <w:r w:rsidRPr="006C573E">
              <w:rPr>
                <w:b/>
                <w:sz w:val="23"/>
                <w:szCs w:val="23"/>
                <w:lang w:eastAsia="sk-SK"/>
              </w:rPr>
              <w:t xml:space="preserve">Hlavná aktivita č. 1 </w:t>
            </w:r>
          </w:p>
          <w:p w:rsidR="00D4284A" w:rsidRDefault="006C573E" w:rsidP="00C648C1">
            <w:pPr>
              <w:autoSpaceDE w:val="0"/>
              <w:autoSpaceDN w:val="0"/>
              <w:adjustRightInd w:val="0"/>
              <w:jc w:val="both"/>
              <w:rPr>
                <w:iCs/>
                <w:sz w:val="23"/>
                <w:szCs w:val="23"/>
                <w:lang w:eastAsia="sk-SK"/>
              </w:rPr>
            </w:pPr>
            <w:r w:rsidRPr="006C573E">
              <w:rPr>
                <w:iCs/>
                <w:sz w:val="23"/>
                <w:szCs w:val="23"/>
                <w:lang w:eastAsia="sk-SK"/>
              </w:rPr>
              <w:t>Poskytovanie finančného príspevku na podporu vytvorenia pracovného miesta v prvom pravidelne platenom zamestnaní</w:t>
            </w:r>
          </w:p>
          <w:p w:rsidR="006C573E" w:rsidRPr="006C573E" w:rsidRDefault="006C573E" w:rsidP="006C573E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3"/>
                <w:szCs w:val="23"/>
                <w:lang w:eastAsia="sk-SK"/>
              </w:rPr>
            </w:pPr>
            <w:r w:rsidRPr="006C573E">
              <w:rPr>
                <w:sz w:val="23"/>
                <w:szCs w:val="23"/>
                <w:lang w:eastAsia="sk-SK"/>
              </w:rPr>
              <w:t>v zmysle § 51a zákona o službách zamestnanosti v platnom znení</w:t>
            </w:r>
            <w:r>
              <w:rPr>
                <w:sz w:val="23"/>
                <w:szCs w:val="23"/>
                <w:lang w:eastAsia="sk-SK"/>
              </w:rPr>
              <w:t>.</w:t>
            </w:r>
          </w:p>
          <w:p w:rsidR="00D4284A" w:rsidRPr="006C573E" w:rsidRDefault="00C648C1" w:rsidP="00C648C1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eastAsia="sk-SK"/>
              </w:rPr>
            </w:pPr>
            <w:r w:rsidRPr="006C573E">
              <w:rPr>
                <w:b/>
                <w:sz w:val="23"/>
                <w:szCs w:val="23"/>
                <w:lang w:eastAsia="sk-SK"/>
              </w:rPr>
              <w:t xml:space="preserve">Hlavná aktivita č. 2 </w:t>
            </w:r>
          </w:p>
          <w:p w:rsidR="00C648C1" w:rsidRDefault="006C573E" w:rsidP="001546BC">
            <w:pPr>
              <w:autoSpaceDE w:val="0"/>
              <w:autoSpaceDN w:val="0"/>
              <w:adjustRightInd w:val="0"/>
              <w:jc w:val="both"/>
              <w:rPr>
                <w:iCs/>
                <w:sz w:val="23"/>
                <w:szCs w:val="23"/>
                <w:lang w:eastAsia="sk-SK"/>
              </w:rPr>
            </w:pPr>
            <w:r w:rsidRPr="006C573E">
              <w:rPr>
                <w:iCs/>
                <w:sz w:val="23"/>
                <w:szCs w:val="23"/>
                <w:lang w:eastAsia="sk-SK"/>
              </w:rPr>
              <w:t xml:space="preserve">Poskytovanie finančného príspevku na podporu vytvorenia pracovného miesta prostredníctvom </w:t>
            </w:r>
            <w:proofErr w:type="spellStart"/>
            <w:r w:rsidRPr="006C573E">
              <w:rPr>
                <w:iCs/>
                <w:sz w:val="23"/>
                <w:szCs w:val="23"/>
                <w:lang w:eastAsia="sk-SK"/>
              </w:rPr>
              <w:t>samozamestnania</w:t>
            </w:r>
            <w:proofErr w:type="spellEnd"/>
          </w:p>
          <w:p w:rsidR="006C573E" w:rsidRDefault="006C573E" w:rsidP="006C573E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3"/>
                <w:szCs w:val="23"/>
                <w:lang w:eastAsia="sk-SK"/>
              </w:rPr>
            </w:pPr>
            <w:r w:rsidRPr="006C573E">
              <w:rPr>
                <w:sz w:val="23"/>
                <w:szCs w:val="23"/>
                <w:lang w:eastAsia="sk-SK"/>
              </w:rPr>
              <w:t>v zmysle § 54 ods. 1 písm. a) zákona o službách zamestnanosti v platnom znení.</w:t>
            </w:r>
          </w:p>
          <w:p w:rsidR="006C573E" w:rsidRPr="006C573E" w:rsidRDefault="006C573E" w:rsidP="006C573E">
            <w:pPr>
              <w:pStyle w:val="Odsekzoznamu"/>
              <w:autoSpaceDE w:val="0"/>
              <w:autoSpaceDN w:val="0"/>
              <w:adjustRightInd w:val="0"/>
              <w:ind w:left="284"/>
              <w:jc w:val="both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41EC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Informovanosť a publicita</w:t>
            </w:r>
            <w:r w:rsidR="00896E30" w:rsidRPr="00203B45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8941EC" w:rsidP="008941E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Informovanosť a publicita</w:t>
            </w:r>
            <w:r w:rsidR="009A5261" w:rsidRPr="005E1C19">
              <w:rPr>
                <w:sz w:val="23"/>
                <w:szCs w:val="23"/>
              </w:rPr>
              <w:t xml:space="preserve">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="009A5261"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="009A5261"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="009A5261"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="009A5261"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="009A5261"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="009A5261" w:rsidRPr="005E1C19">
              <w:rPr>
                <w:sz w:val="23"/>
                <w:szCs w:val="23"/>
              </w:rPr>
              <w:t>.</w:t>
            </w:r>
          </w:p>
        </w:tc>
      </w:tr>
    </w:tbl>
    <w:p w:rsidR="002F224F" w:rsidRDefault="002F224F" w:rsidP="006A0B03">
      <w:pPr>
        <w:jc w:val="center"/>
        <w:rPr>
          <w:b/>
          <w:bCs/>
          <w:sz w:val="23"/>
          <w:szCs w:val="23"/>
        </w:rPr>
      </w:pPr>
    </w:p>
    <w:p w:rsidR="006C573E" w:rsidRDefault="006C573E" w:rsidP="006A0B03">
      <w:pPr>
        <w:jc w:val="center"/>
        <w:rPr>
          <w:b/>
          <w:bCs/>
          <w:sz w:val="23"/>
          <w:szCs w:val="23"/>
        </w:rPr>
      </w:pPr>
    </w:p>
    <w:p w:rsidR="00FD160E" w:rsidRDefault="00FD160E" w:rsidP="006A0B03">
      <w:pPr>
        <w:jc w:val="center"/>
        <w:rPr>
          <w:b/>
          <w:bCs/>
          <w:sz w:val="23"/>
          <w:szCs w:val="23"/>
        </w:rPr>
      </w:pPr>
    </w:p>
    <w:p w:rsidR="00FD160E" w:rsidRDefault="00FD160E" w:rsidP="006A0B03">
      <w:pPr>
        <w:jc w:val="center"/>
        <w:rPr>
          <w:b/>
          <w:bCs/>
          <w:sz w:val="23"/>
          <w:szCs w:val="23"/>
        </w:rPr>
      </w:pPr>
    </w:p>
    <w:p w:rsidR="00FD160E" w:rsidRDefault="00FD160E" w:rsidP="006A0B03">
      <w:pPr>
        <w:jc w:val="center"/>
        <w:rPr>
          <w:b/>
          <w:bCs/>
          <w:sz w:val="23"/>
          <w:szCs w:val="23"/>
        </w:rPr>
      </w:pPr>
    </w:p>
    <w:p w:rsidR="00FD160E" w:rsidRDefault="00FD160E" w:rsidP="006A0B03">
      <w:pPr>
        <w:jc w:val="center"/>
        <w:rPr>
          <w:b/>
          <w:bCs/>
          <w:sz w:val="23"/>
          <w:szCs w:val="23"/>
        </w:rPr>
      </w:pPr>
    </w:p>
    <w:sectPr w:rsidR="00FD160E" w:rsidSect="00C155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110C"/>
    <w:multiLevelType w:val="hybridMultilevel"/>
    <w:tmpl w:val="F204112A"/>
    <w:lvl w:ilvl="0" w:tplc="D10E7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6F4F"/>
    <w:multiLevelType w:val="hybridMultilevel"/>
    <w:tmpl w:val="D84200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F15C1"/>
    <w:multiLevelType w:val="hybridMultilevel"/>
    <w:tmpl w:val="1DE8B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8"/>
  </w:num>
  <w:num w:numId="5">
    <w:abstractNumId w:val="26"/>
  </w:num>
  <w:num w:numId="6">
    <w:abstractNumId w:val="23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27"/>
  </w:num>
  <w:num w:numId="12">
    <w:abstractNumId w:val="24"/>
  </w:num>
  <w:num w:numId="13">
    <w:abstractNumId w:val="4"/>
  </w:num>
  <w:num w:numId="14">
    <w:abstractNumId w:val="25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5"/>
  </w:num>
  <w:num w:numId="24">
    <w:abstractNumId w:val="13"/>
  </w:num>
  <w:num w:numId="25">
    <w:abstractNumId w:val="9"/>
  </w:num>
  <w:num w:numId="26">
    <w:abstractNumId w:val="1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D6F97"/>
    <w:rsid w:val="000E3D55"/>
    <w:rsid w:val="000E3EEF"/>
    <w:rsid w:val="00131914"/>
    <w:rsid w:val="001546BC"/>
    <w:rsid w:val="0015725F"/>
    <w:rsid w:val="001730D2"/>
    <w:rsid w:val="00175301"/>
    <w:rsid w:val="00191130"/>
    <w:rsid w:val="00195CE6"/>
    <w:rsid w:val="001979DB"/>
    <w:rsid w:val="001B480F"/>
    <w:rsid w:val="001C3157"/>
    <w:rsid w:val="001D73D9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65F68"/>
    <w:rsid w:val="00276722"/>
    <w:rsid w:val="0028589E"/>
    <w:rsid w:val="002C4080"/>
    <w:rsid w:val="002E4A14"/>
    <w:rsid w:val="002F224F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C6CD9"/>
    <w:rsid w:val="004D3CED"/>
    <w:rsid w:val="004E306F"/>
    <w:rsid w:val="00515D42"/>
    <w:rsid w:val="00523941"/>
    <w:rsid w:val="00562675"/>
    <w:rsid w:val="00575A73"/>
    <w:rsid w:val="00583F49"/>
    <w:rsid w:val="005951FB"/>
    <w:rsid w:val="005B2BEA"/>
    <w:rsid w:val="005C61EF"/>
    <w:rsid w:val="005E1C19"/>
    <w:rsid w:val="005E1CC1"/>
    <w:rsid w:val="005E29A7"/>
    <w:rsid w:val="006255C8"/>
    <w:rsid w:val="00637A8E"/>
    <w:rsid w:val="00667808"/>
    <w:rsid w:val="00670DE5"/>
    <w:rsid w:val="006A0B03"/>
    <w:rsid w:val="006B763A"/>
    <w:rsid w:val="006C573E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9475D"/>
    <w:rsid w:val="007A76D8"/>
    <w:rsid w:val="007D1317"/>
    <w:rsid w:val="007F030D"/>
    <w:rsid w:val="008079BA"/>
    <w:rsid w:val="008157E8"/>
    <w:rsid w:val="00824623"/>
    <w:rsid w:val="008247D2"/>
    <w:rsid w:val="00843555"/>
    <w:rsid w:val="008941EC"/>
    <w:rsid w:val="0089479E"/>
    <w:rsid w:val="00894EE3"/>
    <w:rsid w:val="00896E30"/>
    <w:rsid w:val="008D379C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74E05"/>
    <w:rsid w:val="00B82821"/>
    <w:rsid w:val="00BA4E31"/>
    <w:rsid w:val="00BA7D29"/>
    <w:rsid w:val="00BD15A8"/>
    <w:rsid w:val="00BD4A8B"/>
    <w:rsid w:val="00C0714F"/>
    <w:rsid w:val="00C15548"/>
    <w:rsid w:val="00C231C7"/>
    <w:rsid w:val="00C414A1"/>
    <w:rsid w:val="00C45C76"/>
    <w:rsid w:val="00C52793"/>
    <w:rsid w:val="00C648C1"/>
    <w:rsid w:val="00C8594A"/>
    <w:rsid w:val="00C90426"/>
    <w:rsid w:val="00C93B00"/>
    <w:rsid w:val="00C93D91"/>
    <w:rsid w:val="00CB748A"/>
    <w:rsid w:val="00CE0860"/>
    <w:rsid w:val="00CE4342"/>
    <w:rsid w:val="00CF0B0D"/>
    <w:rsid w:val="00CF2324"/>
    <w:rsid w:val="00CF7723"/>
    <w:rsid w:val="00D04CF3"/>
    <w:rsid w:val="00D060BB"/>
    <w:rsid w:val="00D31B38"/>
    <w:rsid w:val="00D32E30"/>
    <w:rsid w:val="00D4284A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75D57"/>
    <w:rsid w:val="00E95434"/>
    <w:rsid w:val="00EB2FC2"/>
    <w:rsid w:val="00EC4D7A"/>
    <w:rsid w:val="00ED4592"/>
    <w:rsid w:val="00EF7E3E"/>
    <w:rsid w:val="00F53A6B"/>
    <w:rsid w:val="00F55EEA"/>
    <w:rsid w:val="00F57F9C"/>
    <w:rsid w:val="00F60943"/>
    <w:rsid w:val="00F74728"/>
    <w:rsid w:val="00FA4D6D"/>
    <w:rsid w:val="00FD160E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tarina.dvorak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8742-5175-4C22-A71E-C2B88C08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542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4101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Dvořáková Katarína</cp:lastModifiedBy>
  <cp:revision>34</cp:revision>
  <dcterms:created xsi:type="dcterms:W3CDTF">2014-06-23T06:27:00Z</dcterms:created>
  <dcterms:modified xsi:type="dcterms:W3CDTF">2018-04-27T06:43:00Z</dcterms:modified>
</cp:coreProperties>
</file>