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48DA" w14:textId="77777777" w:rsidR="00A77D41" w:rsidRPr="00F32E27" w:rsidRDefault="00A77D41" w:rsidP="00A77D41">
      <w:pPr>
        <w:spacing w:before="100" w:beforeAutospacing="1" w:after="100" w:afterAutospacing="1" w:line="240" w:lineRule="auto"/>
        <w:outlineLvl w:val="0"/>
        <w:rPr>
          <w:rFonts w:ascii="Arial" w:eastAsia="Times New Roman" w:hAnsi="Arial" w:cs="Arial"/>
          <w:b/>
          <w:bCs/>
          <w:color w:val="275C82"/>
          <w:kern w:val="36"/>
          <w:sz w:val="36"/>
          <w:szCs w:val="36"/>
        </w:rPr>
      </w:pPr>
      <w:r w:rsidRPr="00F32E27">
        <w:rPr>
          <w:rFonts w:ascii="Arial" w:hAnsi="Arial"/>
          <w:b/>
          <w:color w:val="275C82"/>
          <w:sz w:val="36"/>
        </w:rPr>
        <w:t>Bureaux désignés – Coordination des prestations familiales dans l’UE à partir du 1</w:t>
      </w:r>
      <w:r w:rsidRPr="00F32E27">
        <w:rPr>
          <w:rFonts w:ascii="Arial" w:hAnsi="Arial"/>
          <w:b/>
          <w:color w:val="275C82"/>
          <w:sz w:val="36"/>
          <w:vertAlign w:val="superscript"/>
        </w:rPr>
        <w:t>er</w:t>
      </w:r>
      <w:r w:rsidRPr="00F32E27">
        <w:rPr>
          <w:rFonts w:ascii="Arial" w:hAnsi="Arial"/>
          <w:b/>
          <w:color w:val="275C82"/>
          <w:sz w:val="36"/>
        </w:rPr>
        <w:t xml:space="preserve"> janvier 2025</w:t>
      </w:r>
    </w:p>
    <w:p w14:paraId="18C1B1D5"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color w:val="000000"/>
          <w:sz w:val="21"/>
        </w:rPr>
        <w:t>Chers usagers des bureaux du travail, des affaires sociales et de la famille,</w:t>
      </w:r>
    </w:p>
    <w:p w14:paraId="59CFFBAA"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color w:val="000000"/>
          <w:sz w:val="21"/>
        </w:rPr>
        <w:t>Si vous exercez une activité professionnelle ou résidez dans un État membre de l’UE, nous vous informons qu’</w:t>
      </w:r>
      <w:r w:rsidRPr="00F32E27">
        <w:rPr>
          <w:rFonts w:ascii="Arial" w:hAnsi="Arial"/>
          <w:b/>
          <w:color w:val="000000"/>
          <w:sz w:val="21"/>
        </w:rPr>
        <w:t>à compter du 1</w:t>
      </w:r>
      <w:r w:rsidRPr="00F32E27">
        <w:rPr>
          <w:rFonts w:ascii="Arial" w:hAnsi="Arial"/>
          <w:b/>
          <w:color w:val="000000"/>
          <w:sz w:val="21"/>
          <w:vertAlign w:val="superscript"/>
        </w:rPr>
        <w:t>er</w:t>
      </w:r>
      <w:r w:rsidRPr="00F32E27">
        <w:rPr>
          <w:rFonts w:ascii="Arial" w:hAnsi="Arial"/>
          <w:b/>
          <w:color w:val="000000"/>
          <w:sz w:val="21"/>
        </w:rPr>
        <w:t> janvier 2025</w:t>
      </w:r>
      <w:r w:rsidRPr="00F32E27">
        <w:rPr>
          <w:rFonts w:ascii="Arial" w:hAnsi="Arial"/>
          <w:color w:val="000000"/>
          <w:sz w:val="21"/>
        </w:rPr>
        <w:t>, la compétence pour l’octroi des prestations suivantes: allocation familiale, supplément à l’allocation familiale, allocation parentale, allocations de prise en charge substitutive, allocations pour frais funéraires, sera transférée aux bureaux du travail, des affaires sociales et de la famille désignés, territorialement et matériellement compétents conformément à la loi nº 453/2003 relative aux organes de l’administration publique.</w:t>
      </w:r>
    </w:p>
    <w:p w14:paraId="1AF686F2"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color w:val="000000"/>
          <w:sz w:val="21"/>
        </w:rPr>
        <w:t>Division territoriale par districts:</w:t>
      </w:r>
    </w:p>
    <w:tbl>
      <w:tblPr>
        <w:tblW w:w="0" w:type="dxa"/>
        <w:tblBorders>
          <w:top w:val="single" w:sz="6" w:space="0" w:color="D6D6D6"/>
          <w:left w:val="single" w:sz="6" w:space="0" w:color="D6D6D6"/>
          <w:bottom w:val="single" w:sz="6" w:space="0" w:color="D6D6D6"/>
          <w:right w:val="single" w:sz="6" w:space="0" w:color="D6D6D6"/>
        </w:tblBorders>
        <w:tblCellMar>
          <w:top w:w="15" w:type="dxa"/>
          <w:left w:w="15" w:type="dxa"/>
          <w:bottom w:w="15" w:type="dxa"/>
          <w:right w:w="15" w:type="dxa"/>
        </w:tblCellMar>
        <w:tblLook w:val="04A0" w:firstRow="1" w:lastRow="0" w:firstColumn="1" w:lastColumn="0" w:noHBand="0" w:noVBand="1"/>
      </w:tblPr>
      <w:tblGrid>
        <w:gridCol w:w="705"/>
        <w:gridCol w:w="2614"/>
        <w:gridCol w:w="2931"/>
        <w:gridCol w:w="2806"/>
      </w:tblGrid>
      <w:tr w:rsidR="00A77D41" w:rsidRPr="00F32E27" w14:paraId="7B969829"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7EA3B1C0" w14:textId="77777777" w:rsidR="00A77D41" w:rsidRPr="00F32E27" w:rsidRDefault="00A77D41" w:rsidP="00FD2B9E">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Nº</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68E709A9" w14:textId="77777777" w:rsidR="00A77D41" w:rsidRPr="00F32E27" w:rsidRDefault="00A77D41" w:rsidP="00FD2B9E">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Siège du bureau désigné</w:t>
            </w:r>
            <w:r w:rsidRPr="00F32E27">
              <w:rPr>
                <w:rFonts w:ascii="Arial" w:hAnsi="Arial"/>
                <w:b/>
                <w:color w:val="000000"/>
                <w:sz w:val="21"/>
              </w:rPr>
              <w:br/>
              <w:t>Adresse de correspondance</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4A3427E1" w14:textId="55D185DE" w:rsidR="00A77D41" w:rsidRPr="00F32E27" w:rsidRDefault="00A77D41" w:rsidP="0080715D">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Compétence territoriale du bureau désigné – par districts</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437F095A" w14:textId="228398AB" w:rsidR="00A77D41" w:rsidRPr="00F32E27" w:rsidRDefault="00A77D41" w:rsidP="0080715D">
            <w:pPr>
              <w:spacing w:after="0" w:line="360" w:lineRule="auto"/>
              <w:ind w:left="419" w:hanging="419"/>
              <w:contextualSpacing/>
              <w:rPr>
                <w:rFonts w:ascii="Arial" w:eastAsia="Times New Roman" w:hAnsi="Arial" w:cs="Arial"/>
                <w:color w:val="000000"/>
                <w:sz w:val="21"/>
                <w:szCs w:val="21"/>
              </w:rPr>
            </w:pPr>
            <w:r w:rsidRPr="00F32E27">
              <w:rPr>
                <w:rFonts w:ascii="Arial" w:hAnsi="Arial"/>
                <w:b/>
                <w:color w:val="000000"/>
                <w:sz w:val="21"/>
              </w:rPr>
              <w:t>Sites des bureaux désignés pour les contacts personnels</w:t>
            </w:r>
          </w:p>
        </w:tc>
      </w:tr>
      <w:tr w:rsidR="00A77D41" w:rsidRPr="00F32E27" w14:paraId="5104416A"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5B584E42"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1.</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65BF336F"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Bratislava</w:t>
            </w:r>
          </w:p>
          <w:p w14:paraId="73251405"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Vazovova 7/A, 816 16 Bratislava</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707DF6D4"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District BA I – V</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2B731C53" w14:textId="004B4143"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BA I-III: Vazovova 7/A</w:t>
            </w:r>
          </w:p>
          <w:p w14:paraId="7A1278FC" w14:textId="1A2E8458"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BA IV: Karloveská 6/C</w:t>
            </w:r>
          </w:p>
          <w:p w14:paraId="4C6951D4" w14:textId="77777777" w:rsidR="0080715D"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BA V: Kutlíková 17</w:t>
            </w:r>
          </w:p>
          <w:p w14:paraId="08F24315" w14:textId="73C44A75"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(Technopol)</w:t>
            </w:r>
          </w:p>
        </w:tc>
      </w:tr>
      <w:tr w:rsidR="00A77D41" w:rsidRPr="00F32E27" w14:paraId="6911CE0F"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2B4E4F9C"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2.</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7650CDD0"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Pezinok</w:t>
            </w:r>
          </w:p>
          <w:p w14:paraId="14F4A2F8"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Moyzesova 2, 902 01 Pezinok</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081CC80F"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Pezinok, Senec, Malacky</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53339142" w14:textId="3B4333C5"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Moyzesova 2, Pezinok</w:t>
            </w:r>
          </w:p>
          <w:p w14:paraId="7C587873" w14:textId="0D14A682"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Krátka 1, Senec</w:t>
            </w:r>
          </w:p>
        </w:tc>
      </w:tr>
      <w:tr w:rsidR="00A77D41" w:rsidRPr="00F32E27" w14:paraId="28796026"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6B1B0012"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3.</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05DE9E97"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Nové Zámky</w:t>
            </w:r>
          </w:p>
          <w:p w14:paraId="4876B7A2"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F. Kapisztóryho 1,</w:t>
            </w:r>
          </w:p>
          <w:p w14:paraId="0D6FA536"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940 01 Nové Zámky</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0F21B68D"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Nové Zámky, Šaľa, Komárno, Levice, Nitra, Zlaté Moravce</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0CBC57D0" w14:textId="5538BE59"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F. Kapisztóryho 1, N. Zámky</w:t>
            </w:r>
          </w:p>
          <w:p w14:paraId="30817911" w14:textId="5A83A9A4"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P. Pázmáňa 52/51, Šaľa</w:t>
            </w:r>
          </w:p>
          <w:p w14:paraId="720E44FC" w14:textId="0052C400"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Sv. Štefana 79, Štúrovo</w:t>
            </w:r>
          </w:p>
        </w:tc>
      </w:tr>
      <w:tr w:rsidR="00A77D41" w:rsidRPr="00F32E27" w14:paraId="15334958"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536A5B29"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4.</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32380711"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Trnava</w:t>
            </w:r>
          </w:p>
          <w:p w14:paraId="2A73E27B"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J. Bottu 4, 917 01 Trnava</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3AC45137"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Trnava, Piešťany, Hlohovec, Galanta, Dunajská Streda, Senica, Skalica</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186C7E3B" w14:textId="255B6596"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J. Bottu 4, Trnava</w:t>
            </w:r>
          </w:p>
        </w:tc>
      </w:tr>
      <w:tr w:rsidR="00A77D41" w:rsidRPr="00F32E27" w14:paraId="15706F67"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6B917960"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5.</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46EA51DC"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Prievidza</w:t>
            </w:r>
          </w:p>
          <w:p w14:paraId="265333AC"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Šumperská 1, 971 01 Prievidza</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60F223A6"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Prievidza, Partizánske, Bánovce nad Bebravou, Nové Mesto nad Váhom, Myjava, Topoľčany</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444E9329" w14:textId="66D1F75B"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Šumperská 1, Prievidza</w:t>
            </w:r>
          </w:p>
        </w:tc>
      </w:tr>
      <w:tr w:rsidR="00A77D41" w:rsidRPr="00F32E27" w14:paraId="1873ACE9"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156E7E4A"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6.</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4AEF9561"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Žilina</w:t>
            </w:r>
          </w:p>
          <w:p w14:paraId="6442826D"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lastRenderedPageBreak/>
              <w:t>Hurbanova 16, 010 01 Žilina</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669287C8"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lastRenderedPageBreak/>
              <w:t xml:space="preserve">Žilina, Bytča, Kysucké Nové Mesto, Trenčín, Ilava, </w:t>
            </w:r>
            <w:r w:rsidRPr="00F32E27">
              <w:rPr>
                <w:rFonts w:ascii="Arial" w:hAnsi="Arial"/>
                <w:b/>
                <w:color w:val="000000"/>
                <w:sz w:val="21"/>
              </w:rPr>
              <w:lastRenderedPageBreak/>
              <w:t>Čadca, Považská Bystrica, Púchov, Martin, Turčianske Teplice</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4CC48DC6" w14:textId="77777777" w:rsidR="0080715D"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lastRenderedPageBreak/>
              <w:t>Hurbanova 16, Žilina</w:t>
            </w:r>
          </w:p>
          <w:p w14:paraId="46968B88" w14:textId="4B63BFDE"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lastRenderedPageBreak/>
              <w:t>Matričné nám. 1617, Čadca</w:t>
            </w:r>
          </w:p>
        </w:tc>
      </w:tr>
      <w:tr w:rsidR="00A77D41" w:rsidRPr="00F32E27" w14:paraId="2E2306A1"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28BD2B95"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lastRenderedPageBreak/>
              <w:t>7.</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7C3DAACC"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Námestovo</w:t>
            </w:r>
          </w:p>
          <w:p w14:paraId="64CE52BC" w14:textId="77777777" w:rsidR="00A77D41" w:rsidRPr="00F32E27" w:rsidRDefault="00A77D41" w:rsidP="0080715D">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Nám. A. Bernoláka 381/4,</w:t>
            </w:r>
          </w:p>
          <w:p w14:paraId="5A48F599"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029 01 Námestovo</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3C02DFB9"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Námestovo, Tvrdošín, Dolný Kubín, Ružomberok, Liptovský Mikuláš</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1E1A49AB" w14:textId="238F270D" w:rsidR="00A77D41" w:rsidRPr="00F32E27" w:rsidRDefault="00A77D41" w:rsidP="0080715D">
            <w:pPr>
              <w:pStyle w:val="ListParagraph"/>
              <w:numPr>
                <w:ilvl w:val="0"/>
                <w:numId w:val="2"/>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Nám. A. Bernoláka, Námestovo</w:t>
            </w:r>
          </w:p>
          <w:p w14:paraId="7188F4C4" w14:textId="0C7D426D" w:rsidR="00A77D41" w:rsidRPr="00F32E27" w:rsidRDefault="00A77D41" w:rsidP="0080715D">
            <w:pPr>
              <w:pStyle w:val="ListParagraph"/>
              <w:numPr>
                <w:ilvl w:val="0"/>
                <w:numId w:val="5"/>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Medvedzie 132, Tvrdošín</w:t>
            </w:r>
          </w:p>
        </w:tc>
      </w:tr>
      <w:tr w:rsidR="00A77D41" w:rsidRPr="00F32E27" w14:paraId="7DE20717"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10C2190C"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8.</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01478A93"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Zvolen</w:t>
            </w:r>
          </w:p>
          <w:p w14:paraId="309BD922"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J. Jiskru 6, 960 09 Zvolen</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65E5BBE0"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Zvolen, Detva, Krupina, Banská Štiavnica, Žarnovica, Žiar nad Hronom, Banská Bystrica, Lučenec, Poltár, Brezno, Veľký Krtíš, Rimavská Sobota</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39657381" w14:textId="02AF9DF0" w:rsidR="00A77D41" w:rsidRPr="00F32E27" w:rsidRDefault="00A77D41" w:rsidP="0080715D">
            <w:pPr>
              <w:pStyle w:val="ListParagraph"/>
              <w:numPr>
                <w:ilvl w:val="0"/>
                <w:numId w:val="5"/>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J. Jiskru 6, Zvolen</w:t>
            </w:r>
            <w:r w:rsidRPr="00F32E27">
              <w:rPr>
                <w:rFonts w:ascii="Arial" w:hAnsi="Arial"/>
                <w:color w:val="000000"/>
                <w:sz w:val="21"/>
              </w:rPr>
              <w:t xml:space="preserve"> (districts de Lučenec, Poltár, Rimavská Sobota)</w:t>
            </w:r>
          </w:p>
          <w:p w14:paraId="040CE60C" w14:textId="0195EEEB" w:rsidR="00A77D41" w:rsidRPr="00F32E27" w:rsidRDefault="00A77D41" w:rsidP="0080715D">
            <w:pPr>
              <w:pStyle w:val="ListParagraph"/>
              <w:numPr>
                <w:ilvl w:val="0"/>
                <w:numId w:val="5"/>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Štúrova 35, Detva</w:t>
            </w:r>
          </w:p>
        </w:tc>
      </w:tr>
      <w:tr w:rsidR="00A77D41" w:rsidRPr="00F32E27" w14:paraId="1506B43F"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6336E80D"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9.</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4C712DBD"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Prešov</w:t>
            </w:r>
          </w:p>
          <w:p w14:paraId="2CF47E88"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Slovenská 87, 080 28 Prešov</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3AA6FD33"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Prešov, Sabinov, Bardejov, Svidník, Stropkov, Medzilaborce</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334C668B" w14:textId="7DD15A47" w:rsidR="00A77D41" w:rsidRPr="00F32E27" w:rsidRDefault="00A77D41" w:rsidP="0080715D">
            <w:pPr>
              <w:pStyle w:val="ListParagraph"/>
              <w:numPr>
                <w:ilvl w:val="0"/>
                <w:numId w:val="5"/>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Slovenská 87, Prešov</w:t>
            </w:r>
          </w:p>
        </w:tc>
      </w:tr>
      <w:tr w:rsidR="00A77D41" w:rsidRPr="00F32E27" w14:paraId="6E04F681"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3D3D8EE2"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10.</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7D9F3E34"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Kežmarok</w:t>
            </w:r>
          </w:p>
          <w:p w14:paraId="61224361"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Dr. Alexandra 61, 060 01 Kežmarok</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7A7FCF0E"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Kežmarok, Poprad, Levoča, Stará Ľubovňa, Spišská Nová Ves, Gelnica, Rožňava, Revúca</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266E3C1D" w14:textId="39C298C9" w:rsidR="00A77D41" w:rsidRPr="00F32E27" w:rsidRDefault="00A77D41" w:rsidP="0080715D">
            <w:pPr>
              <w:pStyle w:val="ListParagraph"/>
              <w:numPr>
                <w:ilvl w:val="0"/>
                <w:numId w:val="5"/>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Dr. Alexandra 61, Kežmarok</w:t>
            </w:r>
          </w:p>
        </w:tc>
      </w:tr>
      <w:tr w:rsidR="00A77D41" w:rsidRPr="00F32E27" w14:paraId="2BFBE6C6" w14:textId="77777777" w:rsidTr="0080715D">
        <w:tc>
          <w:tcPr>
            <w:tcW w:w="109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4F71A820"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lang w:eastAsia="sk-SK"/>
              </w:rPr>
              <w:t>11.</w:t>
            </w:r>
          </w:p>
        </w:tc>
        <w:tc>
          <w:tcPr>
            <w:tcW w:w="384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564BB7CE"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Košice</w:t>
            </w:r>
          </w:p>
          <w:p w14:paraId="31D72E0E"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Staničné nám. 9, 040 01 Košice</w:t>
            </w:r>
          </w:p>
        </w:tc>
        <w:tc>
          <w:tcPr>
            <w:tcW w:w="3555"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270EAF39"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rPr>
              <w:t>Košice et ses environs, Michalovce, Sobrance, Vranov nad Topľou, Humenné, Snina, Trebišov</w:t>
            </w:r>
          </w:p>
        </w:tc>
        <w:tc>
          <w:tcPr>
            <w:tcW w:w="4110" w:type="dxa"/>
            <w:tcBorders>
              <w:top w:val="single" w:sz="6" w:space="0" w:color="D6D6D6"/>
              <w:left w:val="single" w:sz="6" w:space="0" w:color="D6D6D6"/>
              <w:bottom w:val="single" w:sz="6" w:space="0" w:color="D6D6D6"/>
              <w:right w:val="single" w:sz="6" w:space="0" w:color="D6D6D6"/>
            </w:tcBorders>
            <w:tcMar>
              <w:top w:w="75" w:type="dxa"/>
              <w:left w:w="75" w:type="dxa"/>
              <w:bottom w:w="75" w:type="dxa"/>
              <w:right w:w="75" w:type="dxa"/>
            </w:tcMar>
            <w:vAlign w:val="center"/>
            <w:hideMark/>
          </w:tcPr>
          <w:p w14:paraId="7964D2E7" w14:textId="4183D30F" w:rsidR="00A77D41" w:rsidRPr="00F32E27" w:rsidRDefault="00A77D41" w:rsidP="0080715D">
            <w:pPr>
              <w:pStyle w:val="ListParagraph"/>
              <w:numPr>
                <w:ilvl w:val="0"/>
                <w:numId w:val="3"/>
              </w:numPr>
              <w:spacing w:before="100" w:beforeAutospacing="1" w:after="100" w:afterAutospacing="1" w:line="360" w:lineRule="auto"/>
              <w:ind w:left="419" w:hanging="419"/>
              <w:rPr>
                <w:rFonts w:ascii="Arial" w:eastAsia="Times New Roman" w:hAnsi="Arial" w:cs="Arial"/>
                <w:color w:val="000000"/>
                <w:sz w:val="21"/>
                <w:szCs w:val="21"/>
              </w:rPr>
            </w:pPr>
            <w:r w:rsidRPr="00F32E27">
              <w:rPr>
                <w:rFonts w:ascii="Arial" w:hAnsi="Arial"/>
                <w:b/>
                <w:color w:val="000000"/>
                <w:sz w:val="21"/>
              </w:rPr>
              <w:t>Staničné nám. 9, Košice</w:t>
            </w:r>
          </w:p>
        </w:tc>
      </w:tr>
    </w:tbl>
    <w:p w14:paraId="79D10155" w14:textId="67FDC52F"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lang w:eastAsia="sk-SK"/>
        </w:rPr>
      </w:pPr>
    </w:p>
    <w:p w14:paraId="622D1E0D"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b/>
          <w:color w:val="000000"/>
          <w:sz w:val="21"/>
          <w:u w:val="single"/>
        </w:rPr>
        <w:t>REMARQUE:</w:t>
      </w:r>
    </w:p>
    <w:p w14:paraId="77E6C272"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color w:val="000000"/>
          <w:sz w:val="21"/>
        </w:rPr>
        <w:t xml:space="preserve">Le bureau du travail, des affaires sociales et de la famille compétent en fonction de la résidence permanente/habituelle </w:t>
      </w:r>
      <w:r w:rsidRPr="00F32E27">
        <w:rPr>
          <w:rFonts w:ascii="Arial" w:hAnsi="Arial"/>
          <w:color w:val="000000"/>
          <w:sz w:val="21"/>
          <w:u w:val="single"/>
        </w:rPr>
        <w:t>reste, le cas échéant, compétent pour:</w:t>
      </w:r>
    </w:p>
    <w:p w14:paraId="6ABE7491"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color w:val="000000"/>
          <w:sz w:val="21"/>
        </w:rPr>
        <w:t>conseiller l’usager, recevoir si nécessaire une demande ou des documents/dossiers complémentaires relatifs à l’octroi d’allocations familiales coordonnées de l’UE,</w:t>
      </w:r>
    </w:p>
    <w:p w14:paraId="278AC0E9" w14:textId="77777777" w:rsidR="00A77D41" w:rsidRPr="00F32E27" w:rsidRDefault="00A77D41" w:rsidP="00A77D41">
      <w:pPr>
        <w:spacing w:before="100" w:beforeAutospacing="1" w:after="100" w:afterAutospacing="1" w:line="240" w:lineRule="auto"/>
        <w:rPr>
          <w:rFonts w:ascii="Arial" w:eastAsia="Times New Roman" w:hAnsi="Arial" w:cs="Arial"/>
          <w:color w:val="000000"/>
          <w:sz w:val="21"/>
          <w:szCs w:val="21"/>
        </w:rPr>
      </w:pPr>
      <w:r w:rsidRPr="00F32E27">
        <w:rPr>
          <w:rFonts w:ascii="Arial" w:hAnsi="Arial"/>
          <w:color w:val="000000"/>
          <w:sz w:val="21"/>
        </w:rPr>
        <w:t>qu’il est tenu de transmettre immédiatement au bureau compétent du travail, des affaires sociales et de la famille désigné (voir tableau), et indiquer les coordonnées de contact (numéros de téléphone, adresses électroniques)</w:t>
      </w:r>
    </w:p>
    <w:p w14:paraId="49433445" w14:textId="0F447B2E" w:rsidR="00B1664F" w:rsidRPr="00F32E27" w:rsidRDefault="00A77D41" w:rsidP="0080715D">
      <w:pPr>
        <w:spacing w:before="100" w:beforeAutospacing="1" w:after="100" w:afterAutospacing="1" w:line="240" w:lineRule="auto"/>
      </w:pPr>
      <w:r w:rsidRPr="00F32E27">
        <w:rPr>
          <w:rFonts w:ascii="Arial" w:hAnsi="Arial"/>
          <w:color w:val="000000"/>
          <w:sz w:val="21"/>
        </w:rPr>
        <w:t>des employés du bureau compétent désigné.</w:t>
      </w:r>
    </w:p>
    <w:sectPr w:rsidR="00B1664F" w:rsidRPr="00F32E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2FB6" w14:textId="77777777" w:rsidR="00F32E27" w:rsidRPr="00F32E27" w:rsidRDefault="00F32E27" w:rsidP="00F32E27">
      <w:pPr>
        <w:spacing w:after="0" w:line="240" w:lineRule="auto"/>
      </w:pPr>
      <w:r w:rsidRPr="00F32E27">
        <w:separator/>
      </w:r>
    </w:p>
  </w:endnote>
  <w:endnote w:type="continuationSeparator" w:id="0">
    <w:p w14:paraId="1D55B5DB" w14:textId="77777777" w:rsidR="00F32E27" w:rsidRPr="00F32E27" w:rsidRDefault="00F32E27" w:rsidP="00F32E27">
      <w:pPr>
        <w:spacing w:after="0" w:line="240" w:lineRule="auto"/>
      </w:pPr>
      <w:r w:rsidRPr="00F32E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A8E1A" w14:textId="77777777" w:rsidR="00F32E27" w:rsidRPr="00F32E27" w:rsidRDefault="00F32E27" w:rsidP="00F32E27">
      <w:pPr>
        <w:spacing w:after="0" w:line="240" w:lineRule="auto"/>
      </w:pPr>
      <w:r w:rsidRPr="00F32E27">
        <w:separator/>
      </w:r>
    </w:p>
  </w:footnote>
  <w:footnote w:type="continuationSeparator" w:id="0">
    <w:p w14:paraId="542D4735" w14:textId="77777777" w:rsidR="00F32E27" w:rsidRPr="00F32E27" w:rsidRDefault="00F32E27" w:rsidP="00F32E27">
      <w:pPr>
        <w:spacing w:after="0" w:line="240" w:lineRule="auto"/>
      </w:pPr>
      <w:r w:rsidRPr="00F32E2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4204"/>
    <w:multiLevelType w:val="hybridMultilevel"/>
    <w:tmpl w:val="BFAE1EEA"/>
    <w:lvl w:ilvl="0" w:tplc="D3F4D2F8">
      <w:numFmt w:val="bullet"/>
      <w:lvlText w:val="-"/>
      <w:lvlJc w:val="left"/>
      <w:pPr>
        <w:ind w:left="1020" w:hanging="6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4BDD1C43"/>
    <w:multiLevelType w:val="hybridMultilevel"/>
    <w:tmpl w:val="BCDA7DA6"/>
    <w:lvl w:ilvl="0" w:tplc="D3F4D2F8">
      <w:numFmt w:val="bullet"/>
      <w:lvlText w:val="-"/>
      <w:lvlJc w:val="left"/>
      <w:pPr>
        <w:ind w:left="1020" w:hanging="6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6C431DCE"/>
    <w:multiLevelType w:val="hybridMultilevel"/>
    <w:tmpl w:val="60F6157E"/>
    <w:lvl w:ilvl="0" w:tplc="D3F4D2F8">
      <w:numFmt w:val="bullet"/>
      <w:lvlText w:val="-"/>
      <w:lvlJc w:val="left"/>
      <w:pPr>
        <w:ind w:left="1020" w:hanging="6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76FC6B0F"/>
    <w:multiLevelType w:val="hybridMultilevel"/>
    <w:tmpl w:val="8C2C005C"/>
    <w:lvl w:ilvl="0" w:tplc="D3F4D2F8">
      <w:numFmt w:val="bullet"/>
      <w:lvlText w:val="-"/>
      <w:lvlJc w:val="left"/>
      <w:pPr>
        <w:ind w:left="1020" w:hanging="6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7F4260BC"/>
    <w:multiLevelType w:val="hybridMultilevel"/>
    <w:tmpl w:val="C2084236"/>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506"/>
    <w:rsid w:val="002F44A0"/>
    <w:rsid w:val="0080715D"/>
    <w:rsid w:val="00A77D41"/>
    <w:rsid w:val="00AE6976"/>
    <w:rsid w:val="00B012DD"/>
    <w:rsid w:val="00B1664F"/>
    <w:rsid w:val="00D96506"/>
    <w:rsid w:val="00F32E27"/>
    <w:rsid w:val="00FD2B9E"/>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047CA"/>
  <w15:chartTrackingRefBased/>
  <w15:docId w15:val="{AE5A72FE-322A-4742-ADB9-CAF2393C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7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41"/>
    <w:rPr>
      <w:rFonts w:ascii="Times New Roman" w:eastAsia="Times New Roman" w:hAnsi="Times New Roman" w:cs="Times New Roman"/>
      <w:b/>
      <w:bCs/>
      <w:kern w:val="36"/>
      <w:sz w:val="48"/>
      <w:szCs w:val="48"/>
      <w:lang w:eastAsia="sk-SK"/>
    </w:rPr>
  </w:style>
  <w:style w:type="paragraph" w:styleId="NormalWeb">
    <w:name w:val="Normal (Web)"/>
    <w:basedOn w:val="Normal"/>
    <w:uiPriority w:val="99"/>
    <w:semiHidden/>
    <w:unhideWhenUsed/>
    <w:rsid w:val="00A77D4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trong">
    <w:name w:val="Strong"/>
    <w:basedOn w:val="DefaultParagraphFont"/>
    <w:uiPriority w:val="22"/>
    <w:qFormat/>
    <w:rsid w:val="00A77D41"/>
    <w:rPr>
      <w:b/>
      <w:bCs/>
    </w:rPr>
  </w:style>
  <w:style w:type="paragraph" w:styleId="ListParagraph">
    <w:name w:val="List Paragraph"/>
    <w:basedOn w:val="Normal"/>
    <w:uiPriority w:val="34"/>
    <w:qFormat/>
    <w:rsid w:val="00FD2B9E"/>
    <w:pPr>
      <w:ind w:left="720"/>
      <w:contextualSpacing/>
    </w:pPr>
  </w:style>
  <w:style w:type="paragraph" w:styleId="Header">
    <w:name w:val="header"/>
    <w:basedOn w:val="Normal"/>
    <w:link w:val="HeaderChar"/>
    <w:uiPriority w:val="99"/>
    <w:unhideWhenUsed/>
    <w:rsid w:val="00F32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E27"/>
  </w:style>
  <w:style w:type="paragraph" w:styleId="Footer">
    <w:name w:val="footer"/>
    <w:basedOn w:val="Normal"/>
    <w:link w:val="FooterChar"/>
    <w:uiPriority w:val="99"/>
    <w:unhideWhenUsed/>
    <w:rsid w:val="00F32E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512</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dc:description/>
  <cp:lastModifiedBy>Giulia DESSI'</cp:lastModifiedBy>
  <cp:revision>7</cp:revision>
  <dcterms:created xsi:type="dcterms:W3CDTF">2025-04-23T10:25:00Z</dcterms:created>
  <dcterms:modified xsi:type="dcterms:W3CDTF">2025-10-09T12:42:00Z</dcterms:modified>
</cp:coreProperties>
</file>