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0" w:rsidRPr="00F513EC" w:rsidRDefault="00191130" w:rsidP="00191130">
      <w:pPr>
        <w:rPr>
          <w:b/>
          <w:bCs/>
          <w:color w:val="FF0000"/>
        </w:rPr>
      </w:pPr>
      <w:r w:rsidRPr="00F513EC">
        <w:rPr>
          <w:b/>
        </w:rPr>
        <w:t xml:space="preserve">Formulár príkladov dobrej praxe  </w:t>
      </w:r>
      <w:r w:rsidR="00B56C6E" w:rsidRPr="00F513EC">
        <w:rPr>
          <w:b/>
        </w:rPr>
        <w:t>b</w:t>
      </w:r>
      <w:r w:rsidRPr="00F513EC">
        <w:rPr>
          <w:b/>
        </w:rPr>
        <w:t>)</w:t>
      </w:r>
      <w:r w:rsidR="00D1722D" w:rsidRPr="00F513EC">
        <w:rPr>
          <w:b/>
        </w:rPr>
        <w:tab/>
      </w:r>
      <w:r w:rsidR="00D1722D" w:rsidRPr="00F513EC">
        <w:rPr>
          <w:b/>
        </w:rPr>
        <w:tab/>
      </w:r>
      <w:r w:rsidRPr="00F513EC">
        <w:rPr>
          <w:b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11499C">
        <w:tc>
          <w:tcPr>
            <w:tcW w:w="906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projektu</w:t>
            </w:r>
          </w:p>
        </w:tc>
      </w:tr>
      <w:tr w:rsidR="0011499C" w:rsidRPr="00F513EC" w:rsidTr="0011499C">
        <w:tc>
          <w:tcPr>
            <w:tcW w:w="9062" w:type="dxa"/>
            <w:vAlign w:val="center"/>
          </w:tcPr>
          <w:p w:rsidR="0011499C" w:rsidRPr="00B84FFC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Poradenstvo v oblasti sociálnej pomoci a podpory utečencom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76EF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o</w:t>
            </w:r>
            <w:r w:rsidR="00A72EF8" w:rsidRPr="00F513EC">
              <w:rPr>
                <w:b/>
                <w:i/>
              </w:rPr>
              <w:t>peračného programu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DA13B6" w:rsidP="0057107A">
            <w:pPr>
              <w:rPr>
                <w:b/>
              </w:rPr>
            </w:pPr>
            <w:r w:rsidRPr="00F513EC"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AB7ED2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Kód </w:t>
            </w:r>
            <w:r w:rsidR="00AB7ED2" w:rsidRPr="00F513EC">
              <w:rPr>
                <w:b/>
                <w:i/>
              </w:rPr>
              <w:t>vyzvania</w:t>
            </w:r>
            <w:r w:rsidRPr="00F513EC">
              <w:rPr>
                <w:b/>
                <w:i/>
              </w:rPr>
              <w:t xml:space="preserve"> a</w:t>
            </w:r>
            <w:r w:rsidR="00B576EF" w:rsidRPr="00F513EC">
              <w:rPr>
                <w:b/>
                <w:i/>
              </w:rPr>
              <w:t> </w:t>
            </w:r>
            <w:r w:rsidRPr="00F513EC">
              <w:rPr>
                <w:b/>
                <w:i/>
              </w:rPr>
              <w:t>ITMS</w:t>
            </w:r>
            <w:r w:rsidR="00B576EF" w:rsidRPr="00F513EC">
              <w:rPr>
                <w:b/>
                <w:i/>
              </w:rPr>
              <w:t>2014+</w:t>
            </w:r>
            <w:r w:rsidRPr="00F513EC">
              <w:rPr>
                <w:b/>
                <w:i/>
              </w:rPr>
              <w:t xml:space="preserve"> kód projektu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11499C" w:rsidRPr="004D7575" w:rsidRDefault="0011499C" w:rsidP="001149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</w:t>
            </w:r>
            <w:r w:rsidRPr="004D7575">
              <w:rPr>
                <w:sz w:val="23"/>
                <w:szCs w:val="23"/>
              </w:rPr>
              <w:t>ĽZ</w:t>
            </w:r>
            <w:r>
              <w:rPr>
                <w:sz w:val="23"/>
                <w:szCs w:val="23"/>
              </w:rPr>
              <w:t>-</w:t>
            </w:r>
            <w:r w:rsidRPr="004D7575">
              <w:rPr>
                <w:sz w:val="23"/>
                <w:szCs w:val="23"/>
              </w:rPr>
              <w:t>NP</w:t>
            </w:r>
            <w:r>
              <w:rPr>
                <w:sz w:val="23"/>
                <w:szCs w:val="23"/>
              </w:rPr>
              <w:t>-</w:t>
            </w:r>
            <w:r w:rsidRPr="00F217AD">
              <w:rPr>
                <w:sz w:val="23"/>
                <w:szCs w:val="23"/>
              </w:rPr>
              <w:t>2023/11.1.1/01</w:t>
            </w:r>
          </w:p>
          <w:p w:rsidR="00A72EF8" w:rsidRPr="00F513EC" w:rsidRDefault="0011499C" w:rsidP="0011499C">
            <w:pPr>
              <w:rPr>
                <w:highlight w:val="yellow"/>
              </w:rPr>
            </w:pPr>
            <w:r w:rsidRPr="004D7575">
              <w:rPr>
                <w:sz w:val="23"/>
                <w:szCs w:val="23"/>
              </w:rPr>
              <w:t>312</w:t>
            </w:r>
            <w:r>
              <w:rPr>
                <w:sz w:val="23"/>
                <w:szCs w:val="23"/>
              </w:rPr>
              <w:t>11</w:t>
            </w:r>
            <w:r w:rsidRPr="004D757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CTX2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1B62F6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Názov prioritnej osi, </w:t>
            </w:r>
            <w:r w:rsidR="001B62F6" w:rsidRPr="00F513EC">
              <w:rPr>
                <w:b/>
                <w:i/>
              </w:rPr>
              <w:t>investičnej priority</w:t>
            </w:r>
            <w:r w:rsidRPr="00F513EC">
              <w:rPr>
                <w:b/>
                <w:i/>
              </w:rPr>
              <w:t xml:space="preserve"> a</w:t>
            </w:r>
            <w:r w:rsidR="001B62F6" w:rsidRPr="00F513EC">
              <w:rPr>
                <w:b/>
                <w:i/>
              </w:rPr>
              <w:t> špecifického cieľa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11499C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</w:rPr>
              <w:t xml:space="preserve">11 CARE </w:t>
            </w:r>
            <w:r>
              <w:rPr>
                <w:sz w:val="23"/>
                <w:szCs w:val="23"/>
              </w:rPr>
              <w:t>–</w:t>
            </w:r>
            <w:r w:rsidRPr="009B4709">
              <w:rPr>
                <w:sz w:val="23"/>
                <w:szCs w:val="23"/>
              </w:rPr>
              <w:t xml:space="preserve"> EFRR</w:t>
            </w:r>
          </w:p>
          <w:p w:rsidR="0011499C" w:rsidRPr="009B4709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</w:rPr>
              <w:t xml:space="preserve">11.1 Aktívne začlenenie, a to aj s cieľom podporovať rovnaké príležitosti a aktívnu účasť </w:t>
            </w:r>
          </w:p>
          <w:p w:rsidR="0011499C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</w:rPr>
              <w:t xml:space="preserve">a zlepšenie </w:t>
            </w:r>
            <w:proofErr w:type="spellStart"/>
            <w:r w:rsidRPr="009B4709">
              <w:rPr>
                <w:sz w:val="23"/>
                <w:szCs w:val="23"/>
              </w:rPr>
              <w:t>zamestnateľnosti</w:t>
            </w:r>
            <w:proofErr w:type="spellEnd"/>
          </w:p>
          <w:p w:rsidR="00DA13B6" w:rsidRPr="00F513EC" w:rsidRDefault="0011499C" w:rsidP="0011499C">
            <w:pPr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</w:rPr>
              <w:t>11.1.1 Riešenie migračných výziev v dôsledku vojenskej agresie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11499C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Bratislavský kraj, Trnavský kraj, Trenčiansky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Nitrian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sky kraj, Banskobystrický kraj,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Žilinský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Prešovský kraj, Košický kraj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 –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11499C" w:rsidP="001149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01.05.2022 – 31.12.2023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Rozpočet projektu (</w:t>
            </w:r>
            <w:r w:rsidR="00A72EF8" w:rsidRPr="00F513EC">
              <w:rPr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F513EC" w:rsidTr="00174A11">
        <w:tc>
          <w:tcPr>
            <w:tcW w:w="9212" w:type="dxa"/>
            <w:vAlign w:val="center"/>
          </w:tcPr>
          <w:p w:rsidR="0011499C" w:rsidRPr="006709A4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09A4">
              <w:rPr>
                <w:sz w:val="23"/>
                <w:szCs w:val="23"/>
              </w:rPr>
              <w:t>Oprávnené výdavky:</w:t>
            </w:r>
            <w:r>
              <w:rPr>
                <w:sz w:val="23"/>
                <w:szCs w:val="23"/>
              </w:rPr>
              <w:t xml:space="preserve"> </w:t>
            </w:r>
            <w:r w:rsidRPr="006709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3 443 572,65 EUR</w:t>
            </w:r>
          </w:p>
          <w:p w:rsidR="009C1E54" w:rsidRPr="00F513EC" w:rsidRDefault="0011499C" w:rsidP="0011499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09A4">
              <w:rPr>
                <w:sz w:val="23"/>
                <w:szCs w:val="23"/>
              </w:rPr>
              <w:t xml:space="preserve">Výška NFP: </w:t>
            </w:r>
            <w:r>
              <w:rPr>
                <w:sz w:val="23"/>
                <w:szCs w:val="23"/>
              </w:rPr>
              <w:t xml:space="preserve">                3 443 572,65 </w:t>
            </w:r>
            <w:r w:rsidRPr="006709A4">
              <w:rPr>
                <w:sz w:val="23"/>
                <w:szCs w:val="23"/>
              </w:rPr>
              <w:t>EUR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F513EC" w:rsidTr="00843555">
        <w:tc>
          <w:tcPr>
            <w:tcW w:w="9212" w:type="dxa"/>
          </w:tcPr>
          <w:p w:rsidR="0011499C" w:rsidRPr="00827338" w:rsidRDefault="0011499C" w:rsidP="001149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11499C" w:rsidRPr="00827338" w:rsidRDefault="0011499C" w:rsidP="001149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Špitálska 8 </w:t>
            </w:r>
          </w:p>
          <w:p w:rsidR="0011499C" w:rsidRPr="00827338" w:rsidRDefault="0011499C" w:rsidP="0011499C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812 67 Bratislava </w:t>
            </w:r>
          </w:p>
          <w:p w:rsidR="0011499C" w:rsidRPr="00827338" w:rsidRDefault="0011499C" w:rsidP="0011499C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</w:t>
            </w: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. </w:t>
            </w:r>
            <w:r>
              <w:rPr>
                <w:color w:val="000000"/>
                <w:sz w:val="23"/>
                <w:szCs w:val="23"/>
                <w:lang w:eastAsia="sk-SK"/>
              </w:rPr>
              <w:t>Šimon Zvolenský</w:t>
            </w:r>
          </w:p>
          <w:p w:rsidR="0011499C" w:rsidRPr="00827338" w:rsidRDefault="0011499C" w:rsidP="0011499C">
            <w:pPr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02/20 444 </w:t>
            </w:r>
            <w:r>
              <w:rPr>
                <w:color w:val="000000"/>
                <w:sz w:val="23"/>
                <w:szCs w:val="23"/>
                <w:lang w:eastAsia="sk-SK"/>
              </w:rPr>
              <w:t>818</w:t>
            </w:r>
          </w:p>
          <w:p w:rsidR="0011499C" w:rsidRPr="00BB3F10" w:rsidRDefault="00EA6E04" w:rsidP="0011499C">
            <w:pPr>
              <w:rPr>
                <w:rStyle w:val="Hypertextovprepojenie"/>
                <w:color w:val="1F497D" w:themeColor="text2"/>
                <w:sz w:val="23"/>
                <w:szCs w:val="23"/>
                <w:lang w:eastAsia="sk-SK"/>
              </w:rPr>
            </w:pPr>
            <w:hyperlink r:id="rId8" w:history="1">
              <w:r w:rsidR="0011499C" w:rsidRPr="009B4709">
                <w:rPr>
                  <w:rStyle w:val="Hypertextovprepojenie"/>
                  <w:color w:val="1F497D" w:themeColor="text2"/>
                  <w:sz w:val="23"/>
                  <w:szCs w:val="23"/>
                  <w:lang w:eastAsia="sk-SK"/>
                </w:rPr>
                <w:t>simon.zvolensky@upsvr.gov.sk</w:t>
              </w:r>
            </w:hyperlink>
          </w:p>
          <w:p w:rsidR="00CE0860" w:rsidRPr="00F513EC" w:rsidRDefault="00EA6E04" w:rsidP="0011499C">
            <w:hyperlink r:id="rId9" w:history="1">
              <w:r w:rsidR="0011499C" w:rsidRPr="00BB3F10">
                <w:rPr>
                  <w:rStyle w:val="Hypertextovprepojenie"/>
                  <w:color w:val="1F497D" w:themeColor="text2"/>
                  <w:sz w:val="23"/>
                  <w:szCs w:val="23"/>
                  <w:lang w:eastAsia="sk-SK"/>
                </w:rPr>
                <w:t>www.upsvr.gov.sk</w:t>
              </w:r>
            </w:hyperlink>
          </w:p>
        </w:tc>
      </w:tr>
    </w:tbl>
    <w:p w:rsidR="00FA4D6D" w:rsidRPr="00F513E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454D61">
        <w:trPr>
          <w:trHeight w:val="201"/>
        </w:trPr>
        <w:tc>
          <w:tcPr>
            <w:tcW w:w="918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Ciele projektu  (uveďte kľúčové slová)</w:t>
            </w:r>
          </w:p>
        </w:tc>
      </w:tr>
      <w:tr w:rsidR="00A72EF8" w:rsidRPr="00F513EC" w:rsidTr="0076470E">
        <w:trPr>
          <w:trHeight w:val="249"/>
        </w:trPr>
        <w:tc>
          <w:tcPr>
            <w:tcW w:w="9182" w:type="dxa"/>
          </w:tcPr>
          <w:p w:rsidR="0011499C" w:rsidRPr="0011499C" w:rsidRDefault="0011499C" w:rsidP="00C35294">
            <w:pPr>
              <w:jc w:val="both"/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  <w:lang w:val="sk"/>
              </w:rPr>
              <w:t xml:space="preserve">Cieľom </w:t>
            </w:r>
            <w:r>
              <w:rPr>
                <w:sz w:val="23"/>
                <w:szCs w:val="23"/>
                <w:lang w:val="sk"/>
              </w:rPr>
              <w:t xml:space="preserve">národného </w:t>
            </w:r>
            <w:r w:rsidRPr="009B4709">
              <w:rPr>
                <w:sz w:val="23"/>
                <w:szCs w:val="23"/>
                <w:lang w:val="sk"/>
              </w:rPr>
              <w:t xml:space="preserve">projektu </w:t>
            </w:r>
            <w:r>
              <w:rPr>
                <w:sz w:val="23"/>
                <w:szCs w:val="23"/>
                <w:lang w:val="sk"/>
              </w:rPr>
              <w:t>bola</w:t>
            </w:r>
            <w:r w:rsidRPr="009B4709">
              <w:rPr>
                <w:sz w:val="23"/>
                <w:szCs w:val="23"/>
                <w:lang w:val="sk"/>
              </w:rPr>
              <w:t xml:space="preserve"> pomoc osobám z cieľovej skupiny a podpora ich integrácie prostredníctvom poskytovania poradenských služieb a nástrojov sociálnej pomoci s prihliadnutím na špecifické potreby odídenca vrátane poradenstva pri začleňovaní detí do školských a predškolských zariadení</w:t>
            </w:r>
            <w:r>
              <w:rPr>
                <w:sz w:val="23"/>
                <w:szCs w:val="23"/>
                <w:lang w:val="sk"/>
              </w:rPr>
              <w:t>.</w:t>
            </w:r>
          </w:p>
        </w:tc>
      </w:tr>
    </w:tbl>
    <w:p w:rsidR="00725A32" w:rsidRPr="00F513E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F513EC" w:rsidTr="00454D61">
        <w:trPr>
          <w:trHeight w:val="201"/>
        </w:trPr>
        <w:tc>
          <w:tcPr>
            <w:tcW w:w="9212" w:type="dxa"/>
          </w:tcPr>
          <w:p w:rsidR="00B576EF" w:rsidRPr="00F513EC" w:rsidRDefault="00B576EF" w:rsidP="002C4DDB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Cieľové skupiny (uveďte kľúčové slová) </w:t>
            </w:r>
          </w:p>
        </w:tc>
      </w:tr>
      <w:tr w:rsidR="00B576EF" w:rsidRPr="00F513EC" w:rsidTr="00454D61">
        <w:trPr>
          <w:trHeight w:val="119"/>
        </w:trPr>
        <w:tc>
          <w:tcPr>
            <w:tcW w:w="9212" w:type="dxa"/>
          </w:tcPr>
          <w:p w:rsidR="00B576EF" w:rsidRPr="0011499C" w:rsidRDefault="0011499C" w:rsidP="0011499C">
            <w:pPr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9B4709">
              <w:rPr>
                <w:sz w:val="23"/>
                <w:szCs w:val="23"/>
                <w:lang w:val="sk"/>
              </w:rPr>
              <w:t>štátni príslušníci tretích krajín odchádzajúci z Ukrajiny</w:t>
            </w:r>
          </w:p>
        </w:tc>
      </w:tr>
    </w:tbl>
    <w:p w:rsidR="00B576EF" w:rsidRPr="00F513E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B6AA3">
        <w:trPr>
          <w:trHeight w:val="231"/>
        </w:trPr>
        <w:tc>
          <w:tcPr>
            <w:tcW w:w="9062" w:type="dxa"/>
          </w:tcPr>
          <w:p w:rsidR="00265F6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Stručný opis projektu: (max. 50 riadkov)</w:t>
            </w:r>
          </w:p>
        </w:tc>
      </w:tr>
      <w:tr w:rsidR="00FD3804" w:rsidRPr="00F513EC" w:rsidTr="008B6AA3">
        <w:trPr>
          <w:trHeight w:val="240"/>
        </w:trPr>
        <w:tc>
          <w:tcPr>
            <w:tcW w:w="9062" w:type="dxa"/>
          </w:tcPr>
          <w:p w:rsidR="00FD3804" w:rsidRPr="00F513E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513EC">
              <w:rPr>
                <w:b/>
                <w:i/>
              </w:rPr>
              <w:t>Ciele</w:t>
            </w:r>
          </w:p>
        </w:tc>
      </w:tr>
      <w:tr w:rsidR="008B6AA3" w:rsidRPr="00F513EC" w:rsidTr="008B6AA3">
        <w:trPr>
          <w:trHeight w:val="267"/>
        </w:trPr>
        <w:tc>
          <w:tcPr>
            <w:tcW w:w="9062" w:type="dxa"/>
          </w:tcPr>
          <w:p w:rsidR="0011499C" w:rsidRDefault="0011499C" w:rsidP="00780195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8E577C">
              <w:rPr>
                <w:sz w:val="23"/>
                <w:szCs w:val="23"/>
              </w:rPr>
              <w:t xml:space="preserve">NP </w:t>
            </w:r>
            <w:r>
              <w:rPr>
                <w:sz w:val="23"/>
                <w:szCs w:val="23"/>
              </w:rPr>
              <w:t xml:space="preserve">Poradenstvo v oblasti sociálnej pomoci a podpory utečencom </w:t>
            </w:r>
            <w:r w:rsidRPr="008E577C">
              <w:rPr>
                <w:sz w:val="23"/>
                <w:szCs w:val="23"/>
              </w:rPr>
              <w:t>vychádza</w:t>
            </w:r>
            <w:r>
              <w:rPr>
                <w:sz w:val="23"/>
                <w:szCs w:val="23"/>
              </w:rPr>
              <w:t>l</w:t>
            </w:r>
            <w:r w:rsidRPr="008E577C">
              <w:rPr>
                <w:sz w:val="23"/>
                <w:szCs w:val="23"/>
              </w:rPr>
              <w:t xml:space="preserve"> z</w:t>
            </w:r>
            <w:r>
              <w:rPr>
                <w:sz w:val="23"/>
                <w:szCs w:val="23"/>
              </w:rPr>
              <w:t> </w:t>
            </w:r>
            <w:r w:rsidRPr="008E577C">
              <w:rPr>
                <w:sz w:val="23"/>
                <w:szCs w:val="23"/>
              </w:rPr>
              <w:t>potreby</w:t>
            </w:r>
            <w:r>
              <w:rPr>
                <w:sz w:val="23"/>
                <w:szCs w:val="23"/>
              </w:rPr>
              <w:t xml:space="preserve"> poskytnutia pomoci občanom Ukrajiny a ich rodinným príslušníkom </w:t>
            </w:r>
            <w:r w:rsidRPr="008E57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v súvislosti s ozbrojeným konfliktom na Ukrajine, ktorého následkom bol hromadný prílev cudzincov na územie Slovenskej republiky.</w:t>
            </w:r>
            <w:r w:rsidRPr="007D2425">
              <w:rPr>
                <w:sz w:val="23"/>
                <w:szCs w:val="23"/>
              </w:rPr>
              <w:t xml:space="preserve"> Cieľom projektu </w:t>
            </w:r>
            <w:r>
              <w:rPr>
                <w:sz w:val="23"/>
                <w:szCs w:val="23"/>
              </w:rPr>
              <w:t>bola</w:t>
            </w:r>
            <w:r w:rsidRPr="007D2425">
              <w:rPr>
                <w:sz w:val="23"/>
                <w:szCs w:val="23"/>
              </w:rPr>
              <w:t xml:space="preserve"> pomoc osobám z cieľovej skupiny a podpora ich integrácie prostredníctvom poskytovania poradenských služieb a nástrojov sociálnej pomoci s prihliadnutím na špecifické potreby odídenca vrátane poradenstva pri začleňovaní detí do </w:t>
            </w:r>
            <w:r w:rsidRPr="007D2425">
              <w:rPr>
                <w:sz w:val="23"/>
                <w:szCs w:val="23"/>
              </w:rPr>
              <w:lastRenderedPageBreak/>
              <w:t>školských a predškolských zariadení</w:t>
            </w:r>
          </w:p>
          <w:p w:rsidR="008B6AA3" w:rsidRPr="00B84FFC" w:rsidRDefault="008B6AA3" w:rsidP="0011499C">
            <w:pPr>
              <w:spacing w:after="60"/>
              <w:jc w:val="both"/>
              <w:rPr>
                <w:sz w:val="23"/>
                <w:szCs w:val="23"/>
              </w:rPr>
            </w:pPr>
          </w:p>
        </w:tc>
      </w:tr>
      <w:tr w:rsidR="008B6AA3" w:rsidRPr="00F513EC" w:rsidTr="008B6AA3">
        <w:trPr>
          <w:trHeight w:val="336"/>
        </w:trPr>
        <w:tc>
          <w:tcPr>
            <w:tcW w:w="9062" w:type="dxa"/>
          </w:tcPr>
          <w:p w:rsidR="008B6AA3" w:rsidRPr="00F513EC" w:rsidRDefault="008B6AA3" w:rsidP="008B6AA3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513EC">
              <w:rPr>
                <w:b/>
                <w:i/>
              </w:rPr>
              <w:lastRenderedPageBreak/>
              <w:t>Plánované aktivity (max. 15 riadkov)</w:t>
            </w:r>
          </w:p>
        </w:tc>
      </w:tr>
      <w:tr w:rsidR="008B6AA3" w:rsidRPr="00F513EC" w:rsidTr="008B6AA3">
        <w:tc>
          <w:tcPr>
            <w:tcW w:w="9062" w:type="dxa"/>
          </w:tcPr>
          <w:p w:rsidR="0011499C" w:rsidRPr="00B84FFC" w:rsidRDefault="0011499C" w:rsidP="0011499C">
            <w:pPr>
              <w:jc w:val="both"/>
              <w:rPr>
                <w:sz w:val="23"/>
                <w:szCs w:val="23"/>
                <w:lang w:eastAsia="sk-SK"/>
              </w:rPr>
            </w:pPr>
            <w:r w:rsidRPr="008E577C">
              <w:rPr>
                <w:sz w:val="23"/>
                <w:szCs w:val="23"/>
                <w:lang w:val="sk" w:eastAsia="sk-SK"/>
              </w:rPr>
              <w:t xml:space="preserve">Projekt </w:t>
            </w:r>
            <w:r>
              <w:rPr>
                <w:sz w:val="23"/>
                <w:szCs w:val="23"/>
                <w:lang w:val="sk" w:eastAsia="sk-SK"/>
              </w:rPr>
              <w:t>bol</w:t>
            </w:r>
            <w:r w:rsidRPr="008E577C">
              <w:rPr>
                <w:sz w:val="23"/>
                <w:szCs w:val="23"/>
                <w:lang w:val="sk" w:eastAsia="sk-SK"/>
              </w:rPr>
              <w:t xml:space="preserve"> implementovaný prostredníctvom hlavnej aktivity „</w:t>
            </w:r>
            <w:r w:rsidRPr="00C83855">
              <w:rPr>
                <w:sz w:val="23"/>
                <w:szCs w:val="23"/>
                <w:lang w:val="sk" w:eastAsia="sk-SK"/>
              </w:rPr>
              <w:t>Poskytovanie poradenských služieb a nástrojov sociálnej pomoci s prihliadnutím na špecifické potreby odídenca vrátane poradenstva pri začleňovaní detí do školských a predškolských zariadení</w:t>
            </w:r>
            <w:r>
              <w:rPr>
                <w:sz w:val="23"/>
                <w:szCs w:val="23"/>
                <w:lang w:val="sk" w:eastAsia="sk-SK"/>
              </w:rPr>
              <w:t>“.</w:t>
            </w:r>
          </w:p>
          <w:p w:rsidR="008B6AA3" w:rsidRPr="00F513EC" w:rsidRDefault="008B6AA3" w:rsidP="00780195">
            <w:pPr>
              <w:pStyle w:val="Odsekzoznamu"/>
              <w:ind w:left="27"/>
              <w:jc w:val="both"/>
              <w:rPr>
                <w:b/>
                <w:i/>
              </w:rPr>
            </w:pP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Výstupy/výsledky: kvalitatívne a kvantitatívne (vo forme merateľných ukazovateľov)</w:t>
            </w:r>
          </w:p>
        </w:tc>
      </w:tr>
      <w:tr w:rsidR="008B6AA3" w:rsidRPr="00F513EC" w:rsidTr="008B6AA3">
        <w:tc>
          <w:tcPr>
            <w:tcW w:w="9062" w:type="dxa"/>
          </w:tcPr>
          <w:tbl>
            <w:tblPr>
              <w:tblW w:w="10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65"/>
              <w:gridCol w:w="1357"/>
              <w:gridCol w:w="1357"/>
              <w:gridCol w:w="1357"/>
            </w:tblGrid>
            <w:tr w:rsidR="00B75E64" w:rsidRPr="00B75E64" w:rsidTr="00B75E64">
              <w:trPr>
                <w:trHeight w:val="480"/>
              </w:trPr>
              <w:tc>
                <w:tcPr>
                  <w:tcW w:w="5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Merateľné ukazovatele (MRR)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Cieľová hodnota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Stav k 27.11.2023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% plnenia</w:t>
                  </w:r>
                </w:p>
              </w:tc>
            </w:tr>
            <w:tr w:rsidR="00B75E64" w:rsidRPr="00B75E64" w:rsidTr="00B75E64">
              <w:trPr>
                <w:trHeight w:val="600"/>
              </w:trPr>
              <w:tc>
                <w:tcPr>
                  <w:tcW w:w="5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75E64" w:rsidRPr="00B75E64" w:rsidRDefault="00B75E64" w:rsidP="00B75E6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Počet osôb do 18 rokov, ktorým bola poskytnutá intervencia (CARE)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7 400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35 692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482</w:t>
                  </w:r>
                </w:p>
              </w:tc>
            </w:tr>
            <w:tr w:rsidR="00B75E64" w:rsidRPr="00B75E64" w:rsidTr="00B75E64">
              <w:trPr>
                <w:trHeight w:val="600"/>
              </w:trPr>
              <w:tc>
                <w:tcPr>
                  <w:tcW w:w="5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75E64" w:rsidRPr="00B75E64" w:rsidRDefault="00B75E64" w:rsidP="00B75E6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Počet osôb nad 18 rokov, ktorým bola poskytnutá intervencia (CARE)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29 800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33 552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E64" w:rsidRPr="00B75E64" w:rsidRDefault="00B75E64" w:rsidP="00B75E6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75E6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113</w:t>
                  </w:r>
                </w:p>
              </w:tc>
            </w:tr>
          </w:tbl>
          <w:p w:rsidR="005123F9" w:rsidRPr="00F513EC" w:rsidRDefault="005123F9" w:rsidP="008B6AA3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Nadväznosť (trvalá/následná udržateľnosť výsledkov projektu)</w:t>
            </w:r>
          </w:p>
        </w:tc>
      </w:tr>
      <w:tr w:rsidR="008B6AA3" w:rsidRPr="00F513EC" w:rsidTr="008B6AA3">
        <w:tc>
          <w:tcPr>
            <w:tcW w:w="9062" w:type="dxa"/>
          </w:tcPr>
          <w:p w:rsidR="006A1199" w:rsidRPr="006A1199" w:rsidRDefault="006A1199" w:rsidP="006A119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Predkladaný NP vy</w:t>
            </w:r>
            <w:r w:rsidRPr="006A1199">
              <w:rPr>
                <w:sz w:val="23"/>
                <w:szCs w:val="23"/>
              </w:rPr>
              <w:t>chádza</w:t>
            </w:r>
            <w:r>
              <w:rPr>
                <w:sz w:val="23"/>
                <w:szCs w:val="23"/>
              </w:rPr>
              <w:t>l</w:t>
            </w:r>
            <w:r w:rsidRPr="006A1199">
              <w:rPr>
                <w:sz w:val="23"/>
                <w:szCs w:val="23"/>
              </w:rPr>
              <w:t xml:space="preserve"> z potreby pomoci osobám z cieľovej skupiny a podpory ich integrácie prostredníctvom poskytovania poradenských služieb a nástrojov sociálnej pomoci s prihliadnutím na špecifické potreby odídenca vrátane poradenstva pri začleňovaní detí do školských a predškolských zariadení.</w:t>
            </w:r>
          </w:p>
          <w:p w:rsidR="008B6AA3" w:rsidRDefault="006A1199" w:rsidP="006A1199">
            <w:pPr>
              <w:jc w:val="both"/>
              <w:rPr>
                <w:sz w:val="23"/>
                <w:szCs w:val="23"/>
              </w:rPr>
            </w:pPr>
            <w:r w:rsidRPr="006A1199">
              <w:rPr>
                <w:sz w:val="23"/>
                <w:szCs w:val="23"/>
              </w:rPr>
              <w:t xml:space="preserve">Realizácia NP formou poskytovania poradenských služieb a nástrojov sociálnej pomoci </w:t>
            </w:r>
            <w:r>
              <w:rPr>
                <w:sz w:val="23"/>
                <w:szCs w:val="23"/>
              </w:rPr>
              <w:t>prispela</w:t>
            </w:r>
            <w:r w:rsidRPr="006A1199">
              <w:rPr>
                <w:sz w:val="23"/>
                <w:szCs w:val="23"/>
              </w:rPr>
              <w:t xml:space="preserve"> k integrácii a adresnejšej pomoci pre štátnych príslušníkov tretích krajín odchádzajúcich z Ukrajiny. Poskytovanie poradenských služieb </w:t>
            </w:r>
            <w:r>
              <w:rPr>
                <w:sz w:val="23"/>
                <w:szCs w:val="23"/>
              </w:rPr>
              <w:t>malo</w:t>
            </w:r>
            <w:r w:rsidRPr="006A1199">
              <w:rPr>
                <w:sz w:val="23"/>
                <w:szCs w:val="23"/>
              </w:rPr>
              <w:t xml:space="preserve"> dopad najmä na špecifické potreby týchto osôb, ako napríklad </w:t>
            </w:r>
            <w:r>
              <w:rPr>
                <w:sz w:val="23"/>
                <w:szCs w:val="23"/>
              </w:rPr>
              <w:t>zlepšenie</w:t>
            </w:r>
            <w:r w:rsidRPr="006A1199">
              <w:rPr>
                <w:sz w:val="23"/>
                <w:szCs w:val="23"/>
              </w:rPr>
              <w:t xml:space="preserve"> orientáci</w:t>
            </w:r>
            <w:r>
              <w:rPr>
                <w:sz w:val="23"/>
                <w:szCs w:val="23"/>
              </w:rPr>
              <w:t>e</w:t>
            </w:r>
            <w:r w:rsidRPr="006A1199">
              <w:rPr>
                <w:sz w:val="23"/>
                <w:szCs w:val="23"/>
              </w:rPr>
              <w:t xml:space="preserve"> v oblasti začleňovania sa do spoločnosti, do pracovného života, detí do školských a predškolských zariadení. Hlavným prínosom pre klientov, ktorým </w:t>
            </w:r>
            <w:r>
              <w:rPr>
                <w:sz w:val="23"/>
                <w:szCs w:val="23"/>
              </w:rPr>
              <w:t>bolo</w:t>
            </w:r>
            <w:r w:rsidRPr="006A1199">
              <w:rPr>
                <w:sz w:val="23"/>
                <w:szCs w:val="23"/>
              </w:rPr>
              <w:t xml:space="preserve"> poskytované individuálne poradenstvo </w:t>
            </w:r>
            <w:r>
              <w:rPr>
                <w:sz w:val="23"/>
                <w:szCs w:val="23"/>
              </w:rPr>
              <w:t>bol</w:t>
            </w:r>
            <w:r w:rsidRPr="006A1199">
              <w:rPr>
                <w:sz w:val="23"/>
                <w:szCs w:val="23"/>
              </w:rPr>
              <w:t xml:space="preserve"> najmä prísun informácií potrebných k tomu, aby sa dokázali zorientovať na území SR.</w:t>
            </w:r>
          </w:p>
          <w:p w:rsidR="006A1199" w:rsidRPr="00022661" w:rsidRDefault="006A1199" w:rsidP="006A1199">
            <w:pPr>
              <w:jc w:val="both"/>
              <w:rPr>
                <w:sz w:val="23"/>
                <w:szCs w:val="23"/>
              </w:rPr>
            </w:pPr>
          </w:p>
          <w:p w:rsidR="008B6AA3" w:rsidRPr="00F513EC" w:rsidRDefault="008B6AA3" w:rsidP="006A1199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Fakultatívne položky:</w:t>
            </w: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Problémy zistené pri aplikácii</w:t>
            </w:r>
          </w:p>
        </w:tc>
      </w:tr>
      <w:tr w:rsidR="008B6AA3" w:rsidRPr="00F513EC" w:rsidTr="008B6AA3">
        <w:tc>
          <w:tcPr>
            <w:tcW w:w="9062" w:type="dxa"/>
          </w:tcPr>
          <w:p w:rsidR="008B6AA3" w:rsidRPr="00AA0FD1" w:rsidRDefault="008B6AA3" w:rsidP="008B6AA3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AA0FD1">
              <w:rPr>
                <w:b/>
                <w:i/>
                <w:sz w:val="23"/>
                <w:szCs w:val="23"/>
                <w:lang w:eastAsia="sk-SK"/>
              </w:rPr>
              <w:t>Personálne problémy</w:t>
            </w:r>
          </w:p>
          <w:p w:rsidR="008B6AA3" w:rsidRPr="00AA0FD1" w:rsidRDefault="008B6AA3" w:rsidP="008B6AA3">
            <w:pPr>
              <w:pStyle w:val="Odsekzoznamu"/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AA0FD1">
              <w:rPr>
                <w:sz w:val="23"/>
                <w:szCs w:val="23"/>
              </w:rPr>
              <w:t>na niektorých úradoch PSVR (predovšetkým v MDR)  je problematické obsadiť voľné pracovné miesta</w:t>
            </w:r>
          </w:p>
          <w:p w:rsidR="008B6AA3" w:rsidRPr="003B01AE" w:rsidRDefault="008B6AA3" w:rsidP="008B6AA3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3B01AE">
              <w:rPr>
                <w:b/>
                <w:i/>
                <w:sz w:val="23"/>
                <w:szCs w:val="23"/>
                <w:lang w:eastAsia="sk-SK"/>
              </w:rPr>
              <w:t>Problémy súvisiace s plnením merateľných ukazovateľov</w:t>
            </w:r>
          </w:p>
          <w:p w:rsidR="003B01AE" w:rsidRPr="00AA0FD1" w:rsidRDefault="003B01AE" w:rsidP="00612DF1">
            <w:pPr>
              <w:pStyle w:val="Odsekzoznamu"/>
              <w:numPr>
                <w:ilvl w:val="0"/>
                <w:numId w:val="35"/>
              </w:numPr>
              <w:jc w:val="both"/>
              <w:rPr>
                <w:b/>
                <w:i/>
                <w:lang w:eastAsia="sk-SK"/>
              </w:rPr>
            </w:pPr>
            <w:r>
              <w:rPr>
                <w:sz w:val="23"/>
                <w:szCs w:val="23"/>
              </w:rPr>
              <w:t xml:space="preserve">Hodnota merateľného ukazovateľa </w:t>
            </w:r>
            <w:r w:rsidRPr="003B01AE">
              <w:rPr>
                <w:sz w:val="23"/>
                <w:szCs w:val="23"/>
              </w:rPr>
              <w:t>„Počet osôb do 18 rokov, ktorým bola poskytnutá intervencia (CARE)“</w:t>
            </w:r>
            <w:r>
              <w:rPr>
                <w:sz w:val="23"/>
                <w:szCs w:val="23"/>
              </w:rPr>
              <w:t xml:space="preserve"> v prípade </w:t>
            </w:r>
            <w:r w:rsidRPr="003B01AE">
              <w:rPr>
                <w:sz w:val="23"/>
                <w:szCs w:val="23"/>
              </w:rPr>
              <w:t xml:space="preserve">poskytovania dotácie na stravu </w:t>
            </w:r>
            <w:r>
              <w:rPr>
                <w:sz w:val="23"/>
                <w:szCs w:val="23"/>
              </w:rPr>
              <w:t>nebolo</w:t>
            </w:r>
            <w:r w:rsidRPr="003B01AE">
              <w:rPr>
                <w:sz w:val="23"/>
                <w:szCs w:val="23"/>
              </w:rPr>
              <w:t xml:space="preserve"> možné vykázať v </w:t>
            </w:r>
            <w:proofErr w:type="spellStart"/>
            <w:r w:rsidRPr="003B01AE">
              <w:rPr>
                <w:sz w:val="23"/>
                <w:szCs w:val="23"/>
              </w:rPr>
              <w:t>ŽoP</w:t>
            </w:r>
            <w:proofErr w:type="spellEnd"/>
            <w:r w:rsidRPr="003B01AE">
              <w:rPr>
                <w:sz w:val="23"/>
                <w:szCs w:val="23"/>
              </w:rPr>
              <w:t xml:space="preserve"> podľa pohlaví, nakoľko od 01.05.2023 sa v tomto prípade uvádza v IS RSD len počet  detí, ktorým je poskytovaná dotácia na stravu. Dôvodom je skutočnosť, že v nadväznosti na právnu úpravu zákona č. 544/2010 Z. z. o dotáciách v pôsobnosti Ministerstva práce, sociálnych vecí a rodiny SR v znení neskorších predpisov, účinnú od 01.05.2023 sa významne rozšíril okruh oprávnených detí na poskytnutie dotácie na stravu a vzhľadom na uvedené do IS RSD už nie sú zadávané identifikačné údaje, na základe ktorých by bolo možné identifikovať pohlavie dieťa.</w:t>
            </w:r>
            <w:r w:rsidR="00612DF1">
              <w:rPr>
                <w:sz w:val="23"/>
                <w:szCs w:val="23"/>
              </w:rPr>
              <w:t xml:space="preserve"> </w:t>
            </w:r>
            <w:r w:rsidR="00612DF1" w:rsidRPr="00612DF1">
              <w:rPr>
                <w:sz w:val="23"/>
                <w:szCs w:val="23"/>
              </w:rPr>
              <w:t xml:space="preserve">Vzhľadom na skutočnosť, že </w:t>
            </w:r>
            <w:r w:rsidR="00612DF1">
              <w:rPr>
                <w:sz w:val="23"/>
                <w:szCs w:val="23"/>
              </w:rPr>
              <w:t>nebolo</w:t>
            </w:r>
            <w:r w:rsidR="00612DF1" w:rsidRPr="00612DF1">
              <w:rPr>
                <w:sz w:val="23"/>
                <w:szCs w:val="23"/>
              </w:rPr>
              <w:t xml:space="preserve"> možné údaje vykazovať formou informovaných odhadov, </w:t>
            </w:r>
            <w:r w:rsidR="00612DF1">
              <w:rPr>
                <w:sz w:val="23"/>
                <w:szCs w:val="23"/>
              </w:rPr>
              <w:t>nebola</w:t>
            </w:r>
            <w:r w:rsidR="00612DF1" w:rsidRPr="00612DF1">
              <w:rPr>
                <w:sz w:val="23"/>
                <w:szCs w:val="23"/>
              </w:rPr>
              <w:t xml:space="preserve"> potrebná detailná evidencia účastníkov a teda ani presné členenie podľa pohlavia. V tomto prípade </w:t>
            </w:r>
            <w:r w:rsidR="00612DF1">
              <w:rPr>
                <w:sz w:val="23"/>
                <w:szCs w:val="23"/>
              </w:rPr>
              <w:t>bolo</w:t>
            </w:r>
            <w:r w:rsidR="00612DF1" w:rsidRPr="00612DF1">
              <w:rPr>
                <w:sz w:val="23"/>
                <w:szCs w:val="23"/>
              </w:rPr>
              <w:t xml:space="preserve"> možné použiť štatistiky a uvádzať údaje v členení podľa pohlavia percentuálnym prepočtom z týchto štatistík</w:t>
            </w:r>
            <w:r w:rsidR="00612DF1">
              <w:rPr>
                <w:sz w:val="23"/>
                <w:szCs w:val="23"/>
              </w:rPr>
              <w:t xml:space="preserve"> (v prípade projektov CARE stačil</w:t>
            </w:r>
            <w:r w:rsidR="00612DF1" w:rsidRPr="00612DF1">
              <w:rPr>
                <w:sz w:val="23"/>
                <w:szCs w:val="23"/>
              </w:rPr>
              <w:t xml:space="preserve"> prepočet z údajov „spolu“). </w:t>
            </w:r>
          </w:p>
          <w:p w:rsidR="00AA0FD1" w:rsidRPr="00AA0FD1" w:rsidRDefault="00AA0FD1" w:rsidP="00AA0FD1">
            <w:pPr>
              <w:jc w:val="both"/>
              <w:rPr>
                <w:b/>
                <w:i/>
                <w:lang w:eastAsia="sk-SK"/>
              </w:rPr>
            </w:pP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8B6AA3" w:rsidRPr="00F513EC" w:rsidTr="008B6AA3">
        <w:tc>
          <w:tcPr>
            <w:tcW w:w="9062" w:type="dxa"/>
          </w:tcPr>
          <w:p w:rsidR="008B6AA3" w:rsidRPr="00F513EC" w:rsidRDefault="008B6AA3" w:rsidP="008B6AA3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Pr="00F513E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F513EC" w:rsidTr="00843555">
        <w:tc>
          <w:tcPr>
            <w:tcW w:w="9212" w:type="dxa"/>
          </w:tcPr>
          <w:p w:rsidR="00EA6E04" w:rsidRPr="00D30FAE" w:rsidRDefault="00EA6E04" w:rsidP="00EA6E04">
            <w:pPr>
              <w:jc w:val="both"/>
              <w:rPr>
                <w:sz w:val="23"/>
                <w:szCs w:val="23"/>
              </w:rPr>
            </w:pPr>
            <w:r w:rsidRPr="00D30FAE">
              <w:rPr>
                <w:sz w:val="23"/>
                <w:szCs w:val="23"/>
              </w:rPr>
              <w:lastRenderedPageBreak/>
              <w:t>Publicita a informovanosť bola zabezpečená počas celého obdobia trvania realizácie projektu a riadila sa Manuálom pre informovanie a komunikáciu pre prijímateľov v rámci EŠIF (2014-2020) pre Operačný program Ľudské zdroje.</w:t>
            </w:r>
          </w:p>
          <w:p w:rsidR="00EA6E04" w:rsidRPr="00D30FAE" w:rsidRDefault="00EA6E04" w:rsidP="00EA6E04">
            <w:pPr>
              <w:jc w:val="both"/>
              <w:rPr>
                <w:sz w:val="23"/>
                <w:szCs w:val="23"/>
              </w:rPr>
            </w:pPr>
          </w:p>
          <w:p w:rsidR="00EA6E04" w:rsidRPr="00D30FAE" w:rsidRDefault="00EA6E04" w:rsidP="00EA6E04">
            <w:pPr>
              <w:jc w:val="both"/>
              <w:rPr>
                <w:sz w:val="23"/>
                <w:szCs w:val="23"/>
                <w:lang w:eastAsia="sk-SK"/>
              </w:rPr>
            </w:pPr>
            <w:r w:rsidRPr="00D30FAE">
              <w:rPr>
                <w:sz w:val="23"/>
                <w:szCs w:val="23"/>
                <w:lang w:eastAsia="sk-SK"/>
              </w:rPr>
              <w:t>V rámci publicity sa realizovalo:</w:t>
            </w:r>
          </w:p>
          <w:p w:rsidR="00EA6E04" w:rsidRPr="00D30FAE" w:rsidRDefault="00EA6E04" w:rsidP="00EA6E04">
            <w:pPr>
              <w:numPr>
                <w:ilvl w:val="0"/>
                <w:numId w:val="36"/>
              </w:numPr>
              <w:ind w:left="426"/>
              <w:jc w:val="both"/>
              <w:rPr>
                <w:i/>
                <w:sz w:val="23"/>
                <w:szCs w:val="23"/>
                <w:lang w:eastAsia="sk-SK"/>
              </w:rPr>
            </w:pPr>
            <w:r w:rsidRPr="00D30FAE">
              <w:rPr>
                <w:i/>
                <w:sz w:val="23"/>
                <w:szCs w:val="23"/>
                <w:lang w:eastAsia="sk-SK"/>
              </w:rPr>
              <w:t xml:space="preserve">zaslanie Formulára príkladov dobrej praxe ESF a) na </w:t>
            </w:r>
            <w:hyperlink r:id="rId10" w:history="1">
              <w:r w:rsidRPr="00D30FAE">
                <w:rPr>
                  <w:i/>
                  <w:sz w:val="23"/>
                  <w:szCs w:val="23"/>
                  <w:u w:val="single"/>
                  <w:lang w:eastAsia="sk-SK"/>
                </w:rPr>
                <w:t>publicita@employment.gov.sk</w:t>
              </w:r>
            </w:hyperlink>
            <w:r w:rsidRPr="00D30FAE">
              <w:rPr>
                <w:i/>
                <w:sz w:val="23"/>
                <w:szCs w:val="23"/>
                <w:lang w:eastAsia="sk-SK"/>
              </w:rPr>
              <w:t xml:space="preserve"> a zverejnenie Formulára príkladov dobrej praxe ESF a) a opisu národného projektu na webovej stránke </w:t>
            </w:r>
            <w:hyperlink r:id="rId11" w:history="1">
              <w:r w:rsidRPr="00D30FAE">
                <w:rPr>
                  <w:i/>
                  <w:sz w:val="23"/>
                  <w:szCs w:val="23"/>
                  <w:u w:val="single"/>
                  <w:lang w:eastAsia="sk-SK"/>
                </w:rPr>
                <w:t>www.upsvar.sk</w:t>
              </w:r>
            </w:hyperlink>
            <w:r w:rsidRPr="00D30FAE">
              <w:rPr>
                <w:i/>
                <w:sz w:val="23"/>
                <w:szCs w:val="23"/>
                <w:lang w:eastAsia="sk-SK"/>
              </w:rPr>
              <w:t>;</w:t>
            </w:r>
          </w:p>
          <w:p w:rsidR="00EA6E04" w:rsidRPr="00D30FAE" w:rsidRDefault="00EA6E04" w:rsidP="00EA6E04">
            <w:pPr>
              <w:jc w:val="both"/>
              <w:rPr>
                <w:sz w:val="23"/>
                <w:szCs w:val="23"/>
              </w:rPr>
            </w:pPr>
          </w:p>
          <w:p w:rsidR="00EA6E04" w:rsidRPr="00D30FAE" w:rsidRDefault="00EA6E04" w:rsidP="00EA6E04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30FAE">
              <w:rPr>
                <w:rFonts w:eastAsia="Calibri"/>
                <w:sz w:val="23"/>
                <w:szCs w:val="23"/>
                <w:lang w:eastAsia="en-US"/>
              </w:rPr>
              <w:t xml:space="preserve">Úrady práce, sociálnych vecí a rodiny SR na označenie objektov, v ktorých sa uskutočňovali aktivity národného projektu </w:t>
            </w:r>
            <w:r w:rsidRPr="00D30FAE">
              <w:rPr>
                <w:sz w:val="23"/>
                <w:szCs w:val="23"/>
              </w:rPr>
              <w:t>Podpora pri riešení potrieb osôb so závažným postihnutím v súvislosti s ozbrojeným konfliktom na Ukrajine</w:t>
            </w:r>
            <w:r w:rsidRPr="00D30FAE">
              <w:rPr>
                <w:rFonts w:eastAsia="Calibri"/>
                <w:sz w:val="23"/>
                <w:szCs w:val="23"/>
                <w:lang w:eastAsia="en-US"/>
              </w:rPr>
              <w:t xml:space="preserve"> používajú všeobecný plagát vo formáte A3, ktorý je tiež zverejnený na webstránke Ústredia PSVR:</w:t>
            </w:r>
          </w:p>
          <w:p w:rsidR="00EA6E04" w:rsidRPr="00D30FAE" w:rsidRDefault="00EA6E04" w:rsidP="00EA6E04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hyperlink r:id="rId12" w:history="1">
              <w:r w:rsidRPr="00D30FAE">
                <w:rPr>
                  <w:rStyle w:val="Hypertextovprepojenie"/>
                  <w:rFonts w:eastAsia="Calibri"/>
                  <w:color w:val="auto"/>
                  <w:sz w:val="23"/>
                  <w:szCs w:val="23"/>
                  <w:lang w:eastAsia="en-US"/>
                </w:rPr>
                <w:t>https://www.upsvr.gov.sk/buxus/docs/SESF/Vseobecny_plagat_A3_SZaSS_2.pdf</w:t>
              </w:r>
            </w:hyperlink>
          </w:p>
          <w:p w:rsidR="00EA6E04" w:rsidRPr="00D30FAE" w:rsidRDefault="00EA6E04" w:rsidP="00EA6E04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0FAE">
              <w:rPr>
                <w:sz w:val="23"/>
                <w:szCs w:val="23"/>
              </w:rPr>
              <w:t> </w:t>
            </w:r>
          </w:p>
          <w:p w:rsidR="00EA6E04" w:rsidRPr="00D30FAE" w:rsidRDefault="00EA6E04" w:rsidP="00EA6E04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0FAE">
              <w:rPr>
                <w:sz w:val="23"/>
                <w:szCs w:val="23"/>
              </w:rPr>
              <w:t>V rámci  Národného projektu Podpora pri riešení potrieb osôb so závažným postihnutím v súvislosti s ozbrojeným konfliktom na Ukrajine sú dodržiavané a uplatňované pravidlá informovania a publicity vrátane používania loga. Podporná dokumentácia súvisiaca s realizáciou NP obsahuje logo ESF a EFRR s odkazom na Európsku úniu a logo OP ĽZ v zmysle Manuálu pre informovanie a komunikáciu pre prijímateľov v rámci EŠIF a Design manuálu.</w:t>
            </w:r>
          </w:p>
          <w:p w:rsidR="00303E63" w:rsidRPr="00825F45" w:rsidRDefault="00303E63" w:rsidP="00303E63">
            <w:pPr>
              <w:jc w:val="both"/>
              <w:rPr>
                <w:sz w:val="23"/>
                <w:szCs w:val="23"/>
              </w:rPr>
            </w:pPr>
          </w:p>
          <w:p w:rsidR="008E3D4A" w:rsidRPr="00F513EC" w:rsidRDefault="008E3D4A" w:rsidP="006A1199">
            <w:pPr>
              <w:jc w:val="both"/>
              <w:rPr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BB4785" w:rsidRPr="00F513EC" w:rsidRDefault="00BB4785" w:rsidP="0076470E">
      <w:pPr>
        <w:spacing w:after="120"/>
        <w:rPr>
          <w:b/>
          <w:bCs/>
        </w:rPr>
      </w:pPr>
    </w:p>
    <w:sectPr w:rsidR="00BB4785" w:rsidRPr="00F513EC" w:rsidSect="00271C01">
      <w:headerReference w:type="default" r:id="rId13"/>
      <w:footerReference w:type="default" r:id="rId14"/>
      <w:pgSz w:w="11906" w:h="16838"/>
      <w:pgMar w:top="1139" w:right="1417" w:bottom="851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AD" w:rsidRDefault="00B37CAD">
      <w:r>
        <w:separator/>
      </w:r>
    </w:p>
  </w:endnote>
  <w:endnote w:type="continuationSeparator" w:id="0">
    <w:p w:rsidR="00B37CAD" w:rsidRDefault="00B3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E8" w:rsidRPr="00735B92" w:rsidRDefault="007E0F00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E43BE8" w:rsidRPr="00735B92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7E0F00" w:rsidRPr="00735B92" w:rsidRDefault="00E43BE8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>V</w:t>
    </w:r>
    <w:r w:rsidR="00CE5520" w:rsidRPr="00735B92">
      <w:rPr>
        <w:rFonts w:ascii="Arial" w:hAnsi="Arial" w:cs="Arial"/>
        <w:color w:val="808080" w:themeColor="background1" w:themeShade="80"/>
        <w:sz w:val="20"/>
      </w:rPr>
      <w:t xml:space="preserve">erzia </w:t>
    </w:r>
    <w:r w:rsidR="00B86DBA">
      <w:rPr>
        <w:rFonts w:ascii="Arial" w:hAnsi="Arial" w:cs="Arial"/>
        <w:color w:val="808080" w:themeColor="background1" w:themeShade="80"/>
        <w:sz w:val="20"/>
      </w:rPr>
      <w:t>7</w:t>
    </w:r>
    <w:r w:rsidR="00852E27">
      <w:rPr>
        <w:rFonts w:ascii="Arial" w:hAnsi="Arial" w:cs="Arial"/>
        <w:color w:val="808080" w:themeColor="background1" w:themeShade="80"/>
        <w:sz w:val="20"/>
      </w:rPr>
      <w:t>.</w:t>
    </w:r>
    <w:r w:rsidR="00E75EDA">
      <w:rPr>
        <w:rFonts w:ascii="Arial" w:hAnsi="Arial" w:cs="Arial"/>
        <w:color w:val="808080" w:themeColor="background1" w:themeShade="80"/>
        <w:sz w:val="20"/>
      </w:rPr>
      <w:t>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AD" w:rsidRDefault="00B37CAD">
      <w:r>
        <w:separator/>
      </w:r>
    </w:p>
  </w:footnote>
  <w:footnote w:type="continuationSeparator" w:id="0">
    <w:p w:rsidR="00B37CAD" w:rsidRDefault="00B3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92" w:rsidRPr="00735B92" w:rsidRDefault="00735B92" w:rsidP="00735B92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 w:rsidRPr="00735B92">
      <w:rPr>
        <w:rFonts w:ascii="Arial" w:hAnsi="Arial" w:cs="Arial"/>
        <w:bCs/>
        <w:color w:val="808080" w:themeColor="background1" w:themeShade="80"/>
      </w:rPr>
      <w:t>Príloha č. 15</w:t>
    </w:r>
  </w:p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6B73C9">
      <w:rPr>
        <w:noProof/>
        <w:lang w:eastAsia="sk-SK"/>
      </w:rPr>
      <w:drawing>
        <wp:inline distT="0" distB="0" distL="0" distR="0" wp14:anchorId="6F1575D7" wp14:editId="082FFE8F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C49A1"/>
    <w:multiLevelType w:val="hybridMultilevel"/>
    <w:tmpl w:val="CD4EA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B2CBA"/>
    <w:multiLevelType w:val="hybridMultilevel"/>
    <w:tmpl w:val="16FE6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86E91"/>
    <w:multiLevelType w:val="hybridMultilevel"/>
    <w:tmpl w:val="1A022306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CEE"/>
    <w:multiLevelType w:val="multilevel"/>
    <w:tmpl w:val="B5F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92CE6"/>
    <w:multiLevelType w:val="hybridMultilevel"/>
    <w:tmpl w:val="4686E20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7"/>
  </w:num>
  <w:num w:numId="5">
    <w:abstractNumId w:val="33"/>
  </w:num>
  <w:num w:numId="6">
    <w:abstractNumId w:val="29"/>
  </w:num>
  <w:num w:numId="7">
    <w:abstractNumId w:val="21"/>
  </w:num>
  <w:num w:numId="8">
    <w:abstractNumId w:val="6"/>
  </w:num>
  <w:num w:numId="9">
    <w:abstractNumId w:val="10"/>
  </w:num>
  <w:num w:numId="10">
    <w:abstractNumId w:val="15"/>
  </w:num>
  <w:num w:numId="11">
    <w:abstractNumId w:val="35"/>
  </w:num>
  <w:num w:numId="12">
    <w:abstractNumId w:val="31"/>
  </w:num>
  <w:num w:numId="13">
    <w:abstractNumId w:val="3"/>
  </w:num>
  <w:num w:numId="14">
    <w:abstractNumId w:val="32"/>
  </w:num>
  <w:num w:numId="15">
    <w:abstractNumId w:val="18"/>
  </w:num>
  <w:num w:numId="16">
    <w:abstractNumId w:val="12"/>
  </w:num>
  <w:num w:numId="17">
    <w:abstractNumId w:val="2"/>
  </w:num>
  <w:num w:numId="18">
    <w:abstractNumId w:val="22"/>
  </w:num>
  <w:num w:numId="19">
    <w:abstractNumId w:val="5"/>
  </w:num>
  <w:num w:numId="20">
    <w:abstractNumId w:val="27"/>
  </w:num>
  <w:num w:numId="21">
    <w:abstractNumId w:val="20"/>
  </w:num>
  <w:num w:numId="22">
    <w:abstractNumId w:val="28"/>
  </w:num>
  <w:num w:numId="23">
    <w:abstractNumId w:val="4"/>
  </w:num>
  <w:num w:numId="24">
    <w:abstractNumId w:val="14"/>
  </w:num>
  <w:num w:numId="25">
    <w:abstractNumId w:val="8"/>
  </w:num>
  <w:num w:numId="26">
    <w:abstractNumId w:val="1"/>
  </w:num>
  <w:num w:numId="27">
    <w:abstractNumId w:val="13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23"/>
  </w:num>
  <w:num w:numId="33">
    <w:abstractNumId w:val="34"/>
  </w:num>
  <w:num w:numId="34">
    <w:abstractNumId w:val="11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22661"/>
    <w:rsid w:val="00037E3F"/>
    <w:rsid w:val="000463CC"/>
    <w:rsid w:val="00046F44"/>
    <w:rsid w:val="000518CA"/>
    <w:rsid w:val="00055A2F"/>
    <w:rsid w:val="00056E82"/>
    <w:rsid w:val="00065897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1499C"/>
    <w:rsid w:val="001226DA"/>
    <w:rsid w:val="00125FB1"/>
    <w:rsid w:val="00131914"/>
    <w:rsid w:val="001546BC"/>
    <w:rsid w:val="0015725F"/>
    <w:rsid w:val="001730D2"/>
    <w:rsid w:val="00174A11"/>
    <w:rsid w:val="00182B94"/>
    <w:rsid w:val="00191130"/>
    <w:rsid w:val="00195CE6"/>
    <w:rsid w:val="001979DB"/>
    <w:rsid w:val="001A6B2D"/>
    <w:rsid w:val="001B60D8"/>
    <w:rsid w:val="001B62F6"/>
    <w:rsid w:val="001C164B"/>
    <w:rsid w:val="001C3157"/>
    <w:rsid w:val="001D4508"/>
    <w:rsid w:val="001E0408"/>
    <w:rsid w:val="001E0675"/>
    <w:rsid w:val="001E4CB6"/>
    <w:rsid w:val="001E55A4"/>
    <w:rsid w:val="001F01B0"/>
    <w:rsid w:val="001F3458"/>
    <w:rsid w:val="001F4E93"/>
    <w:rsid w:val="00200463"/>
    <w:rsid w:val="00202A97"/>
    <w:rsid w:val="00203B45"/>
    <w:rsid w:val="00205091"/>
    <w:rsid w:val="00214949"/>
    <w:rsid w:val="002430B6"/>
    <w:rsid w:val="002474BC"/>
    <w:rsid w:val="002510DF"/>
    <w:rsid w:val="00265F68"/>
    <w:rsid w:val="00271C01"/>
    <w:rsid w:val="00276722"/>
    <w:rsid w:val="0028589E"/>
    <w:rsid w:val="002A0E26"/>
    <w:rsid w:val="002C4080"/>
    <w:rsid w:val="002D2E63"/>
    <w:rsid w:val="002D5BF4"/>
    <w:rsid w:val="002E4A14"/>
    <w:rsid w:val="002F5E8B"/>
    <w:rsid w:val="00300A08"/>
    <w:rsid w:val="00303E63"/>
    <w:rsid w:val="0030682E"/>
    <w:rsid w:val="00327CE9"/>
    <w:rsid w:val="00330FBC"/>
    <w:rsid w:val="00343BDC"/>
    <w:rsid w:val="00350644"/>
    <w:rsid w:val="003553DF"/>
    <w:rsid w:val="00356D30"/>
    <w:rsid w:val="00384694"/>
    <w:rsid w:val="00387FA4"/>
    <w:rsid w:val="003977CE"/>
    <w:rsid w:val="003B01AE"/>
    <w:rsid w:val="003D4947"/>
    <w:rsid w:val="003D5790"/>
    <w:rsid w:val="003E2C26"/>
    <w:rsid w:val="003E44C4"/>
    <w:rsid w:val="003F3DBB"/>
    <w:rsid w:val="004307E8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C6CD9"/>
    <w:rsid w:val="004E306F"/>
    <w:rsid w:val="004E48C3"/>
    <w:rsid w:val="005123F9"/>
    <w:rsid w:val="00515D42"/>
    <w:rsid w:val="00562675"/>
    <w:rsid w:val="0057107A"/>
    <w:rsid w:val="00575A73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5F1D11"/>
    <w:rsid w:val="00601DEF"/>
    <w:rsid w:val="00612DF1"/>
    <w:rsid w:val="006255C8"/>
    <w:rsid w:val="00637A8E"/>
    <w:rsid w:val="00667808"/>
    <w:rsid w:val="00670DE5"/>
    <w:rsid w:val="0069434C"/>
    <w:rsid w:val="006A0B03"/>
    <w:rsid w:val="006A0EB5"/>
    <w:rsid w:val="006A1199"/>
    <w:rsid w:val="006B73C9"/>
    <w:rsid w:val="006B763A"/>
    <w:rsid w:val="006D0971"/>
    <w:rsid w:val="006D0F97"/>
    <w:rsid w:val="006D287E"/>
    <w:rsid w:val="006E77FB"/>
    <w:rsid w:val="006F3B8E"/>
    <w:rsid w:val="006F3C79"/>
    <w:rsid w:val="006F63F0"/>
    <w:rsid w:val="00714B7A"/>
    <w:rsid w:val="00725A32"/>
    <w:rsid w:val="00733DF2"/>
    <w:rsid w:val="00735B92"/>
    <w:rsid w:val="0073648A"/>
    <w:rsid w:val="007413BB"/>
    <w:rsid w:val="00742F33"/>
    <w:rsid w:val="00744CF0"/>
    <w:rsid w:val="00751A3D"/>
    <w:rsid w:val="0076034F"/>
    <w:rsid w:val="0076470E"/>
    <w:rsid w:val="00765028"/>
    <w:rsid w:val="007712FF"/>
    <w:rsid w:val="00780195"/>
    <w:rsid w:val="00781649"/>
    <w:rsid w:val="007A76D8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52E27"/>
    <w:rsid w:val="00862156"/>
    <w:rsid w:val="008877CE"/>
    <w:rsid w:val="0089479E"/>
    <w:rsid w:val="00894EE3"/>
    <w:rsid w:val="00896E30"/>
    <w:rsid w:val="008B13FB"/>
    <w:rsid w:val="008B6AA3"/>
    <w:rsid w:val="008C233F"/>
    <w:rsid w:val="008E3D4A"/>
    <w:rsid w:val="008F7629"/>
    <w:rsid w:val="009327E0"/>
    <w:rsid w:val="0093329B"/>
    <w:rsid w:val="00937E7D"/>
    <w:rsid w:val="009441B9"/>
    <w:rsid w:val="00982A63"/>
    <w:rsid w:val="00983F19"/>
    <w:rsid w:val="00990D40"/>
    <w:rsid w:val="0099420A"/>
    <w:rsid w:val="009A48EE"/>
    <w:rsid w:val="009A5261"/>
    <w:rsid w:val="009B4A90"/>
    <w:rsid w:val="009C1C55"/>
    <w:rsid w:val="009C1E54"/>
    <w:rsid w:val="009C5AE2"/>
    <w:rsid w:val="009E28D3"/>
    <w:rsid w:val="009E5B66"/>
    <w:rsid w:val="009F774F"/>
    <w:rsid w:val="00A01BF5"/>
    <w:rsid w:val="00A16570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28F7"/>
    <w:rsid w:val="00A94013"/>
    <w:rsid w:val="00A94A6B"/>
    <w:rsid w:val="00A96FA9"/>
    <w:rsid w:val="00AA0FD1"/>
    <w:rsid w:val="00AA28CA"/>
    <w:rsid w:val="00AB0EE4"/>
    <w:rsid w:val="00AB7ED2"/>
    <w:rsid w:val="00AC1C61"/>
    <w:rsid w:val="00AC32DD"/>
    <w:rsid w:val="00AE0F7E"/>
    <w:rsid w:val="00AF0F2D"/>
    <w:rsid w:val="00B23C82"/>
    <w:rsid w:val="00B372CA"/>
    <w:rsid w:val="00B37CAD"/>
    <w:rsid w:val="00B56C6E"/>
    <w:rsid w:val="00B576EF"/>
    <w:rsid w:val="00B61A58"/>
    <w:rsid w:val="00B74EA6"/>
    <w:rsid w:val="00B75E64"/>
    <w:rsid w:val="00B77FCD"/>
    <w:rsid w:val="00B81CD6"/>
    <w:rsid w:val="00B82821"/>
    <w:rsid w:val="00B86DBA"/>
    <w:rsid w:val="00BA7D29"/>
    <w:rsid w:val="00BB4785"/>
    <w:rsid w:val="00BD15A8"/>
    <w:rsid w:val="00BD4A8B"/>
    <w:rsid w:val="00BF4E11"/>
    <w:rsid w:val="00C0714F"/>
    <w:rsid w:val="00C231C7"/>
    <w:rsid w:val="00C35294"/>
    <w:rsid w:val="00C414A1"/>
    <w:rsid w:val="00C45C76"/>
    <w:rsid w:val="00C52723"/>
    <w:rsid w:val="00C52793"/>
    <w:rsid w:val="00C57DD0"/>
    <w:rsid w:val="00C80EDE"/>
    <w:rsid w:val="00C84AAC"/>
    <w:rsid w:val="00C8594A"/>
    <w:rsid w:val="00C90426"/>
    <w:rsid w:val="00C93B00"/>
    <w:rsid w:val="00C93D91"/>
    <w:rsid w:val="00C97CBC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1A59"/>
    <w:rsid w:val="00D93D6A"/>
    <w:rsid w:val="00D96120"/>
    <w:rsid w:val="00DA13B6"/>
    <w:rsid w:val="00DB1018"/>
    <w:rsid w:val="00DB3157"/>
    <w:rsid w:val="00DE2A98"/>
    <w:rsid w:val="00E011B2"/>
    <w:rsid w:val="00E01808"/>
    <w:rsid w:val="00E01F2A"/>
    <w:rsid w:val="00E331FC"/>
    <w:rsid w:val="00E40C0A"/>
    <w:rsid w:val="00E43BE8"/>
    <w:rsid w:val="00E5507B"/>
    <w:rsid w:val="00E554C8"/>
    <w:rsid w:val="00E55B7B"/>
    <w:rsid w:val="00E731EE"/>
    <w:rsid w:val="00E75D57"/>
    <w:rsid w:val="00E75EDA"/>
    <w:rsid w:val="00E9381E"/>
    <w:rsid w:val="00E95434"/>
    <w:rsid w:val="00EA6630"/>
    <w:rsid w:val="00EA6E04"/>
    <w:rsid w:val="00EB2FC2"/>
    <w:rsid w:val="00EB4E4F"/>
    <w:rsid w:val="00EC4D7A"/>
    <w:rsid w:val="00ED6884"/>
    <w:rsid w:val="00EF7E3E"/>
    <w:rsid w:val="00F31E85"/>
    <w:rsid w:val="00F50ACA"/>
    <w:rsid w:val="00F513EC"/>
    <w:rsid w:val="00F53A6B"/>
    <w:rsid w:val="00F55EEA"/>
    <w:rsid w:val="00F57F9C"/>
    <w:rsid w:val="00F60943"/>
    <w:rsid w:val="00F74728"/>
    <w:rsid w:val="00F7667B"/>
    <w:rsid w:val="00F77CB7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semiHidden/>
    <w:unhideWhenUsed/>
    <w:rsid w:val="001E0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zvolensky@upsvr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svr.gov.sk/buxus/docs/SESF/Vseobecny_plagat_A3_SZaSS_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ar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ublicita@employment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r.gov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433F-124C-4870-B52E-57543D75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2023-01-11T08:16:00Z</dcterms:created>
  <dcterms:modified xsi:type="dcterms:W3CDTF">2023-11-30T12:53:00Z</dcterms:modified>
</cp:coreProperties>
</file>