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charts/chart64.xml" ContentType="application/vnd.openxmlformats-officedocument.drawingml.chart+xml"/>
  <Override PartName="/word/theme/themeOverride62.xml" ContentType="application/vnd.openxmlformats-officedocument.themeOverride+xml"/>
  <Override PartName="/word/charts/chart65.xml" ContentType="application/vnd.openxmlformats-officedocument.drawingml.chart+xml"/>
  <Override PartName="/word/theme/themeOverride63.xml" ContentType="application/vnd.openxmlformats-officedocument.themeOverride+xml"/>
  <Override PartName="/word/charts/chart66.xml" ContentType="application/vnd.openxmlformats-officedocument.drawingml.chart+xml"/>
  <Override PartName="/word/theme/themeOverride64.xml" ContentType="application/vnd.openxmlformats-officedocument.themeOverride+xml"/>
  <Override PartName="/word/charts/chart67.xml" ContentType="application/vnd.openxmlformats-officedocument.drawingml.chart+xml"/>
  <Override PartName="/word/theme/themeOverride65.xml" ContentType="application/vnd.openxmlformats-officedocument.themeOverride+xml"/>
  <Override PartName="/word/charts/chart68.xml" ContentType="application/vnd.openxmlformats-officedocument.drawingml.chart+xml"/>
  <Override PartName="/word/theme/themeOverride66.xml" ContentType="application/vnd.openxmlformats-officedocument.themeOverride+xml"/>
  <Override PartName="/word/charts/chart69.xml" ContentType="application/vnd.openxmlformats-officedocument.drawingml.chart+xml"/>
  <Override PartName="/word/theme/themeOverride67.xml" ContentType="application/vnd.openxmlformats-officedocument.themeOverride+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charts/chart72.xml" ContentType="application/vnd.openxmlformats-officedocument.drawingml.chart+xml"/>
  <Override PartName="/word/theme/themeOverride70.xml" ContentType="application/vnd.openxmlformats-officedocument.themeOverride+xml"/>
  <Override PartName="/word/charts/chart73.xml" ContentType="application/vnd.openxmlformats-officedocument.drawingml.chart+xml"/>
  <Override PartName="/word/theme/themeOverride71.xml" ContentType="application/vnd.openxmlformats-officedocument.themeOverride+xml"/>
  <Override PartName="/word/charts/chart74.xml" ContentType="application/vnd.openxmlformats-officedocument.drawingml.chart+xml"/>
  <Override PartName="/word/theme/themeOverride72.xml" ContentType="application/vnd.openxmlformats-officedocument.themeOverride+xml"/>
  <Override PartName="/word/charts/chart75.xml" ContentType="application/vnd.openxmlformats-officedocument.drawingml.chart+xml"/>
  <Override PartName="/word/theme/themeOverride73.xml" ContentType="application/vnd.openxmlformats-officedocument.themeOverride+xml"/>
  <Override PartName="/word/charts/chart76.xml" ContentType="application/vnd.openxmlformats-officedocument.drawingml.chart+xml"/>
  <Override PartName="/word/theme/themeOverride74.xml" ContentType="application/vnd.openxmlformats-officedocument.themeOverride+xml"/>
  <Override PartName="/word/charts/chart77.xml" ContentType="application/vnd.openxmlformats-officedocument.drawingml.chart+xml"/>
  <Override PartName="/word/theme/themeOverride75.xml" ContentType="application/vnd.openxmlformats-officedocument.themeOverride+xml"/>
  <Override PartName="/word/charts/chart78.xml" ContentType="application/vnd.openxmlformats-officedocument.drawingml.chart+xml"/>
  <Override PartName="/word/theme/themeOverride76.xml" ContentType="application/vnd.openxmlformats-officedocument.themeOverride+xml"/>
  <Override PartName="/word/charts/chart79.xml" ContentType="application/vnd.openxmlformats-officedocument.drawingml.chart+xml"/>
  <Override PartName="/word/theme/themeOverride77.xml" ContentType="application/vnd.openxmlformats-officedocument.themeOverride+xml"/>
  <Override PartName="/word/charts/chart80.xml" ContentType="application/vnd.openxmlformats-officedocument.drawingml.chart+xml"/>
  <Override PartName="/word/theme/themeOverride78.xml" ContentType="application/vnd.openxmlformats-officedocument.themeOverride+xml"/>
  <Override PartName="/word/charts/chart81.xml" ContentType="application/vnd.openxmlformats-officedocument.drawingml.chart+xml"/>
  <Override PartName="/word/theme/themeOverride79.xml" ContentType="application/vnd.openxmlformats-officedocument.themeOverride+xml"/>
  <Override PartName="/word/charts/chart82.xml" ContentType="application/vnd.openxmlformats-officedocument.drawingml.chart+xml"/>
  <Override PartName="/word/theme/themeOverride80.xml" ContentType="application/vnd.openxmlformats-officedocument.themeOverride+xml"/>
  <Override PartName="/word/charts/chart83.xml" ContentType="application/vnd.openxmlformats-officedocument.drawingml.chart+xml"/>
  <Override PartName="/word/theme/themeOverride81.xml" ContentType="application/vnd.openxmlformats-officedocument.themeOverride+xml"/>
  <Override PartName="/word/charts/chart84.xml" ContentType="application/vnd.openxmlformats-officedocument.drawingml.chart+xml"/>
  <Override PartName="/word/theme/themeOverride82.xml" ContentType="application/vnd.openxmlformats-officedocument.themeOverride+xml"/>
  <Override PartName="/word/charts/chart85.xml" ContentType="application/vnd.openxmlformats-officedocument.drawingml.chart+xml"/>
  <Override PartName="/word/theme/themeOverride83.xml" ContentType="application/vnd.openxmlformats-officedocument.themeOverride+xml"/>
  <Override PartName="/word/charts/chart86.xml" ContentType="application/vnd.openxmlformats-officedocument.drawingml.chart+xml"/>
  <Override PartName="/word/theme/themeOverride84.xml" ContentType="application/vnd.openxmlformats-officedocument.themeOverride+xml"/>
  <Override PartName="/word/charts/chart87.xml" ContentType="application/vnd.openxmlformats-officedocument.drawingml.chart+xml"/>
  <Override PartName="/word/theme/themeOverride85.xml" ContentType="application/vnd.openxmlformats-officedocument.themeOverride+xml"/>
  <Override PartName="/word/charts/chart88.xml" ContentType="application/vnd.openxmlformats-officedocument.drawingml.chart+xml"/>
  <Override PartName="/word/theme/themeOverride86.xml" ContentType="application/vnd.openxmlformats-officedocument.themeOverride+xml"/>
  <Override PartName="/word/charts/chart89.xml" ContentType="application/vnd.openxmlformats-officedocument.drawingml.chart+xml"/>
  <Override PartName="/word/theme/themeOverride87.xml" ContentType="application/vnd.openxmlformats-officedocument.themeOverride+xml"/>
  <Override PartName="/word/charts/chart90.xml" ContentType="application/vnd.openxmlformats-officedocument.drawingml.chart+xml"/>
  <Override PartName="/word/theme/themeOverride88.xml" ContentType="application/vnd.openxmlformats-officedocument.themeOverride+xml"/>
  <Override PartName="/word/charts/chart91.xml" ContentType="application/vnd.openxmlformats-officedocument.drawingml.chart+xml"/>
  <Override PartName="/word/theme/themeOverride89.xml" ContentType="application/vnd.openxmlformats-officedocument.themeOverride+xml"/>
  <Override PartName="/word/charts/chart92.xml" ContentType="application/vnd.openxmlformats-officedocument.drawingml.chart+xml"/>
  <Override PartName="/word/theme/themeOverride90.xml" ContentType="application/vnd.openxmlformats-officedocument.themeOverride+xml"/>
  <Override PartName="/word/charts/chart93.xml" ContentType="application/vnd.openxmlformats-officedocument.drawingml.chart+xml"/>
  <Override PartName="/word/theme/themeOverride91.xml" ContentType="application/vnd.openxmlformats-officedocument.themeOverride+xml"/>
  <Override PartName="/word/charts/chart94.xml" ContentType="application/vnd.openxmlformats-officedocument.drawingml.chart+xml"/>
  <Override PartName="/word/theme/themeOverride92.xml" ContentType="application/vnd.openxmlformats-officedocument.themeOverride+xml"/>
  <Override PartName="/word/charts/chart95.xml" ContentType="application/vnd.openxmlformats-officedocument.drawingml.chart+xml"/>
  <Override PartName="/word/theme/themeOverride93.xml" ContentType="application/vnd.openxmlformats-officedocument.themeOverride+xml"/>
  <Override PartName="/word/charts/chart96.xml" ContentType="application/vnd.openxmlformats-officedocument.drawingml.chart+xml"/>
  <Override PartName="/word/theme/themeOverride94.xml" ContentType="application/vnd.openxmlformats-officedocument.themeOverride+xml"/>
  <Override PartName="/word/charts/chart97.xml" ContentType="application/vnd.openxmlformats-officedocument.drawingml.chart+xml"/>
  <Override PartName="/word/theme/themeOverride95.xml" ContentType="application/vnd.openxmlformats-officedocument.themeOverride+xml"/>
  <Override PartName="/word/charts/chart98.xml" ContentType="application/vnd.openxmlformats-officedocument.drawingml.chart+xml"/>
  <Override PartName="/word/theme/themeOverride96.xml" ContentType="application/vnd.openxmlformats-officedocument.themeOverride+xml"/>
  <Override PartName="/word/charts/chart99.xml" ContentType="application/vnd.openxmlformats-officedocument.drawingml.chart+xml"/>
  <Override PartName="/word/theme/themeOverride97.xml" ContentType="application/vnd.openxmlformats-officedocument.themeOverride+xml"/>
  <Override PartName="/word/charts/chart100.xml" ContentType="application/vnd.openxmlformats-officedocument.drawingml.chart+xml"/>
  <Override PartName="/word/theme/themeOverride98.xml" ContentType="application/vnd.openxmlformats-officedocument.themeOverride+xml"/>
  <Override PartName="/word/charts/chart101.xml" ContentType="application/vnd.openxmlformats-officedocument.drawingml.chart+xml"/>
  <Override PartName="/word/theme/themeOverride99.xml" ContentType="application/vnd.openxmlformats-officedocument.themeOverride+xml"/>
  <Override PartName="/word/charts/chart102.xml" ContentType="application/vnd.openxmlformats-officedocument.drawingml.chart+xml"/>
  <Override PartName="/word/theme/themeOverride100.xml" ContentType="application/vnd.openxmlformats-officedocument.themeOverride+xml"/>
  <Override PartName="/word/charts/chart103.xml" ContentType="application/vnd.openxmlformats-officedocument.drawingml.chart+xml"/>
  <Override PartName="/word/theme/themeOverride101.xml" ContentType="application/vnd.openxmlformats-officedocument.themeOverride+xml"/>
  <Override PartName="/word/charts/chart104.xml" ContentType="application/vnd.openxmlformats-officedocument.drawingml.chart+xml"/>
  <Override PartName="/word/theme/themeOverride10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21D94" w14:textId="77777777" w:rsidR="0026128C" w:rsidRPr="00C35CA8" w:rsidRDefault="0026128C" w:rsidP="00AA7E7B">
      <w:pPr>
        <w:rPr>
          <w14:shadow w14:blurRad="50800" w14:dist="38100" w14:dir="2700000" w14:sx="100000" w14:sy="100000" w14:kx="0" w14:ky="0" w14:algn="tl">
            <w14:srgbClr w14:val="000000">
              <w14:alpha w14:val="60000"/>
            </w14:srgbClr>
          </w14:shadow>
        </w:rPr>
      </w:pPr>
      <w:bookmarkStart w:id="0" w:name="_Hlk37103262"/>
      <w:bookmarkEnd w:id="0"/>
    </w:p>
    <w:p w14:paraId="53657E06" w14:textId="77777777" w:rsidR="00420B2C" w:rsidRPr="00C35CA8" w:rsidRDefault="00420B2C" w:rsidP="00AA7E7B">
      <w:pPr>
        <w:rPr>
          <w14:shadow w14:blurRad="50800" w14:dist="38100" w14:dir="2700000" w14:sx="100000" w14:sy="100000" w14:kx="0" w14:ky="0" w14:algn="tl">
            <w14:srgbClr w14:val="000000">
              <w14:alpha w14:val="60000"/>
            </w14:srgbClr>
          </w14:shadow>
        </w:rPr>
      </w:pPr>
    </w:p>
    <w:p w14:paraId="77A07C0D" w14:textId="77777777" w:rsidR="004D3108" w:rsidRPr="00C35CA8" w:rsidRDefault="004D3108" w:rsidP="00AA7E7B">
      <w:pPr>
        <w:rPr>
          <w14:shadow w14:blurRad="50800" w14:dist="38100" w14:dir="2700000" w14:sx="100000" w14:sy="100000" w14:kx="0" w14:ky="0" w14:algn="tl">
            <w14:srgbClr w14:val="000000">
              <w14:alpha w14:val="60000"/>
            </w14:srgbClr>
          </w14:shadow>
        </w:rPr>
      </w:pPr>
    </w:p>
    <w:p w14:paraId="62C3F0B0" w14:textId="77777777" w:rsidR="005E5A10" w:rsidRPr="00C35CA8" w:rsidRDefault="005E5A10" w:rsidP="00AA7E7B">
      <w:pPr>
        <w:rPr>
          <w14:shadow w14:blurRad="50800" w14:dist="38100" w14:dir="2700000" w14:sx="100000" w14:sy="100000" w14:kx="0" w14:ky="0" w14:algn="tl">
            <w14:srgbClr w14:val="000000">
              <w14:alpha w14:val="60000"/>
            </w14:srgbClr>
          </w14:shadow>
        </w:rPr>
      </w:pPr>
      <w:r w:rsidRPr="00C35CA8">
        <w:rPr>
          <w:noProof/>
          <w14:shadow w14:blurRad="50800" w14:dist="38100" w14:dir="2700000" w14:sx="100000" w14:sy="100000" w14:kx="0" w14:ky="0" w14:algn="tl">
            <w14:srgbClr w14:val="000000">
              <w14:alpha w14:val="60000"/>
            </w14:srgbClr>
          </w14:shadow>
        </w:rPr>
        <w:drawing>
          <wp:anchor distT="0" distB="0" distL="114300" distR="114300" simplePos="0" relativeHeight="251652096" behindDoc="0" locked="0" layoutInCell="1" allowOverlap="1" wp14:anchorId="77C0A45E" wp14:editId="346EB12C">
            <wp:simplePos x="0" y="0"/>
            <wp:positionH relativeFrom="column">
              <wp:posOffset>-79375</wp:posOffset>
            </wp:positionH>
            <wp:positionV relativeFrom="paragraph">
              <wp:posOffset>-169545</wp:posOffset>
            </wp:positionV>
            <wp:extent cx="6090285" cy="1251585"/>
            <wp:effectExtent l="0" t="0" r="5715" b="5715"/>
            <wp:wrapNone/>
            <wp:docPr id="3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cstate="screen"/>
                    <a:srcRect/>
                    <a:stretch>
                      <a:fillRect/>
                    </a:stretch>
                  </pic:blipFill>
                  <pic:spPr bwMode="auto">
                    <a:xfrm>
                      <a:off x="0" y="0"/>
                      <a:ext cx="6090285" cy="1251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F5746B" w14:textId="77777777" w:rsidR="005E5A10" w:rsidRPr="00C35CA8" w:rsidRDefault="005E5A10" w:rsidP="00AA7E7B">
      <w:pPr>
        <w:rPr>
          <w14:shadow w14:blurRad="50800" w14:dist="38100" w14:dir="2700000" w14:sx="100000" w14:sy="100000" w14:kx="0" w14:ky="0" w14:algn="tl">
            <w14:srgbClr w14:val="000000">
              <w14:alpha w14:val="60000"/>
            </w14:srgbClr>
          </w14:shadow>
        </w:rPr>
      </w:pPr>
    </w:p>
    <w:p w14:paraId="107FF69B" w14:textId="77777777" w:rsidR="005E5A10" w:rsidRPr="00C35CA8" w:rsidRDefault="005E5A10" w:rsidP="00AA7E7B">
      <w:pPr>
        <w:rPr>
          <w14:shadow w14:blurRad="50800" w14:dist="38100" w14:dir="2700000" w14:sx="100000" w14:sy="100000" w14:kx="0" w14:ky="0" w14:algn="tl">
            <w14:srgbClr w14:val="000000">
              <w14:alpha w14:val="60000"/>
            </w14:srgbClr>
          </w14:shadow>
        </w:rPr>
      </w:pPr>
    </w:p>
    <w:p w14:paraId="18244199" w14:textId="77777777" w:rsidR="005E5A10" w:rsidRPr="00C35CA8" w:rsidRDefault="005E5A10" w:rsidP="00AA7E7B">
      <w:pPr>
        <w:rPr>
          <w14:shadow w14:blurRad="50800" w14:dist="38100" w14:dir="2700000" w14:sx="100000" w14:sy="100000" w14:kx="0" w14:ky="0" w14:algn="tl">
            <w14:srgbClr w14:val="000000">
              <w14:alpha w14:val="60000"/>
            </w14:srgbClr>
          </w14:shadow>
        </w:rPr>
      </w:pPr>
    </w:p>
    <w:p w14:paraId="41F54148" w14:textId="77777777" w:rsidR="005E5A10" w:rsidRPr="00C35CA8" w:rsidRDefault="005E5A10" w:rsidP="00AA7E7B">
      <w:pPr>
        <w:jc w:val="center"/>
        <w:rPr>
          <w14:shadow w14:blurRad="50800" w14:dist="38100" w14:dir="2700000" w14:sx="100000" w14:sy="100000" w14:kx="0" w14:ky="0" w14:algn="tl">
            <w14:srgbClr w14:val="000000">
              <w14:alpha w14:val="60000"/>
            </w14:srgbClr>
          </w14:shadow>
        </w:rPr>
      </w:pPr>
    </w:p>
    <w:p w14:paraId="78D6318F" w14:textId="77777777" w:rsidR="005E5A10" w:rsidRPr="00C35CA8" w:rsidRDefault="005E5A10" w:rsidP="00AA7E7B">
      <w:pPr>
        <w:spacing w:before="120" w:after="0"/>
        <w:ind w:firstLine="0"/>
        <w:jc w:val="center"/>
        <w:rPr>
          <w:rFonts w:ascii="Calibri" w:hAnsi="Calibri"/>
          <w:caps/>
          <w14:shadow w14:blurRad="50800" w14:dist="38100" w14:dir="2700000" w14:sx="100000" w14:sy="100000" w14:kx="0" w14:ky="0" w14:algn="tl">
            <w14:srgbClr w14:val="000000">
              <w14:alpha w14:val="60000"/>
            </w14:srgbClr>
          </w14:shadow>
        </w:rPr>
      </w:pPr>
      <w:r w:rsidRPr="00C35CA8">
        <w:rPr>
          <w:rFonts w:ascii="Calibri" w:hAnsi="Calibri"/>
          <w:caps/>
          <w14:shadow w14:blurRad="50800" w14:dist="38100" w14:dir="2700000" w14:sx="100000" w14:sy="100000" w14:kx="0" w14:ky="0" w14:algn="tl">
            <w14:srgbClr w14:val="000000">
              <w14:alpha w14:val="60000"/>
            </w14:srgbClr>
          </w14:shadow>
        </w:rPr>
        <w:t>Sekcia služieb zamestnanosti</w:t>
      </w:r>
    </w:p>
    <w:p w14:paraId="4C3822F3"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20A1A29D"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73E82ECF"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2D58A9DF"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3D798E6D" w14:textId="77777777" w:rsidR="005E5A10" w:rsidRPr="00C35CA8" w:rsidRDefault="005E5A10" w:rsidP="00AA7E7B">
      <w:pPr>
        <w:tabs>
          <w:tab w:val="left" w:pos="3195"/>
          <w:tab w:val="center" w:pos="4536"/>
        </w:tabs>
        <w:spacing w:before="120" w:after="0"/>
        <w:ind w:firstLine="0"/>
        <w:rPr>
          <w:rFonts w:ascii="Calibri" w:hAnsi="Calibri"/>
          <w:b/>
          <w:caps/>
          <w:sz w:val="36"/>
          <w14:shadow w14:blurRad="50800" w14:dist="38100" w14:dir="2700000" w14:sx="100000" w14:sy="100000" w14:kx="0" w14:ky="0" w14:algn="tl">
            <w14:srgbClr w14:val="000000">
              <w14:alpha w14:val="60000"/>
            </w14:srgbClr>
          </w14:shadow>
        </w:rPr>
      </w:pPr>
    </w:p>
    <w:p w14:paraId="7B59D132"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C35CA8">
        <w:rPr>
          <w:rFonts w:ascii="Calibri" w:hAnsi="Calibri"/>
          <w:b/>
          <w:caps/>
          <w:sz w:val="36"/>
          <w14:shadow w14:blurRad="50800" w14:dist="38100" w14:dir="2700000" w14:sx="100000" w14:sy="100000" w14:kx="0" w14:ky="0" w14:algn="tl">
            <w14:srgbClr w14:val="000000">
              <w14:alpha w14:val="60000"/>
            </w14:srgbClr>
          </w14:shadow>
        </w:rPr>
        <w:t>Vyhodnotenie</w:t>
      </w:r>
    </w:p>
    <w:p w14:paraId="3FBB770E" w14:textId="77777777" w:rsidR="005E5A10" w:rsidRPr="00C35CA8" w:rsidRDefault="005E5A10" w:rsidP="00AA7E7B">
      <w:pPr>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C35CA8">
        <w:rPr>
          <w:rFonts w:ascii="Calibri" w:hAnsi="Calibri"/>
          <w:b/>
          <w:caps/>
          <w:sz w:val="36"/>
          <w14:shadow w14:blurRad="50800" w14:dist="38100" w14:dir="2700000" w14:sx="100000" w14:sy="100000" w14:kx="0" w14:ky="0" w14:algn="tl">
            <w14:srgbClr w14:val="000000">
              <w14:alpha w14:val="60000"/>
            </w14:srgbClr>
          </w14:shadow>
        </w:rPr>
        <w:t xml:space="preserve">uplatňovania aktívnych opatrení na trhu práce </w:t>
      </w:r>
    </w:p>
    <w:p w14:paraId="15D332B9" w14:textId="168CA2F5" w:rsidR="005E5A10" w:rsidRPr="00C35CA8" w:rsidRDefault="005E5A10" w:rsidP="00AA7E7B">
      <w:pPr>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C35CA8">
        <w:rPr>
          <w:rFonts w:ascii="Calibri" w:hAnsi="Calibri"/>
          <w:b/>
          <w:caps/>
          <w:sz w:val="36"/>
          <w14:shadow w14:blurRad="50800" w14:dist="38100" w14:dir="2700000" w14:sx="100000" w14:sy="100000" w14:kx="0" w14:ky="0" w14:algn="tl">
            <w14:srgbClr w14:val="000000">
              <w14:alpha w14:val="60000"/>
            </w14:srgbClr>
          </w14:shadow>
        </w:rPr>
        <w:t>za rok 20</w:t>
      </w:r>
      <w:r w:rsidR="00E71F5D" w:rsidRPr="00C35CA8">
        <w:rPr>
          <w:rFonts w:ascii="Calibri" w:hAnsi="Calibri"/>
          <w:b/>
          <w:caps/>
          <w:sz w:val="36"/>
          <w14:shadow w14:blurRad="50800" w14:dist="38100" w14:dir="2700000" w14:sx="100000" w14:sy="100000" w14:kx="0" w14:ky="0" w14:algn="tl">
            <w14:srgbClr w14:val="000000">
              <w14:alpha w14:val="60000"/>
            </w14:srgbClr>
          </w14:shadow>
        </w:rPr>
        <w:t>2</w:t>
      </w:r>
      <w:r w:rsidR="00812D3D">
        <w:rPr>
          <w:rFonts w:ascii="Calibri" w:hAnsi="Calibri"/>
          <w:b/>
          <w:caps/>
          <w:sz w:val="36"/>
          <w14:shadow w14:blurRad="50800" w14:dist="38100" w14:dir="2700000" w14:sx="100000" w14:sy="100000" w14:kx="0" w14:ky="0" w14:algn="tl">
            <w14:srgbClr w14:val="000000">
              <w14:alpha w14:val="60000"/>
            </w14:srgbClr>
          </w14:shadow>
        </w:rPr>
        <w:t>4</w:t>
      </w:r>
    </w:p>
    <w:p w14:paraId="624DA67E" w14:textId="77777777" w:rsidR="005E5A10" w:rsidRPr="00C35CA8" w:rsidRDefault="005E5A10" w:rsidP="00AA7E7B">
      <w:pPr>
        <w:spacing w:before="120" w:after="0"/>
        <w:ind w:firstLine="0"/>
        <w:jc w:val="center"/>
        <w:rPr>
          <w:rFonts w:ascii="Calibri" w:hAnsi="Calibri"/>
          <w:b/>
          <w:caps/>
          <w:highlight w:val="yellow"/>
          <w:u w:val="thick"/>
          <w14:shadow w14:blurRad="50800" w14:dist="38100" w14:dir="2700000" w14:sx="100000" w14:sy="100000" w14:kx="0" w14:ky="0" w14:algn="tl">
            <w14:srgbClr w14:val="000000">
              <w14:alpha w14:val="60000"/>
            </w14:srgbClr>
          </w14:shadow>
        </w:rPr>
      </w:pPr>
    </w:p>
    <w:p w14:paraId="57F90DF5"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08995636"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7D8CFFCC"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253E3F6E"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60141E6C"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7EE00FAA"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74C5E551" w14:textId="77777777" w:rsidR="005E5A10" w:rsidRPr="00C35CA8" w:rsidRDefault="005E5A10" w:rsidP="00AA7E7B">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14:paraId="66FB384E" w14:textId="77777777" w:rsidR="00F974A4" w:rsidRPr="00C35CA8" w:rsidRDefault="00F974A4" w:rsidP="00AA7E7B">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14:paraId="4EABE71F" w14:textId="77777777" w:rsidR="00F974A4" w:rsidRPr="00C35CA8" w:rsidRDefault="00F974A4" w:rsidP="00AA7E7B">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14:paraId="33CE617C" w14:textId="77777777" w:rsidR="005E5A10" w:rsidRPr="00C35CA8" w:rsidRDefault="005E5A10" w:rsidP="00AA7E7B">
      <w:pPr>
        <w:ind w:firstLine="0"/>
        <w:rPr>
          <w:highlight w:val="yellow"/>
          <w14:shadow w14:blurRad="50800" w14:dist="38100" w14:dir="2700000" w14:sx="100000" w14:sy="100000" w14:kx="0" w14:ky="0" w14:algn="tl">
            <w14:srgbClr w14:val="000000">
              <w14:alpha w14:val="60000"/>
            </w14:srgbClr>
          </w14:shadow>
        </w:rPr>
      </w:pPr>
    </w:p>
    <w:p w14:paraId="0F7EA7FE" w14:textId="77777777" w:rsidR="00EA625D" w:rsidRPr="00C35CA8" w:rsidRDefault="00EA625D" w:rsidP="00AA7E7B">
      <w:pPr>
        <w:ind w:firstLine="0"/>
        <w:rPr>
          <w:highlight w:val="yellow"/>
          <w14:shadow w14:blurRad="50800" w14:dist="38100" w14:dir="2700000" w14:sx="100000" w14:sy="100000" w14:kx="0" w14:ky="0" w14:algn="tl">
            <w14:srgbClr w14:val="000000">
              <w14:alpha w14:val="60000"/>
            </w14:srgbClr>
          </w14:shadow>
        </w:rPr>
      </w:pPr>
    </w:p>
    <w:p w14:paraId="08FF7BDE" w14:textId="77777777" w:rsidR="005E5A10" w:rsidRPr="00C35CA8" w:rsidRDefault="005E5A10" w:rsidP="00AA7E7B">
      <w:pPr>
        <w:rPr>
          <w:highlight w:val="yellow"/>
          <w14:shadow w14:blurRad="50800" w14:dist="38100" w14:dir="2700000" w14:sx="100000" w14:sy="100000" w14:kx="0" w14:ky="0" w14:algn="tl">
            <w14:srgbClr w14:val="000000">
              <w14:alpha w14:val="60000"/>
            </w14:srgbClr>
          </w14:shadow>
        </w:rPr>
      </w:pPr>
    </w:p>
    <w:p w14:paraId="4C3F96CA" w14:textId="55C602AD" w:rsidR="005E5A10" w:rsidRPr="00C35CA8" w:rsidRDefault="005E5A10" w:rsidP="00AA7E7B">
      <w:pPr>
        <w:pBdr>
          <w:top w:val="single" w:sz="4" w:space="1" w:color="auto"/>
        </w:pBdr>
        <w:spacing w:after="0"/>
        <w:ind w:firstLine="0"/>
        <w:jc w:val="center"/>
        <w:rPr>
          <w:rFonts w:ascii="Calibri" w:hAnsi="Calibri"/>
          <w:caps/>
          <w14:shadow w14:blurRad="50800" w14:dist="38100" w14:dir="2700000" w14:sx="100000" w14:sy="100000" w14:kx="0" w14:ky="0" w14:algn="tl">
            <w14:srgbClr w14:val="000000">
              <w14:alpha w14:val="60000"/>
            </w14:srgbClr>
          </w14:shadow>
        </w:rPr>
      </w:pPr>
      <w:r w:rsidRPr="00C35CA8">
        <w:rPr>
          <w:rFonts w:ascii="Calibri" w:hAnsi="Calibri"/>
          <w14:shadow w14:blurRad="50800" w14:dist="38100" w14:dir="2700000" w14:sx="100000" w14:sy="100000" w14:kx="0" w14:ky="0" w14:algn="tl">
            <w14:srgbClr w14:val="000000">
              <w14:alpha w14:val="60000"/>
            </w14:srgbClr>
          </w14:shadow>
        </w:rPr>
        <w:t>máj</w:t>
      </w:r>
      <w:r w:rsidR="00811839" w:rsidRPr="00C35CA8">
        <w:rPr>
          <w:rFonts w:ascii="Calibri" w:hAnsi="Calibri"/>
          <w:caps/>
          <w14:shadow w14:blurRad="50800" w14:dist="38100" w14:dir="2700000" w14:sx="100000" w14:sy="100000" w14:kx="0" w14:ky="0" w14:algn="tl">
            <w14:srgbClr w14:val="000000">
              <w14:alpha w14:val="60000"/>
            </w14:srgbClr>
          </w14:shadow>
        </w:rPr>
        <w:t xml:space="preserve"> 202</w:t>
      </w:r>
      <w:r w:rsidR="00812D3D">
        <w:rPr>
          <w:rFonts w:ascii="Calibri" w:hAnsi="Calibri"/>
          <w:caps/>
          <w14:shadow w14:blurRad="50800" w14:dist="38100" w14:dir="2700000" w14:sx="100000" w14:sy="100000" w14:kx="0" w14:ky="0" w14:algn="tl">
            <w14:srgbClr w14:val="000000">
              <w14:alpha w14:val="60000"/>
            </w14:srgbClr>
          </w14:shadow>
        </w:rPr>
        <w:t>5</w:t>
      </w:r>
    </w:p>
    <w:p w14:paraId="3E88A47E" w14:textId="77777777" w:rsidR="007D1D81" w:rsidRPr="00C35CA8" w:rsidRDefault="007D1D81" w:rsidP="00AA7E7B">
      <w:pPr>
        <w:rPr>
          <w:rFonts w:asciiTheme="minorHAnsi" w:hAnsiTheme="minorHAnsi" w:cstheme="minorHAnsi"/>
          <w:b/>
          <w14:shadow w14:blurRad="50800" w14:dist="38100" w14:dir="2700000" w14:sx="100000" w14:sy="100000" w14:kx="0" w14:ky="0" w14:algn="tl">
            <w14:srgbClr w14:val="000000">
              <w14:alpha w14:val="60000"/>
            </w14:srgbClr>
          </w14:shadow>
        </w:rPr>
      </w:pPr>
      <w:bookmarkStart w:id="1" w:name="_Toc263155249"/>
    </w:p>
    <w:p w14:paraId="1B1B38D6" w14:textId="77777777" w:rsidR="000431CF" w:rsidRPr="00C35CA8" w:rsidRDefault="000431CF" w:rsidP="00AA7E7B">
      <w:pPr>
        <w:rPr>
          <w:b/>
          <w14:shadow w14:blurRad="50800" w14:dist="38100" w14:dir="2700000" w14:sx="100000" w14:sy="100000" w14:kx="0" w14:ky="0" w14:algn="tl">
            <w14:srgbClr w14:val="000000">
              <w14:alpha w14:val="60000"/>
            </w14:srgbClr>
          </w14:shadow>
        </w:rPr>
      </w:pPr>
      <w:r w:rsidRPr="00C35CA8">
        <w:rPr>
          <w:b/>
          <w14:shadow w14:blurRad="50800" w14:dist="38100" w14:dir="2700000" w14:sx="100000" w14:sy="100000" w14:kx="0" w14:ky="0" w14:algn="tl">
            <w14:srgbClr w14:val="000000">
              <w14:alpha w14:val="60000"/>
            </w14:srgbClr>
          </w14:shadow>
        </w:rPr>
        <w:lastRenderedPageBreak/>
        <w:t>OBSAH</w:t>
      </w:r>
    </w:p>
    <w:bookmarkStart w:id="2" w:name="_Toc360447281"/>
    <w:bookmarkStart w:id="3" w:name="_Toc37094576"/>
    <w:p w14:paraId="430C2FFC" w14:textId="60926A3B" w:rsidR="00EB2B2E" w:rsidRPr="00F3004A" w:rsidRDefault="00EB2B2E">
      <w:pPr>
        <w:pStyle w:val="Obsah1"/>
        <w:rPr>
          <w:rFonts w:eastAsiaTheme="minorEastAsia"/>
          <w:b w:val="0"/>
          <w:bCs w:val="0"/>
          <w:caps w:val="0"/>
          <w:lang w:eastAsia="sk-SK"/>
        </w:rPr>
      </w:pPr>
      <w:r>
        <w:rPr>
          <w:bCs w:val="0"/>
          <w:iCs/>
          <w:caps w:val="0"/>
          <w:noProof w:val="0"/>
          <w:color w:val="548DD4" w:themeColor="text2" w:themeTint="99"/>
        </w:rPr>
        <w:fldChar w:fldCharType="begin"/>
      </w:r>
      <w:r>
        <w:rPr>
          <w:bCs w:val="0"/>
          <w:iCs/>
          <w:caps w:val="0"/>
          <w:noProof w:val="0"/>
          <w:color w:val="548DD4" w:themeColor="text2" w:themeTint="99"/>
        </w:rPr>
        <w:instrText xml:space="preserve"> TOC \o "1-4" \h \z \u </w:instrText>
      </w:r>
      <w:r>
        <w:rPr>
          <w:bCs w:val="0"/>
          <w:iCs/>
          <w:caps w:val="0"/>
          <w:noProof w:val="0"/>
          <w:color w:val="548DD4" w:themeColor="text2" w:themeTint="99"/>
        </w:rPr>
        <w:fldChar w:fldCharType="separate"/>
      </w:r>
      <w:hyperlink w:anchor="_Toc199230805" w:history="1">
        <w:r w:rsidRPr="00F3004A">
          <w:rPr>
            <w:rStyle w:val="Hypertextovprepojenie"/>
          </w:rPr>
          <w:t>1</w:t>
        </w:r>
        <w:r w:rsidRPr="00F3004A">
          <w:rPr>
            <w:rFonts w:eastAsiaTheme="minorEastAsia"/>
            <w:b w:val="0"/>
            <w:bCs w:val="0"/>
            <w:caps w:val="0"/>
            <w:lang w:eastAsia="sk-SK"/>
          </w:rPr>
          <w:tab/>
        </w:r>
        <w:r w:rsidRPr="00F3004A">
          <w:rPr>
            <w:rStyle w:val="Hypertextovprepojenie"/>
          </w:rPr>
          <w:t>Slovenská ekonomika v roku 2024</w:t>
        </w:r>
        <w:r w:rsidRPr="00F3004A">
          <w:rPr>
            <w:webHidden/>
          </w:rPr>
          <w:tab/>
        </w:r>
        <w:r w:rsidRPr="00F3004A">
          <w:rPr>
            <w:webHidden/>
          </w:rPr>
          <w:fldChar w:fldCharType="begin"/>
        </w:r>
        <w:r w:rsidRPr="00F3004A">
          <w:rPr>
            <w:webHidden/>
          </w:rPr>
          <w:instrText xml:space="preserve"> PAGEREF _Toc199230805 \h </w:instrText>
        </w:r>
        <w:r w:rsidRPr="00F3004A">
          <w:rPr>
            <w:webHidden/>
          </w:rPr>
        </w:r>
        <w:r w:rsidRPr="00F3004A">
          <w:rPr>
            <w:webHidden/>
          </w:rPr>
          <w:fldChar w:fldCharType="separate"/>
        </w:r>
        <w:r w:rsidRPr="00F3004A">
          <w:rPr>
            <w:webHidden/>
          </w:rPr>
          <w:t>6</w:t>
        </w:r>
        <w:r w:rsidRPr="00F3004A">
          <w:rPr>
            <w:webHidden/>
          </w:rPr>
          <w:fldChar w:fldCharType="end"/>
        </w:r>
      </w:hyperlink>
    </w:p>
    <w:p w14:paraId="4599AAEB" w14:textId="202B7541" w:rsidR="00EB2B2E" w:rsidRPr="00F3004A" w:rsidRDefault="00C6032B">
      <w:pPr>
        <w:pStyle w:val="Obsah1"/>
        <w:rPr>
          <w:rFonts w:eastAsiaTheme="minorEastAsia"/>
          <w:b w:val="0"/>
          <w:bCs w:val="0"/>
          <w:caps w:val="0"/>
          <w:lang w:eastAsia="sk-SK"/>
        </w:rPr>
      </w:pPr>
      <w:hyperlink w:anchor="_Toc199230806" w:history="1">
        <w:r w:rsidR="00EB2B2E" w:rsidRPr="00F3004A">
          <w:rPr>
            <w:rStyle w:val="Hypertextovprepojenie"/>
          </w:rPr>
          <w:t>2</w:t>
        </w:r>
        <w:r w:rsidR="00EB2B2E" w:rsidRPr="00F3004A">
          <w:rPr>
            <w:rFonts w:eastAsiaTheme="minorEastAsia"/>
            <w:b w:val="0"/>
            <w:bCs w:val="0"/>
            <w:caps w:val="0"/>
            <w:lang w:eastAsia="sk-SK"/>
          </w:rPr>
          <w:tab/>
        </w:r>
        <w:r w:rsidR="00EB2B2E" w:rsidRPr="00F3004A">
          <w:rPr>
            <w:rStyle w:val="Hypertextovprepojenie"/>
          </w:rPr>
          <w:t>AKTÍVNA POLITIKA TRHU PRÁCE - NÁSTROJ ZNIŽOVANIA NEROVNOVÁHY NA TRHU PRÁCE</w:t>
        </w:r>
        <w:r w:rsidR="00EB2B2E" w:rsidRPr="00F3004A">
          <w:rPr>
            <w:webHidden/>
          </w:rPr>
          <w:tab/>
        </w:r>
        <w:r w:rsidR="00EB2B2E" w:rsidRPr="00F3004A">
          <w:rPr>
            <w:webHidden/>
          </w:rPr>
          <w:fldChar w:fldCharType="begin"/>
        </w:r>
        <w:r w:rsidR="00EB2B2E" w:rsidRPr="00F3004A">
          <w:rPr>
            <w:webHidden/>
          </w:rPr>
          <w:instrText xml:space="preserve"> PAGEREF _Toc199230806 \h </w:instrText>
        </w:r>
        <w:r w:rsidR="00EB2B2E" w:rsidRPr="00F3004A">
          <w:rPr>
            <w:webHidden/>
          </w:rPr>
        </w:r>
        <w:r w:rsidR="00EB2B2E" w:rsidRPr="00F3004A">
          <w:rPr>
            <w:webHidden/>
          </w:rPr>
          <w:fldChar w:fldCharType="separate"/>
        </w:r>
        <w:r w:rsidR="00EB2B2E" w:rsidRPr="00F3004A">
          <w:rPr>
            <w:webHidden/>
          </w:rPr>
          <w:t>12</w:t>
        </w:r>
        <w:r w:rsidR="00EB2B2E" w:rsidRPr="00F3004A">
          <w:rPr>
            <w:webHidden/>
          </w:rPr>
          <w:fldChar w:fldCharType="end"/>
        </w:r>
      </w:hyperlink>
    </w:p>
    <w:p w14:paraId="333EC114" w14:textId="53D7E93C" w:rsidR="00EB2B2E" w:rsidRPr="00F3004A" w:rsidRDefault="00C6032B">
      <w:pPr>
        <w:pStyle w:val="Obsah2"/>
        <w:rPr>
          <w:rFonts w:eastAsiaTheme="minorEastAsia"/>
          <w:b w:val="0"/>
          <w:bCs w:val="0"/>
        </w:rPr>
      </w:pPr>
      <w:hyperlink w:anchor="_Toc199230807" w:history="1">
        <w:r w:rsidR="00EB2B2E" w:rsidRPr="00F3004A">
          <w:rPr>
            <w:rStyle w:val="Hypertextovprepojenie"/>
          </w:rPr>
          <w:t>2.1</w:t>
        </w:r>
        <w:r w:rsidR="00EB2B2E" w:rsidRPr="00F3004A">
          <w:rPr>
            <w:rFonts w:eastAsiaTheme="minorEastAsia"/>
            <w:b w:val="0"/>
            <w:bCs w:val="0"/>
          </w:rPr>
          <w:tab/>
        </w:r>
        <w:r w:rsidR="00EB2B2E" w:rsidRPr="00F3004A">
          <w:rPr>
            <w:rStyle w:val="Hypertextovprepojenie"/>
          </w:rPr>
          <w:t>Štátna pomoc a minimálna pomoc podnikom</w:t>
        </w:r>
        <w:r w:rsidR="00EB2B2E" w:rsidRPr="00F3004A">
          <w:rPr>
            <w:webHidden/>
          </w:rPr>
          <w:tab/>
        </w:r>
        <w:r w:rsidR="00EB2B2E" w:rsidRPr="00F3004A">
          <w:rPr>
            <w:webHidden/>
          </w:rPr>
          <w:fldChar w:fldCharType="begin"/>
        </w:r>
        <w:r w:rsidR="00EB2B2E" w:rsidRPr="00F3004A">
          <w:rPr>
            <w:webHidden/>
          </w:rPr>
          <w:instrText xml:space="preserve"> PAGEREF _Toc199230807 \h </w:instrText>
        </w:r>
        <w:r w:rsidR="00EB2B2E" w:rsidRPr="00F3004A">
          <w:rPr>
            <w:webHidden/>
          </w:rPr>
        </w:r>
        <w:r w:rsidR="00EB2B2E" w:rsidRPr="00F3004A">
          <w:rPr>
            <w:webHidden/>
          </w:rPr>
          <w:fldChar w:fldCharType="separate"/>
        </w:r>
        <w:r w:rsidR="00EB2B2E" w:rsidRPr="00F3004A">
          <w:rPr>
            <w:webHidden/>
          </w:rPr>
          <w:t>14</w:t>
        </w:r>
        <w:r w:rsidR="00EB2B2E" w:rsidRPr="00F3004A">
          <w:rPr>
            <w:webHidden/>
          </w:rPr>
          <w:fldChar w:fldCharType="end"/>
        </w:r>
      </w:hyperlink>
    </w:p>
    <w:p w14:paraId="0981EF97" w14:textId="2FCF8145" w:rsidR="00EB2B2E" w:rsidRPr="00F3004A" w:rsidRDefault="00C6032B">
      <w:pPr>
        <w:pStyle w:val="Obsah2"/>
        <w:rPr>
          <w:rFonts w:eastAsiaTheme="minorEastAsia"/>
          <w:b w:val="0"/>
          <w:bCs w:val="0"/>
        </w:rPr>
      </w:pPr>
      <w:hyperlink w:anchor="_Toc199230808" w:history="1">
        <w:r w:rsidR="00EB2B2E" w:rsidRPr="00F3004A">
          <w:rPr>
            <w:rStyle w:val="Hypertextovprepojenie"/>
          </w:rPr>
          <w:t>2.2</w:t>
        </w:r>
        <w:r w:rsidR="00EB2B2E" w:rsidRPr="00F3004A">
          <w:rPr>
            <w:rFonts w:eastAsiaTheme="minorEastAsia"/>
            <w:b w:val="0"/>
            <w:bCs w:val="0"/>
          </w:rPr>
          <w:tab/>
        </w:r>
        <w:r w:rsidR="00EB2B2E" w:rsidRPr="00F3004A">
          <w:rPr>
            <w:rStyle w:val="Hypertextovprepojenie"/>
          </w:rPr>
          <w:t>Aktívne opatrenia na trhu práce</w:t>
        </w:r>
        <w:r w:rsidR="00EB2B2E" w:rsidRPr="00F3004A">
          <w:rPr>
            <w:webHidden/>
          </w:rPr>
          <w:tab/>
        </w:r>
        <w:r w:rsidR="00EB2B2E" w:rsidRPr="00F3004A">
          <w:rPr>
            <w:webHidden/>
          </w:rPr>
          <w:fldChar w:fldCharType="begin"/>
        </w:r>
        <w:r w:rsidR="00EB2B2E" w:rsidRPr="00F3004A">
          <w:rPr>
            <w:webHidden/>
          </w:rPr>
          <w:instrText xml:space="preserve"> PAGEREF _Toc199230808 \h </w:instrText>
        </w:r>
        <w:r w:rsidR="00EB2B2E" w:rsidRPr="00F3004A">
          <w:rPr>
            <w:webHidden/>
          </w:rPr>
        </w:r>
        <w:r w:rsidR="00EB2B2E" w:rsidRPr="00F3004A">
          <w:rPr>
            <w:webHidden/>
          </w:rPr>
          <w:fldChar w:fldCharType="separate"/>
        </w:r>
        <w:r w:rsidR="00EB2B2E" w:rsidRPr="00F3004A">
          <w:rPr>
            <w:webHidden/>
          </w:rPr>
          <w:t>18</w:t>
        </w:r>
        <w:r w:rsidR="00EB2B2E" w:rsidRPr="00F3004A">
          <w:rPr>
            <w:webHidden/>
          </w:rPr>
          <w:fldChar w:fldCharType="end"/>
        </w:r>
      </w:hyperlink>
    </w:p>
    <w:p w14:paraId="58D126BB" w14:textId="2E816553" w:rsidR="00EB2B2E" w:rsidRPr="00F3004A" w:rsidRDefault="00C6032B" w:rsidP="00F65B19">
      <w:pPr>
        <w:pStyle w:val="Obsah3"/>
        <w:rPr>
          <w:rFonts w:eastAsiaTheme="minorEastAsia"/>
        </w:rPr>
      </w:pPr>
      <w:hyperlink w:anchor="_Toc199230809" w:history="1">
        <w:r w:rsidR="00EB2B2E" w:rsidRPr="00F3004A">
          <w:rPr>
            <w:rStyle w:val="Hypertextovprepojenie"/>
          </w:rPr>
          <w:t>2.2.1</w:t>
        </w:r>
        <w:r w:rsidR="00EB2B2E" w:rsidRPr="00F3004A">
          <w:rPr>
            <w:rFonts w:eastAsiaTheme="minorEastAsia"/>
          </w:rPr>
          <w:tab/>
        </w:r>
        <w:r w:rsidR="00EB2B2E" w:rsidRPr="00F3004A">
          <w:rPr>
            <w:rStyle w:val="Hypertextovprepojenie"/>
          </w:rPr>
          <w:t>Zvyšovanie zamestnateľnosti</w:t>
        </w:r>
        <w:r w:rsidR="00EB2B2E" w:rsidRPr="00F3004A">
          <w:rPr>
            <w:webHidden/>
          </w:rPr>
          <w:tab/>
        </w:r>
        <w:r w:rsidR="00EB2B2E" w:rsidRPr="00F3004A">
          <w:rPr>
            <w:webHidden/>
          </w:rPr>
          <w:fldChar w:fldCharType="begin"/>
        </w:r>
        <w:r w:rsidR="00EB2B2E" w:rsidRPr="00F3004A">
          <w:rPr>
            <w:webHidden/>
          </w:rPr>
          <w:instrText xml:space="preserve"> PAGEREF _Toc199230809 \h </w:instrText>
        </w:r>
        <w:r w:rsidR="00EB2B2E" w:rsidRPr="00F3004A">
          <w:rPr>
            <w:webHidden/>
          </w:rPr>
        </w:r>
        <w:r w:rsidR="00EB2B2E" w:rsidRPr="00F3004A">
          <w:rPr>
            <w:webHidden/>
          </w:rPr>
          <w:fldChar w:fldCharType="separate"/>
        </w:r>
        <w:r w:rsidR="00EB2B2E" w:rsidRPr="00F3004A">
          <w:rPr>
            <w:webHidden/>
          </w:rPr>
          <w:t>18</w:t>
        </w:r>
        <w:r w:rsidR="00EB2B2E" w:rsidRPr="00F3004A">
          <w:rPr>
            <w:webHidden/>
          </w:rPr>
          <w:fldChar w:fldCharType="end"/>
        </w:r>
      </w:hyperlink>
    </w:p>
    <w:p w14:paraId="6AC7BA95" w14:textId="665C1D0A" w:rsidR="00EB2B2E" w:rsidRPr="00F3004A" w:rsidRDefault="00C6032B" w:rsidP="00F65B19">
      <w:pPr>
        <w:pStyle w:val="Obsah3"/>
        <w:rPr>
          <w:rFonts w:eastAsiaTheme="minorEastAsia"/>
        </w:rPr>
      </w:pPr>
      <w:hyperlink w:anchor="_Toc199230810" w:history="1">
        <w:r w:rsidR="00EB2B2E" w:rsidRPr="00F3004A">
          <w:rPr>
            <w:rStyle w:val="Hypertextovprepojenie"/>
          </w:rPr>
          <w:t>2.2.2</w:t>
        </w:r>
        <w:r w:rsidR="00EB2B2E" w:rsidRPr="00F3004A">
          <w:rPr>
            <w:rFonts w:eastAsiaTheme="minorEastAsia"/>
          </w:rPr>
          <w:tab/>
        </w:r>
        <w:r w:rsidR="00EB2B2E" w:rsidRPr="00F3004A">
          <w:rPr>
            <w:rStyle w:val="Hypertextovprepojenie"/>
          </w:rPr>
          <w:t>Zvyšovanie zamestnanosti</w:t>
        </w:r>
        <w:r w:rsidR="00EB2B2E" w:rsidRPr="00F3004A">
          <w:rPr>
            <w:webHidden/>
          </w:rPr>
          <w:tab/>
        </w:r>
        <w:r w:rsidR="00EB2B2E" w:rsidRPr="00F3004A">
          <w:rPr>
            <w:webHidden/>
          </w:rPr>
          <w:fldChar w:fldCharType="begin"/>
        </w:r>
        <w:r w:rsidR="00EB2B2E" w:rsidRPr="00F3004A">
          <w:rPr>
            <w:webHidden/>
          </w:rPr>
          <w:instrText xml:space="preserve"> PAGEREF _Toc199230810 \h </w:instrText>
        </w:r>
        <w:r w:rsidR="00EB2B2E" w:rsidRPr="00F3004A">
          <w:rPr>
            <w:webHidden/>
          </w:rPr>
        </w:r>
        <w:r w:rsidR="00EB2B2E" w:rsidRPr="00F3004A">
          <w:rPr>
            <w:webHidden/>
          </w:rPr>
          <w:fldChar w:fldCharType="separate"/>
        </w:r>
        <w:r w:rsidR="00EB2B2E" w:rsidRPr="00F3004A">
          <w:rPr>
            <w:webHidden/>
          </w:rPr>
          <w:t>18</w:t>
        </w:r>
        <w:r w:rsidR="00EB2B2E" w:rsidRPr="00F3004A">
          <w:rPr>
            <w:webHidden/>
          </w:rPr>
          <w:fldChar w:fldCharType="end"/>
        </w:r>
      </w:hyperlink>
    </w:p>
    <w:p w14:paraId="0B4DE07E" w14:textId="46AF8AA2" w:rsidR="00EB2B2E" w:rsidRPr="00F3004A" w:rsidRDefault="00C6032B" w:rsidP="00F65B19">
      <w:pPr>
        <w:pStyle w:val="Obsah3"/>
        <w:rPr>
          <w:rFonts w:eastAsiaTheme="minorEastAsia"/>
        </w:rPr>
      </w:pPr>
      <w:hyperlink w:anchor="_Toc199230811" w:history="1">
        <w:r w:rsidR="00EB2B2E" w:rsidRPr="00F3004A">
          <w:rPr>
            <w:rStyle w:val="Hypertextovprepojenie"/>
          </w:rPr>
          <w:t>2.2.3</w:t>
        </w:r>
        <w:r w:rsidR="00EB2B2E" w:rsidRPr="00F3004A">
          <w:rPr>
            <w:rFonts w:eastAsiaTheme="minorEastAsia"/>
          </w:rPr>
          <w:tab/>
        </w:r>
        <w:r w:rsidR="00EB2B2E" w:rsidRPr="00F3004A">
          <w:rPr>
            <w:rStyle w:val="Hypertextovprepojenie"/>
          </w:rPr>
          <w:t>Udržanie existujúcich pracovných miest</w:t>
        </w:r>
        <w:r w:rsidR="00EB2B2E" w:rsidRPr="00F3004A">
          <w:rPr>
            <w:webHidden/>
          </w:rPr>
          <w:tab/>
        </w:r>
        <w:r w:rsidR="00EB2B2E" w:rsidRPr="00F3004A">
          <w:rPr>
            <w:webHidden/>
          </w:rPr>
          <w:fldChar w:fldCharType="begin"/>
        </w:r>
        <w:r w:rsidR="00EB2B2E" w:rsidRPr="00F3004A">
          <w:rPr>
            <w:webHidden/>
          </w:rPr>
          <w:instrText xml:space="preserve"> PAGEREF _Toc199230811 \h </w:instrText>
        </w:r>
        <w:r w:rsidR="00EB2B2E" w:rsidRPr="00F3004A">
          <w:rPr>
            <w:webHidden/>
          </w:rPr>
        </w:r>
        <w:r w:rsidR="00EB2B2E" w:rsidRPr="00F3004A">
          <w:rPr>
            <w:webHidden/>
          </w:rPr>
          <w:fldChar w:fldCharType="separate"/>
        </w:r>
        <w:r w:rsidR="00EB2B2E" w:rsidRPr="00F3004A">
          <w:rPr>
            <w:webHidden/>
          </w:rPr>
          <w:t>18</w:t>
        </w:r>
        <w:r w:rsidR="00EB2B2E" w:rsidRPr="00F3004A">
          <w:rPr>
            <w:webHidden/>
          </w:rPr>
          <w:fldChar w:fldCharType="end"/>
        </w:r>
      </w:hyperlink>
    </w:p>
    <w:p w14:paraId="45A9E6B7" w14:textId="202A5CEB" w:rsidR="00EB2B2E" w:rsidRPr="00F3004A" w:rsidRDefault="00C6032B">
      <w:pPr>
        <w:pStyle w:val="Obsah2"/>
        <w:rPr>
          <w:rFonts w:eastAsiaTheme="minorEastAsia"/>
          <w:b w:val="0"/>
          <w:bCs w:val="0"/>
        </w:rPr>
      </w:pPr>
      <w:hyperlink w:anchor="_Toc199230812" w:history="1">
        <w:r w:rsidR="00EB2B2E" w:rsidRPr="00F3004A">
          <w:rPr>
            <w:rStyle w:val="Hypertextovprepojenie"/>
          </w:rPr>
          <w:t>2.3</w:t>
        </w:r>
        <w:r w:rsidR="00EB2B2E" w:rsidRPr="00F3004A">
          <w:rPr>
            <w:rFonts w:eastAsiaTheme="minorEastAsia"/>
            <w:b w:val="0"/>
            <w:bCs w:val="0"/>
          </w:rPr>
          <w:tab/>
        </w:r>
        <w:r w:rsidR="00EB2B2E" w:rsidRPr="00F3004A">
          <w:rPr>
            <w:rStyle w:val="Hypertextovprepojenie"/>
          </w:rPr>
          <w:t>Využívanie aktívnych opatrení trhu práce v roku 2023</w:t>
        </w:r>
        <w:r w:rsidR="00EB2B2E" w:rsidRPr="00F3004A">
          <w:rPr>
            <w:webHidden/>
          </w:rPr>
          <w:tab/>
        </w:r>
        <w:r w:rsidR="00EB2B2E" w:rsidRPr="00F3004A">
          <w:rPr>
            <w:webHidden/>
          </w:rPr>
          <w:fldChar w:fldCharType="begin"/>
        </w:r>
        <w:r w:rsidR="00EB2B2E" w:rsidRPr="00F3004A">
          <w:rPr>
            <w:webHidden/>
          </w:rPr>
          <w:instrText xml:space="preserve"> PAGEREF _Toc199230812 \h </w:instrText>
        </w:r>
        <w:r w:rsidR="00EB2B2E" w:rsidRPr="00F3004A">
          <w:rPr>
            <w:webHidden/>
          </w:rPr>
        </w:r>
        <w:r w:rsidR="00EB2B2E" w:rsidRPr="00F3004A">
          <w:rPr>
            <w:webHidden/>
          </w:rPr>
          <w:fldChar w:fldCharType="separate"/>
        </w:r>
        <w:r w:rsidR="00EB2B2E" w:rsidRPr="00F3004A">
          <w:rPr>
            <w:webHidden/>
          </w:rPr>
          <w:t>18</w:t>
        </w:r>
        <w:r w:rsidR="00EB2B2E" w:rsidRPr="00F3004A">
          <w:rPr>
            <w:webHidden/>
          </w:rPr>
          <w:fldChar w:fldCharType="end"/>
        </w:r>
      </w:hyperlink>
    </w:p>
    <w:p w14:paraId="2204C303" w14:textId="2189DF16" w:rsidR="00EB2B2E" w:rsidRPr="00F3004A" w:rsidRDefault="00C6032B">
      <w:pPr>
        <w:pStyle w:val="Obsah1"/>
        <w:rPr>
          <w:rFonts w:eastAsiaTheme="minorEastAsia"/>
          <w:b w:val="0"/>
          <w:bCs w:val="0"/>
          <w:caps w:val="0"/>
          <w:lang w:eastAsia="sk-SK"/>
        </w:rPr>
      </w:pPr>
      <w:hyperlink w:anchor="_Toc199230813" w:history="1">
        <w:r w:rsidR="00EB2B2E" w:rsidRPr="00F3004A">
          <w:rPr>
            <w:rStyle w:val="Hypertextovprepojenie"/>
          </w:rPr>
          <w:t>3</w:t>
        </w:r>
        <w:r w:rsidR="00EB2B2E" w:rsidRPr="00F3004A">
          <w:rPr>
            <w:rFonts w:eastAsiaTheme="minorEastAsia"/>
            <w:b w:val="0"/>
            <w:bCs w:val="0"/>
            <w:caps w:val="0"/>
            <w:lang w:eastAsia="sk-SK"/>
          </w:rPr>
          <w:tab/>
        </w:r>
        <w:r w:rsidR="00EB2B2E" w:rsidRPr="00F3004A">
          <w:rPr>
            <w:rStyle w:val="Hypertextovprepojenie"/>
          </w:rPr>
          <w:t>VYHODNOTENIE ČINNOSTI INFORMAČNÝCH A  SPROSTREDKOVATEĽSKÝCH SLUŽIEB ZA ROK 2022 V PÔSOBNOSTI ÚSTREDIA A ÚRADOV - § 32, § 42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_Toc199230813 \h </w:instrText>
        </w:r>
        <w:r w:rsidR="00EB2B2E" w:rsidRPr="00F3004A">
          <w:rPr>
            <w:webHidden/>
          </w:rPr>
        </w:r>
        <w:r w:rsidR="00EB2B2E" w:rsidRPr="00F3004A">
          <w:rPr>
            <w:webHidden/>
          </w:rPr>
          <w:fldChar w:fldCharType="separate"/>
        </w:r>
        <w:r w:rsidR="00EB2B2E" w:rsidRPr="00F3004A">
          <w:rPr>
            <w:webHidden/>
          </w:rPr>
          <w:t>20</w:t>
        </w:r>
        <w:r w:rsidR="00EB2B2E" w:rsidRPr="00F3004A">
          <w:rPr>
            <w:webHidden/>
          </w:rPr>
          <w:fldChar w:fldCharType="end"/>
        </w:r>
      </w:hyperlink>
    </w:p>
    <w:p w14:paraId="2BBA1D56" w14:textId="2BC0E96C" w:rsidR="00EB2B2E" w:rsidRPr="00F3004A" w:rsidRDefault="00C6032B">
      <w:pPr>
        <w:pStyle w:val="Obsah2"/>
        <w:rPr>
          <w:rFonts w:eastAsiaTheme="minorEastAsia"/>
          <w:b w:val="0"/>
          <w:bCs w:val="0"/>
        </w:rPr>
      </w:pPr>
      <w:hyperlink w:anchor="_Toc199230814" w:history="1">
        <w:r w:rsidR="00EB2B2E" w:rsidRPr="00F3004A">
          <w:rPr>
            <w:rStyle w:val="Hypertextovprepojenie"/>
          </w:rPr>
          <w:t>3.1</w:t>
        </w:r>
        <w:r w:rsidR="00EB2B2E" w:rsidRPr="00F3004A">
          <w:rPr>
            <w:rFonts w:eastAsiaTheme="minorEastAsia"/>
            <w:b w:val="0"/>
            <w:bCs w:val="0"/>
          </w:rPr>
          <w:tab/>
        </w:r>
        <w:r w:rsidR="00EB2B2E" w:rsidRPr="00F3004A">
          <w:rPr>
            <w:rStyle w:val="Hypertextovprepojenie"/>
          </w:rPr>
          <w:t>Vyhodnotenie činnosti úradov</w:t>
        </w:r>
        <w:r w:rsidR="00EB2B2E" w:rsidRPr="00F3004A">
          <w:rPr>
            <w:webHidden/>
          </w:rPr>
          <w:tab/>
        </w:r>
        <w:r w:rsidR="00EB2B2E" w:rsidRPr="00F3004A">
          <w:rPr>
            <w:webHidden/>
          </w:rPr>
          <w:fldChar w:fldCharType="begin"/>
        </w:r>
        <w:r w:rsidR="00EB2B2E" w:rsidRPr="00F3004A">
          <w:rPr>
            <w:webHidden/>
          </w:rPr>
          <w:instrText xml:space="preserve"> PAGEREF _Toc199230814 \h </w:instrText>
        </w:r>
        <w:r w:rsidR="00EB2B2E" w:rsidRPr="00F3004A">
          <w:rPr>
            <w:webHidden/>
          </w:rPr>
        </w:r>
        <w:r w:rsidR="00EB2B2E" w:rsidRPr="00F3004A">
          <w:rPr>
            <w:webHidden/>
          </w:rPr>
          <w:fldChar w:fldCharType="separate"/>
        </w:r>
        <w:r w:rsidR="00EB2B2E" w:rsidRPr="00F3004A">
          <w:rPr>
            <w:webHidden/>
          </w:rPr>
          <w:t>21</w:t>
        </w:r>
        <w:r w:rsidR="00EB2B2E" w:rsidRPr="00F3004A">
          <w:rPr>
            <w:webHidden/>
          </w:rPr>
          <w:fldChar w:fldCharType="end"/>
        </w:r>
      </w:hyperlink>
    </w:p>
    <w:p w14:paraId="1E043E84" w14:textId="0D23490F" w:rsidR="00EB2B2E" w:rsidRPr="00F3004A" w:rsidRDefault="00C6032B" w:rsidP="00F65B19">
      <w:pPr>
        <w:pStyle w:val="Obsah3"/>
        <w:rPr>
          <w:rFonts w:eastAsiaTheme="minorEastAsia"/>
        </w:rPr>
      </w:pPr>
      <w:hyperlink w:anchor="_Toc199230815" w:history="1">
        <w:r w:rsidR="00EB2B2E" w:rsidRPr="00F3004A">
          <w:rPr>
            <w:rStyle w:val="Hypertextovprepojenie"/>
            <w:lang w:eastAsia="en-US"/>
          </w:rPr>
          <w:t>3.1.1</w:t>
        </w:r>
        <w:r w:rsidR="00EB2B2E" w:rsidRPr="00F3004A">
          <w:rPr>
            <w:rFonts w:eastAsiaTheme="minorEastAsia"/>
          </w:rPr>
          <w:tab/>
        </w:r>
        <w:r w:rsidR="00EB2B2E" w:rsidRPr="00F3004A">
          <w:rPr>
            <w:rStyle w:val="Hypertextovprepojenie"/>
            <w:lang w:eastAsia="en-US"/>
          </w:rPr>
          <w:t>Spolupráca so zamestnávateľmi</w:t>
        </w:r>
        <w:r w:rsidR="00EB2B2E" w:rsidRPr="00F3004A">
          <w:rPr>
            <w:webHidden/>
          </w:rPr>
          <w:tab/>
        </w:r>
        <w:r w:rsidR="00EB2B2E" w:rsidRPr="00F3004A">
          <w:rPr>
            <w:webHidden/>
          </w:rPr>
          <w:fldChar w:fldCharType="begin"/>
        </w:r>
        <w:r w:rsidR="00EB2B2E" w:rsidRPr="00F3004A">
          <w:rPr>
            <w:webHidden/>
          </w:rPr>
          <w:instrText xml:space="preserve"> PAGEREF _Toc199230815 \h </w:instrText>
        </w:r>
        <w:r w:rsidR="00EB2B2E" w:rsidRPr="00F3004A">
          <w:rPr>
            <w:webHidden/>
          </w:rPr>
        </w:r>
        <w:r w:rsidR="00EB2B2E" w:rsidRPr="00F3004A">
          <w:rPr>
            <w:webHidden/>
          </w:rPr>
          <w:fldChar w:fldCharType="separate"/>
        </w:r>
        <w:r w:rsidR="00EB2B2E" w:rsidRPr="00F3004A">
          <w:rPr>
            <w:webHidden/>
          </w:rPr>
          <w:t>21</w:t>
        </w:r>
        <w:r w:rsidR="00EB2B2E" w:rsidRPr="00F3004A">
          <w:rPr>
            <w:webHidden/>
          </w:rPr>
          <w:fldChar w:fldCharType="end"/>
        </w:r>
      </w:hyperlink>
    </w:p>
    <w:p w14:paraId="23DF125D" w14:textId="414BDCBC" w:rsidR="00EB2B2E" w:rsidRPr="00F3004A" w:rsidRDefault="00C6032B" w:rsidP="00F65B19">
      <w:pPr>
        <w:pStyle w:val="Obsah3"/>
        <w:rPr>
          <w:rFonts w:eastAsiaTheme="minorEastAsia"/>
        </w:rPr>
      </w:pPr>
      <w:hyperlink w:anchor="_Toc199230816" w:history="1">
        <w:r w:rsidR="00EB2B2E" w:rsidRPr="00F3004A">
          <w:rPr>
            <w:rStyle w:val="Hypertextovprepojenie"/>
          </w:rPr>
          <w:t>3.1.2</w:t>
        </w:r>
        <w:r w:rsidR="00EB2B2E" w:rsidRPr="00F3004A">
          <w:rPr>
            <w:rFonts w:eastAsiaTheme="minorEastAsia"/>
          </w:rPr>
          <w:tab/>
        </w:r>
        <w:r w:rsidR="00EB2B2E" w:rsidRPr="00F3004A">
          <w:rPr>
            <w:rStyle w:val="Hypertextovprepojenie"/>
          </w:rPr>
          <w:t>Kontakt so zamestnávateľmi</w:t>
        </w:r>
        <w:r w:rsidR="00EB2B2E" w:rsidRPr="00F3004A">
          <w:rPr>
            <w:webHidden/>
          </w:rPr>
          <w:tab/>
        </w:r>
        <w:r w:rsidR="00EB2B2E" w:rsidRPr="00F3004A">
          <w:rPr>
            <w:webHidden/>
          </w:rPr>
          <w:fldChar w:fldCharType="begin"/>
        </w:r>
        <w:r w:rsidR="00EB2B2E" w:rsidRPr="00F3004A">
          <w:rPr>
            <w:webHidden/>
          </w:rPr>
          <w:instrText xml:space="preserve"> PAGEREF _Toc199230816 \h </w:instrText>
        </w:r>
        <w:r w:rsidR="00EB2B2E" w:rsidRPr="00F3004A">
          <w:rPr>
            <w:webHidden/>
          </w:rPr>
        </w:r>
        <w:r w:rsidR="00EB2B2E" w:rsidRPr="00F3004A">
          <w:rPr>
            <w:webHidden/>
          </w:rPr>
          <w:fldChar w:fldCharType="separate"/>
        </w:r>
        <w:r w:rsidR="00EB2B2E" w:rsidRPr="00F3004A">
          <w:rPr>
            <w:webHidden/>
          </w:rPr>
          <w:t>21</w:t>
        </w:r>
        <w:r w:rsidR="00EB2B2E" w:rsidRPr="00F3004A">
          <w:rPr>
            <w:webHidden/>
          </w:rPr>
          <w:fldChar w:fldCharType="end"/>
        </w:r>
      </w:hyperlink>
    </w:p>
    <w:p w14:paraId="3FD04D68" w14:textId="13657FFC" w:rsidR="00EB2B2E" w:rsidRPr="00F3004A" w:rsidRDefault="00C6032B" w:rsidP="00F65B19">
      <w:pPr>
        <w:pStyle w:val="Obsah3"/>
        <w:rPr>
          <w:rFonts w:eastAsiaTheme="minorEastAsia"/>
        </w:rPr>
      </w:pPr>
      <w:hyperlink w:anchor="_Toc199230817" w:history="1">
        <w:r w:rsidR="00EB2B2E" w:rsidRPr="00F3004A">
          <w:rPr>
            <w:rStyle w:val="Hypertextovprepojenie"/>
          </w:rPr>
          <w:t>3.1.3</w:t>
        </w:r>
        <w:r w:rsidR="00EB2B2E" w:rsidRPr="00F3004A">
          <w:rPr>
            <w:rFonts w:eastAsiaTheme="minorEastAsia"/>
          </w:rPr>
          <w:tab/>
        </w:r>
        <w:r w:rsidR="00EB2B2E" w:rsidRPr="00F3004A">
          <w:rPr>
            <w:rStyle w:val="Hypertextovprepojenie"/>
          </w:rPr>
          <w:t>Výberové konania</w:t>
        </w:r>
        <w:r w:rsidR="00EB2B2E" w:rsidRPr="00F3004A">
          <w:rPr>
            <w:webHidden/>
          </w:rPr>
          <w:tab/>
        </w:r>
        <w:r w:rsidR="00EB2B2E" w:rsidRPr="00F3004A">
          <w:rPr>
            <w:webHidden/>
          </w:rPr>
          <w:fldChar w:fldCharType="begin"/>
        </w:r>
        <w:r w:rsidR="00EB2B2E" w:rsidRPr="00F3004A">
          <w:rPr>
            <w:webHidden/>
          </w:rPr>
          <w:instrText xml:space="preserve"> PAGEREF _Toc199230817 \h </w:instrText>
        </w:r>
        <w:r w:rsidR="00EB2B2E" w:rsidRPr="00F3004A">
          <w:rPr>
            <w:webHidden/>
          </w:rPr>
        </w:r>
        <w:r w:rsidR="00EB2B2E" w:rsidRPr="00F3004A">
          <w:rPr>
            <w:webHidden/>
          </w:rPr>
          <w:fldChar w:fldCharType="separate"/>
        </w:r>
        <w:r w:rsidR="00EB2B2E" w:rsidRPr="00F3004A">
          <w:rPr>
            <w:webHidden/>
          </w:rPr>
          <w:t>22</w:t>
        </w:r>
        <w:r w:rsidR="00EB2B2E" w:rsidRPr="00F3004A">
          <w:rPr>
            <w:webHidden/>
          </w:rPr>
          <w:fldChar w:fldCharType="end"/>
        </w:r>
      </w:hyperlink>
    </w:p>
    <w:p w14:paraId="35365D88" w14:textId="206DD155" w:rsidR="00EB2B2E" w:rsidRPr="00F3004A" w:rsidRDefault="00C6032B" w:rsidP="00F65B19">
      <w:pPr>
        <w:pStyle w:val="Obsah3"/>
        <w:rPr>
          <w:rFonts w:eastAsiaTheme="minorEastAsia"/>
        </w:rPr>
      </w:pPr>
      <w:hyperlink w:anchor="_Toc199230818" w:history="1">
        <w:r w:rsidR="00EB2B2E" w:rsidRPr="00F3004A">
          <w:rPr>
            <w:rStyle w:val="Hypertextovprepojenie"/>
          </w:rPr>
          <w:t>3.1.4</w:t>
        </w:r>
        <w:r w:rsidR="00EB2B2E" w:rsidRPr="00F3004A">
          <w:rPr>
            <w:rFonts w:eastAsiaTheme="minorEastAsia"/>
          </w:rPr>
          <w:tab/>
        </w:r>
        <w:r w:rsidR="00EB2B2E" w:rsidRPr="00F3004A">
          <w:rPr>
            <w:rStyle w:val="Hypertextovprepojenie"/>
          </w:rPr>
          <w:t>Burzy práce a informácií</w:t>
        </w:r>
        <w:r w:rsidR="00EB2B2E" w:rsidRPr="00F3004A">
          <w:rPr>
            <w:webHidden/>
          </w:rPr>
          <w:tab/>
        </w:r>
        <w:r w:rsidR="00EB2B2E" w:rsidRPr="00F3004A">
          <w:rPr>
            <w:webHidden/>
          </w:rPr>
          <w:fldChar w:fldCharType="begin"/>
        </w:r>
        <w:r w:rsidR="00EB2B2E" w:rsidRPr="00F3004A">
          <w:rPr>
            <w:webHidden/>
          </w:rPr>
          <w:instrText xml:space="preserve"> PAGEREF _Toc199230818 \h </w:instrText>
        </w:r>
        <w:r w:rsidR="00EB2B2E" w:rsidRPr="00F3004A">
          <w:rPr>
            <w:webHidden/>
          </w:rPr>
        </w:r>
        <w:r w:rsidR="00EB2B2E" w:rsidRPr="00F3004A">
          <w:rPr>
            <w:webHidden/>
          </w:rPr>
          <w:fldChar w:fldCharType="separate"/>
        </w:r>
        <w:r w:rsidR="00EB2B2E" w:rsidRPr="00F3004A">
          <w:rPr>
            <w:webHidden/>
          </w:rPr>
          <w:t>22</w:t>
        </w:r>
        <w:r w:rsidR="00EB2B2E" w:rsidRPr="00F3004A">
          <w:rPr>
            <w:webHidden/>
          </w:rPr>
          <w:fldChar w:fldCharType="end"/>
        </w:r>
      </w:hyperlink>
    </w:p>
    <w:p w14:paraId="01AF0094" w14:textId="6434CA7D" w:rsidR="00EB2B2E" w:rsidRPr="00F3004A" w:rsidRDefault="00C6032B" w:rsidP="00F65B19">
      <w:pPr>
        <w:pStyle w:val="Obsah3"/>
        <w:rPr>
          <w:rFonts w:eastAsiaTheme="minorEastAsia"/>
        </w:rPr>
      </w:pPr>
      <w:hyperlink w:anchor="_Toc199230819" w:history="1">
        <w:r w:rsidR="00EB2B2E" w:rsidRPr="00F3004A">
          <w:rPr>
            <w:rStyle w:val="Hypertextovprepojenie"/>
          </w:rPr>
          <w:t>3.1.5</w:t>
        </w:r>
        <w:r w:rsidR="00EB2B2E" w:rsidRPr="00F3004A">
          <w:rPr>
            <w:rFonts w:eastAsiaTheme="minorEastAsia"/>
          </w:rPr>
          <w:tab/>
        </w:r>
        <w:r w:rsidR="00EB2B2E" w:rsidRPr="00F3004A">
          <w:rPr>
            <w:rStyle w:val="Hypertextovprepojenie"/>
          </w:rPr>
          <w:t>Raňajky so zamestnávateľmi</w:t>
        </w:r>
        <w:r w:rsidR="00EB2B2E" w:rsidRPr="00F3004A">
          <w:rPr>
            <w:webHidden/>
          </w:rPr>
          <w:tab/>
        </w:r>
        <w:r w:rsidR="00EB2B2E" w:rsidRPr="00F3004A">
          <w:rPr>
            <w:webHidden/>
          </w:rPr>
          <w:fldChar w:fldCharType="begin"/>
        </w:r>
        <w:r w:rsidR="00EB2B2E" w:rsidRPr="00F3004A">
          <w:rPr>
            <w:webHidden/>
          </w:rPr>
          <w:instrText xml:space="preserve"> PAGEREF _Toc199230819 \h </w:instrText>
        </w:r>
        <w:r w:rsidR="00EB2B2E" w:rsidRPr="00F3004A">
          <w:rPr>
            <w:webHidden/>
          </w:rPr>
        </w:r>
        <w:r w:rsidR="00EB2B2E" w:rsidRPr="00F3004A">
          <w:rPr>
            <w:webHidden/>
          </w:rPr>
          <w:fldChar w:fldCharType="separate"/>
        </w:r>
        <w:r w:rsidR="00EB2B2E" w:rsidRPr="00F3004A">
          <w:rPr>
            <w:webHidden/>
          </w:rPr>
          <w:t>23</w:t>
        </w:r>
        <w:r w:rsidR="00EB2B2E" w:rsidRPr="00F3004A">
          <w:rPr>
            <w:webHidden/>
          </w:rPr>
          <w:fldChar w:fldCharType="end"/>
        </w:r>
      </w:hyperlink>
    </w:p>
    <w:p w14:paraId="31B5DCE6" w14:textId="1574DAFB" w:rsidR="00EB2B2E" w:rsidRPr="00F3004A" w:rsidRDefault="00C6032B" w:rsidP="00F65B19">
      <w:pPr>
        <w:pStyle w:val="Obsah3"/>
        <w:rPr>
          <w:rFonts w:eastAsiaTheme="minorEastAsia"/>
        </w:rPr>
      </w:pPr>
      <w:hyperlink w:anchor="_Toc199230820" w:history="1">
        <w:r w:rsidR="00EB2B2E" w:rsidRPr="00F3004A">
          <w:rPr>
            <w:rStyle w:val="Hypertextovprepojenie"/>
          </w:rPr>
          <w:t>3.1.6</w:t>
        </w:r>
        <w:r w:rsidR="00EB2B2E" w:rsidRPr="00F3004A">
          <w:rPr>
            <w:rFonts w:eastAsiaTheme="minorEastAsia"/>
          </w:rPr>
          <w:tab/>
        </w:r>
        <w:r w:rsidR="00EB2B2E" w:rsidRPr="00F3004A">
          <w:rPr>
            <w:rStyle w:val="Hypertextovprepojenie"/>
          </w:rPr>
          <w:t>Európske služby zamestnanosti /EURES/ pre zamestnávateľov – NP SHP II.</w:t>
        </w:r>
        <w:r w:rsidR="00EB2B2E" w:rsidRPr="00F3004A">
          <w:rPr>
            <w:webHidden/>
          </w:rPr>
          <w:tab/>
        </w:r>
        <w:r w:rsidR="00EB2B2E" w:rsidRPr="00F3004A">
          <w:rPr>
            <w:webHidden/>
          </w:rPr>
          <w:fldChar w:fldCharType="begin"/>
        </w:r>
        <w:r w:rsidR="00EB2B2E" w:rsidRPr="00F3004A">
          <w:rPr>
            <w:webHidden/>
          </w:rPr>
          <w:instrText xml:space="preserve"> PAGEREF _Toc199230820 \h </w:instrText>
        </w:r>
        <w:r w:rsidR="00EB2B2E" w:rsidRPr="00F3004A">
          <w:rPr>
            <w:webHidden/>
          </w:rPr>
        </w:r>
        <w:r w:rsidR="00EB2B2E" w:rsidRPr="00F3004A">
          <w:rPr>
            <w:webHidden/>
          </w:rPr>
          <w:fldChar w:fldCharType="separate"/>
        </w:r>
        <w:r w:rsidR="00EB2B2E" w:rsidRPr="00F3004A">
          <w:rPr>
            <w:webHidden/>
          </w:rPr>
          <w:t>23</w:t>
        </w:r>
        <w:r w:rsidR="00EB2B2E" w:rsidRPr="00F3004A">
          <w:rPr>
            <w:webHidden/>
          </w:rPr>
          <w:fldChar w:fldCharType="end"/>
        </w:r>
      </w:hyperlink>
    </w:p>
    <w:p w14:paraId="28E820B3" w14:textId="5DEB0ADC" w:rsidR="00EB2B2E" w:rsidRPr="00F3004A" w:rsidRDefault="00C6032B" w:rsidP="00F65B19">
      <w:pPr>
        <w:pStyle w:val="Obsah3"/>
        <w:rPr>
          <w:rFonts w:eastAsiaTheme="minorEastAsia"/>
        </w:rPr>
      </w:pPr>
      <w:hyperlink w:anchor="_Toc199230821" w:history="1">
        <w:r w:rsidR="00EB2B2E" w:rsidRPr="00F3004A">
          <w:rPr>
            <w:rStyle w:val="Hypertextovprepojenie"/>
          </w:rPr>
          <w:t>3.1.7</w:t>
        </w:r>
        <w:r w:rsidR="00EB2B2E" w:rsidRPr="00F3004A">
          <w:rPr>
            <w:rFonts w:eastAsiaTheme="minorEastAsia"/>
          </w:rPr>
          <w:tab/>
        </w:r>
        <w:r w:rsidR="00EB2B2E" w:rsidRPr="00F3004A">
          <w:rPr>
            <w:rStyle w:val="Hypertextovprepojenie"/>
          </w:rPr>
          <w:t xml:space="preserve">Výberové pohovory </w:t>
        </w:r>
        <w:r w:rsidR="00EB2B2E" w:rsidRPr="00F3004A">
          <w:rPr>
            <w:rStyle w:val="Hypertextovprepojenie"/>
            <w:rFonts w:eastAsia="Lucida Sans Unicode"/>
          </w:rPr>
          <w:t>a stáže</w:t>
        </w:r>
        <w:r w:rsidR="00EB2B2E" w:rsidRPr="00F3004A">
          <w:rPr>
            <w:rStyle w:val="Hypertextovprepojenie"/>
          </w:rPr>
          <w:t xml:space="preserve"> pre záujemcov o prácu v krajinách EÚ/EHP</w:t>
        </w:r>
        <w:r w:rsidR="00EB2B2E" w:rsidRPr="00F3004A">
          <w:rPr>
            <w:webHidden/>
          </w:rPr>
          <w:tab/>
        </w:r>
        <w:r w:rsidR="00EB2B2E" w:rsidRPr="00F3004A">
          <w:rPr>
            <w:webHidden/>
          </w:rPr>
          <w:fldChar w:fldCharType="begin"/>
        </w:r>
        <w:r w:rsidR="00EB2B2E" w:rsidRPr="00F3004A">
          <w:rPr>
            <w:webHidden/>
          </w:rPr>
          <w:instrText xml:space="preserve"> PAGEREF _Toc199230821 \h </w:instrText>
        </w:r>
        <w:r w:rsidR="00EB2B2E" w:rsidRPr="00F3004A">
          <w:rPr>
            <w:webHidden/>
          </w:rPr>
        </w:r>
        <w:r w:rsidR="00EB2B2E" w:rsidRPr="00F3004A">
          <w:rPr>
            <w:webHidden/>
          </w:rPr>
          <w:fldChar w:fldCharType="separate"/>
        </w:r>
        <w:r w:rsidR="00EB2B2E" w:rsidRPr="00F3004A">
          <w:rPr>
            <w:webHidden/>
          </w:rPr>
          <w:t>24</w:t>
        </w:r>
        <w:r w:rsidR="00EB2B2E" w:rsidRPr="00F3004A">
          <w:rPr>
            <w:webHidden/>
          </w:rPr>
          <w:fldChar w:fldCharType="end"/>
        </w:r>
      </w:hyperlink>
    </w:p>
    <w:p w14:paraId="6C3B45E5" w14:textId="1BE82490" w:rsidR="00EB2B2E" w:rsidRPr="00F3004A" w:rsidRDefault="00C6032B">
      <w:pPr>
        <w:pStyle w:val="Obsah2"/>
        <w:rPr>
          <w:rFonts w:eastAsiaTheme="minorEastAsia"/>
          <w:b w:val="0"/>
          <w:bCs w:val="0"/>
        </w:rPr>
      </w:pPr>
      <w:hyperlink w:anchor="_Toc199230822" w:history="1">
        <w:r w:rsidR="00EB2B2E" w:rsidRPr="00F3004A">
          <w:rPr>
            <w:rStyle w:val="Hypertextovprepojenie"/>
          </w:rPr>
          <w:t>3.2</w:t>
        </w:r>
        <w:r w:rsidR="00EB2B2E" w:rsidRPr="00F3004A">
          <w:rPr>
            <w:rFonts w:eastAsiaTheme="minorEastAsia"/>
            <w:b w:val="0"/>
            <w:bCs w:val="0"/>
          </w:rPr>
          <w:tab/>
        </w:r>
        <w:r w:rsidR="00EB2B2E" w:rsidRPr="00F3004A">
          <w:rPr>
            <w:rStyle w:val="Hypertextovprepojenie"/>
          </w:rPr>
          <w:t>Sprostredkovanie zamestnania</w:t>
        </w:r>
        <w:r w:rsidR="00EB2B2E" w:rsidRPr="00F3004A">
          <w:rPr>
            <w:webHidden/>
          </w:rPr>
          <w:tab/>
        </w:r>
        <w:r w:rsidR="00EB2B2E" w:rsidRPr="00F3004A">
          <w:rPr>
            <w:webHidden/>
          </w:rPr>
          <w:fldChar w:fldCharType="begin"/>
        </w:r>
        <w:r w:rsidR="00EB2B2E" w:rsidRPr="00F3004A">
          <w:rPr>
            <w:webHidden/>
          </w:rPr>
          <w:instrText xml:space="preserve"> PAGEREF _Toc199230822 \h </w:instrText>
        </w:r>
        <w:r w:rsidR="00EB2B2E" w:rsidRPr="00F3004A">
          <w:rPr>
            <w:webHidden/>
          </w:rPr>
        </w:r>
        <w:r w:rsidR="00EB2B2E" w:rsidRPr="00F3004A">
          <w:rPr>
            <w:webHidden/>
          </w:rPr>
          <w:fldChar w:fldCharType="separate"/>
        </w:r>
        <w:r w:rsidR="00EB2B2E" w:rsidRPr="00F3004A">
          <w:rPr>
            <w:webHidden/>
          </w:rPr>
          <w:t>24</w:t>
        </w:r>
        <w:r w:rsidR="00EB2B2E" w:rsidRPr="00F3004A">
          <w:rPr>
            <w:webHidden/>
          </w:rPr>
          <w:fldChar w:fldCharType="end"/>
        </w:r>
      </w:hyperlink>
    </w:p>
    <w:p w14:paraId="38F55E59" w14:textId="74A76076" w:rsidR="00EB2B2E" w:rsidRPr="00F3004A" w:rsidRDefault="00C6032B">
      <w:pPr>
        <w:pStyle w:val="Obsah2"/>
        <w:rPr>
          <w:rFonts w:eastAsiaTheme="minorEastAsia"/>
          <w:b w:val="0"/>
          <w:bCs w:val="0"/>
        </w:rPr>
      </w:pPr>
      <w:hyperlink w:anchor="_Toc199230823" w:history="1">
        <w:r w:rsidR="00EB2B2E" w:rsidRPr="00F3004A">
          <w:rPr>
            <w:rStyle w:val="Hypertextovprepojenie"/>
          </w:rPr>
          <w:t>3.3</w:t>
        </w:r>
        <w:r w:rsidR="00EB2B2E" w:rsidRPr="00F3004A">
          <w:rPr>
            <w:rFonts w:eastAsiaTheme="minorEastAsia"/>
            <w:b w:val="0"/>
            <w:bCs w:val="0"/>
          </w:rPr>
          <w:tab/>
        </w:r>
        <w:r w:rsidR="00EB2B2E" w:rsidRPr="00F3004A">
          <w:rPr>
            <w:rStyle w:val="Hypertextovprepojenie"/>
          </w:rPr>
          <w:t>Informačné a poradenské služby pre uchádzačov o zamestnanie a záujemcov o zamestnanie</w:t>
        </w:r>
        <w:r w:rsidR="00EB2B2E" w:rsidRPr="00F3004A">
          <w:rPr>
            <w:webHidden/>
          </w:rPr>
          <w:tab/>
        </w:r>
        <w:r w:rsidR="00EB2B2E" w:rsidRPr="00F3004A">
          <w:rPr>
            <w:webHidden/>
          </w:rPr>
          <w:fldChar w:fldCharType="begin"/>
        </w:r>
        <w:r w:rsidR="00EB2B2E" w:rsidRPr="00F3004A">
          <w:rPr>
            <w:webHidden/>
          </w:rPr>
          <w:instrText xml:space="preserve"> PAGEREF _Toc199230823 \h </w:instrText>
        </w:r>
        <w:r w:rsidR="00EB2B2E" w:rsidRPr="00F3004A">
          <w:rPr>
            <w:webHidden/>
          </w:rPr>
        </w:r>
        <w:r w:rsidR="00EB2B2E" w:rsidRPr="00F3004A">
          <w:rPr>
            <w:webHidden/>
          </w:rPr>
          <w:fldChar w:fldCharType="separate"/>
        </w:r>
        <w:r w:rsidR="00EB2B2E" w:rsidRPr="00F3004A">
          <w:rPr>
            <w:webHidden/>
          </w:rPr>
          <w:t>25</w:t>
        </w:r>
        <w:r w:rsidR="00EB2B2E" w:rsidRPr="00F3004A">
          <w:rPr>
            <w:webHidden/>
          </w:rPr>
          <w:fldChar w:fldCharType="end"/>
        </w:r>
      </w:hyperlink>
    </w:p>
    <w:p w14:paraId="3831556C" w14:textId="035EFA10" w:rsidR="00EB2B2E" w:rsidRPr="00F3004A" w:rsidRDefault="00C6032B">
      <w:pPr>
        <w:pStyle w:val="Obsah2"/>
        <w:rPr>
          <w:rFonts w:eastAsiaTheme="minorEastAsia"/>
          <w:b w:val="0"/>
          <w:bCs w:val="0"/>
        </w:rPr>
      </w:pPr>
      <w:hyperlink w:anchor="_Toc199230824" w:history="1">
        <w:r w:rsidR="00EB2B2E" w:rsidRPr="00F3004A">
          <w:rPr>
            <w:rStyle w:val="Hypertextovprepojenie"/>
          </w:rPr>
          <w:t>3.4</w:t>
        </w:r>
        <w:r w:rsidR="00EB2B2E" w:rsidRPr="00F3004A">
          <w:rPr>
            <w:rFonts w:eastAsiaTheme="minorEastAsia"/>
            <w:b w:val="0"/>
            <w:bCs w:val="0"/>
          </w:rPr>
          <w:tab/>
        </w:r>
        <w:r w:rsidR="00EB2B2E" w:rsidRPr="00F3004A">
          <w:rPr>
            <w:rStyle w:val="Hypertextovprepojenie"/>
          </w:rPr>
          <w:t>Európske služby zamestnanosti /EURES/ pre uchádzačov o zamestnanie, záujemcov o zamestnanie a nezamestnaných</w:t>
        </w:r>
        <w:r w:rsidR="00EB2B2E" w:rsidRPr="00F3004A">
          <w:rPr>
            <w:webHidden/>
          </w:rPr>
          <w:tab/>
        </w:r>
        <w:r w:rsidR="00EB2B2E" w:rsidRPr="00F3004A">
          <w:rPr>
            <w:webHidden/>
          </w:rPr>
          <w:fldChar w:fldCharType="begin"/>
        </w:r>
        <w:r w:rsidR="00EB2B2E" w:rsidRPr="00F3004A">
          <w:rPr>
            <w:webHidden/>
          </w:rPr>
          <w:instrText xml:space="preserve"> PAGEREF _Toc199230824 \h </w:instrText>
        </w:r>
        <w:r w:rsidR="00EB2B2E" w:rsidRPr="00F3004A">
          <w:rPr>
            <w:webHidden/>
          </w:rPr>
        </w:r>
        <w:r w:rsidR="00EB2B2E" w:rsidRPr="00F3004A">
          <w:rPr>
            <w:webHidden/>
          </w:rPr>
          <w:fldChar w:fldCharType="separate"/>
        </w:r>
        <w:r w:rsidR="00EB2B2E" w:rsidRPr="00F3004A">
          <w:rPr>
            <w:webHidden/>
          </w:rPr>
          <w:t>25</w:t>
        </w:r>
        <w:r w:rsidR="00EB2B2E" w:rsidRPr="00F3004A">
          <w:rPr>
            <w:webHidden/>
          </w:rPr>
          <w:fldChar w:fldCharType="end"/>
        </w:r>
      </w:hyperlink>
    </w:p>
    <w:p w14:paraId="57A6E8F3" w14:textId="665124E7" w:rsidR="00EB2B2E" w:rsidRPr="00F3004A" w:rsidRDefault="00C6032B">
      <w:pPr>
        <w:pStyle w:val="Obsah2"/>
        <w:rPr>
          <w:rFonts w:eastAsiaTheme="minorEastAsia"/>
          <w:b w:val="0"/>
          <w:bCs w:val="0"/>
        </w:rPr>
      </w:pPr>
      <w:hyperlink w:anchor="_Toc199230825" w:history="1">
        <w:r w:rsidR="00EB2B2E" w:rsidRPr="00F3004A">
          <w:rPr>
            <w:rStyle w:val="Hypertextovprepojenie"/>
          </w:rPr>
          <w:t>3.5</w:t>
        </w:r>
        <w:r w:rsidR="00EB2B2E" w:rsidRPr="00F3004A">
          <w:rPr>
            <w:rFonts w:eastAsiaTheme="minorEastAsia"/>
            <w:b w:val="0"/>
            <w:bCs w:val="0"/>
          </w:rPr>
          <w:tab/>
        </w:r>
        <w:r w:rsidR="00EB2B2E" w:rsidRPr="00F3004A">
          <w:rPr>
            <w:rStyle w:val="Hypertextovprepojenie"/>
          </w:rPr>
          <w:t>Projekty úradov v rámci partnerstiev</w:t>
        </w:r>
        <w:r w:rsidR="00EB2B2E" w:rsidRPr="00F3004A">
          <w:rPr>
            <w:webHidden/>
          </w:rPr>
          <w:tab/>
        </w:r>
        <w:r w:rsidR="00EB2B2E" w:rsidRPr="00F3004A">
          <w:rPr>
            <w:webHidden/>
          </w:rPr>
          <w:fldChar w:fldCharType="begin"/>
        </w:r>
        <w:r w:rsidR="00EB2B2E" w:rsidRPr="00F3004A">
          <w:rPr>
            <w:webHidden/>
          </w:rPr>
          <w:instrText xml:space="preserve"> PAGEREF _Toc199230825 \h </w:instrText>
        </w:r>
        <w:r w:rsidR="00EB2B2E" w:rsidRPr="00F3004A">
          <w:rPr>
            <w:webHidden/>
          </w:rPr>
        </w:r>
        <w:r w:rsidR="00EB2B2E" w:rsidRPr="00F3004A">
          <w:rPr>
            <w:webHidden/>
          </w:rPr>
          <w:fldChar w:fldCharType="separate"/>
        </w:r>
        <w:r w:rsidR="00EB2B2E" w:rsidRPr="00F3004A">
          <w:rPr>
            <w:webHidden/>
          </w:rPr>
          <w:t>26</w:t>
        </w:r>
        <w:r w:rsidR="00EB2B2E" w:rsidRPr="00F3004A">
          <w:rPr>
            <w:webHidden/>
          </w:rPr>
          <w:fldChar w:fldCharType="end"/>
        </w:r>
      </w:hyperlink>
    </w:p>
    <w:p w14:paraId="39438E84" w14:textId="3944D04F" w:rsidR="00EB2B2E" w:rsidRPr="00F3004A" w:rsidRDefault="00C6032B">
      <w:pPr>
        <w:pStyle w:val="Obsah1"/>
        <w:rPr>
          <w:rFonts w:eastAsiaTheme="minorEastAsia"/>
          <w:b w:val="0"/>
          <w:bCs w:val="0"/>
          <w:caps w:val="0"/>
          <w:lang w:eastAsia="sk-SK"/>
        </w:rPr>
      </w:pPr>
      <w:hyperlink w:anchor="_Toc199230826" w:history="1">
        <w:r w:rsidR="00EB2B2E" w:rsidRPr="00F3004A">
          <w:rPr>
            <w:rStyle w:val="Hypertextovprepojenie"/>
          </w:rPr>
          <w:t>4</w:t>
        </w:r>
        <w:r w:rsidR="00EB2B2E" w:rsidRPr="00F3004A">
          <w:rPr>
            <w:rFonts w:eastAsiaTheme="minorEastAsia"/>
            <w:b w:val="0"/>
            <w:bCs w:val="0"/>
            <w:caps w:val="0"/>
            <w:lang w:eastAsia="sk-SK"/>
          </w:rPr>
          <w:tab/>
        </w:r>
        <w:r w:rsidR="00EB2B2E" w:rsidRPr="00F3004A">
          <w:rPr>
            <w:rStyle w:val="Hypertextovprepojenie"/>
          </w:rPr>
          <w:t>VYHODNOTENIE UPLATŇOVANIA AKTÍVNYCH OPATRENÍ TRHU PRÁCE NA PODPORU ZAMESTNATEĽNOSTI</w:t>
        </w:r>
        <w:r w:rsidR="00EB2B2E" w:rsidRPr="00F3004A">
          <w:rPr>
            <w:webHidden/>
          </w:rPr>
          <w:tab/>
        </w:r>
        <w:r w:rsidR="00EB2B2E" w:rsidRPr="00F3004A">
          <w:rPr>
            <w:webHidden/>
          </w:rPr>
          <w:fldChar w:fldCharType="begin"/>
        </w:r>
        <w:r w:rsidR="00EB2B2E" w:rsidRPr="00F3004A">
          <w:rPr>
            <w:webHidden/>
          </w:rPr>
          <w:instrText xml:space="preserve"> PAGEREF _Toc199230826 \h </w:instrText>
        </w:r>
        <w:r w:rsidR="00EB2B2E" w:rsidRPr="00F3004A">
          <w:rPr>
            <w:webHidden/>
          </w:rPr>
        </w:r>
        <w:r w:rsidR="00EB2B2E" w:rsidRPr="00F3004A">
          <w:rPr>
            <w:webHidden/>
          </w:rPr>
          <w:fldChar w:fldCharType="separate"/>
        </w:r>
        <w:r w:rsidR="00EB2B2E" w:rsidRPr="00F3004A">
          <w:rPr>
            <w:webHidden/>
          </w:rPr>
          <w:t>26</w:t>
        </w:r>
        <w:r w:rsidR="00EB2B2E" w:rsidRPr="00F3004A">
          <w:rPr>
            <w:webHidden/>
          </w:rPr>
          <w:fldChar w:fldCharType="end"/>
        </w:r>
      </w:hyperlink>
    </w:p>
    <w:p w14:paraId="6FBF286E" w14:textId="5AB61730" w:rsidR="00EB2B2E" w:rsidRPr="00F3004A" w:rsidRDefault="00C6032B">
      <w:pPr>
        <w:pStyle w:val="Obsah2"/>
        <w:rPr>
          <w:rFonts w:eastAsiaTheme="minorEastAsia"/>
          <w:b w:val="0"/>
          <w:bCs w:val="0"/>
        </w:rPr>
      </w:pPr>
      <w:hyperlink w:anchor="_Toc199230827" w:history="1">
        <w:r w:rsidR="00EB2B2E" w:rsidRPr="00F3004A">
          <w:rPr>
            <w:rStyle w:val="Hypertextovprepojenie"/>
          </w:rPr>
          <w:t>4.1</w:t>
        </w:r>
        <w:r w:rsidR="00EB2B2E" w:rsidRPr="00F3004A">
          <w:rPr>
            <w:rFonts w:eastAsiaTheme="minorEastAsia"/>
            <w:b w:val="0"/>
            <w:bCs w:val="0"/>
          </w:rPr>
          <w:tab/>
        </w:r>
        <w:r w:rsidR="00EB2B2E" w:rsidRPr="00F3004A">
          <w:rPr>
            <w:rStyle w:val="Hypertextovprepojenie"/>
          </w:rPr>
          <w:t>Náhrada časti cestovných výdavkov UoZ, ktoré súvisia s absolvovaním vstupného pohovoru alebo VK u zamestnávateľa, alebo s účasťou na skupinovom sprostredkovaní zamestnania, ktoré organizuje ústredie alebo úrad na území SR pre zamestnávateľa, alebo pre zamestnávateľa z členského štátu EÚ - § 32 ods. 11 písm. d)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_Toc199230827 \h </w:instrText>
        </w:r>
        <w:r w:rsidR="00EB2B2E" w:rsidRPr="00F3004A">
          <w:rPr>
            <w:webHidden/>
          </w:rPr>
        </w:r>
        <w:r w:rsidR="00EB2B2E" w:rsidRPr="00F3004A">
          <w:rPr>
            <w:webHidden/>
          </w:rPr>
          <w:fldChar w:fldCharType="separate"/>
        </w:r>
        <w:r w:rsidR="00EB2B2E" w:rsidRPr="00F3004A">
          <w:rPr>
            <w:webHidden/>
          </w:rPr>
          <w:t>26</w:t>
        </w:r>
        <w:r w:rsidR="00EB2B2E" w:rsidRPr="00F3004A">
          <w:rPr>
            <w:webHidden/>
          </w:rPr>
          <w:fldChar w:fldCharType="end"/>
        </w:r>
      </w:hyperlink>
    </w:p>
    <w:p w14:paraId="137EF2EF" w14:textId="34A15470" w:rsidR="00EB2B2E" w:rsidRPr="00F3004A" w:rsidRDefault="00C6032B">
      <w:pPr>
        <w:pStyle w:val="Obsah2"/>
        <w:rPr>
          <w:rFonts w:eastAsiaTheme="minorEastAsia"/>
          <w:b w:val="0"/>
          <w:bCs w:val="0"/>
        </w:rPr>
      </w:pPr>
      <w:hyperlink w:anchor="_Toc199230828" w:history="1">
        <w:r w:rsidR="00EB2B2E" w:rsidRPr="00F3004A">
          <w:rPr>
            <w:rStyle w:val="Hypertextovprepojenie"/>
          </w:rPr>
          <w:t>4.2</w:t>
        </w:r>
        <w:r w:rsidR="00EB2B2E" w:rsidRPr="00F3004A">
          <w:rPr>
            <w:rFonts w:eastAsiaTheme="minorEastAsia"/>
            <w:b w:val="0"/>
            <w:bCs w:val="0"/>
          </w:rPr>
          <w:tab/>
        </w:r>
        <w:r w:rsidR="00EB2B2E" w:rsidRPr="00F3004A">
          <w:rPr>
            <w:rStyle w:val="Hypertextovprepojenie"/>
          </w:rPr>
          <w:t>Informačné a poradenské služby pri voľbe povolania - § 42 ods. 2 písm. a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_Toc199230828 \h </w:instrText>
        </w:r>
        <w:r w:rsidR="00EB2B2E" w:rsidRPr="00F3004A">
          <w:rPr>
            <w:webHidden/>
          </w:rPr>
        </w:r>
        <w:r w:rsidR="00EB2B2E" w:rsidRPr="00F3004A">
          <w:rPr>
            <w:webHidden/>
          </w:rPr>
          <w:fldChar w:fldCharType="separate"/>
        </w:r>
        <w:r w:rsidR="00EB2B2E" w:rsidRPr="00F3004A">
          <w:rPr>
            <w:webHidden/>
          </w:rPr>
          <w:t>27</w:t>
        </w:r>
        <w:r w:rsidR="00EB2B2E" w:rsidRPr="00F3004A">
          <w:rPr>
            <w:webHidden/>
          </w:rPr>
          <w:fldChar w:fldCharType="end"/>
        </w:r>
      </w:hyperlink>
    </w:p>
    <w:p w14:paraId="083A6EC1" w14:textId="2C28F86B" w:rsidR="00EB2B2E" w:rsidRPr="00F3004A" w:rsidRDefault="00C6032B">
      <w:pPr>
        <w:pStyle w:val="Obsah2"/>
        <w:rPr>
          <w:rFonts w:eastAsiaTheme="minorEastAsia"/>
          <w:b w:val="0"/>
          <w:bCs w:val="0"/>
        </w:rPr>
      </w:pPr>
      <w:hyperlink w:anchor="_Toc199230829" w:history="1">
        <w:r w:rsidR="00EB2B2E" w:rsidRPr="00F3004A">
          <w:rPr>
            <w:rStyle w:val="Hypertextovprepojenie"/>
          </w:rPr>
          <w:t>4.3</w:t>
        </w:r>
        <w:r w:rsidR="00EB2B2E" w:rsidRPr="00F3004A">
          <w:rPr>
            <w:rFonts w:eastAsiaTheme="minorEastAsia"/>
            <w:b w:val="0"/>
            <w:bCs w:val="0"/>
          </w:rPr>
          <w:tab/>
        </w:r>
        <w:r w:rsidR="00EB2B2E" w:rsidRPr="00F3004A">
          <w:rPr>
            <w:rStyle w:val="Hypertextovprepojenie"/>
          </w:rPr>
          <w:t>Odborné poradenské služby – § 43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_Toc199230829 \h </w:instrText>
        </w:r>
        <w:r w:rsidR="00EB2B2E" w:rsidRPr="00F3004A">
          <w:rPr>
            <w:webHidden/>
          </w:rPr>
        </w:r>
        <w:r w:rsidR="00EB2B2E" w:rsidRPr="00F3004A">
          <w:rPr>
            <w:webHidden/>
          </w:rPr>
          <w:fldChar w:fldCharType="separate"/>
        </w:r>
        <w:r w:rsidR="00EB2B2E" w:rsidRPr="00F3004A">
          <w:rPr>
            <w:webHidden/>
          </w:rPr>
          <w:t>28</w:t>
        </w:r>
        <w:r w:rsidR="00EB2B2E" w:rsidRPr="00F3004A">
          <w:rPr>
            <w:webHidden/>
          </w:rPr>
          <w:fldChar w:fldCharType="end"/>
        </w:r>
      </w:hyperlink>
    </w:p>
    <w:p w14:paraId="44B790DE" w14:textId="1706255B" w:rsidR="00EB2B2E" w:rsidRPr="00F3004A" w:rsidRDefault="00C6032B">
      <w:pPr>
        <w:pStyle w:val="Obsah2"/>
        <w:rPr>
          <w:rFonts w:eastAsiaTheme="minorEastAsia"/>
          <w:b w:val="0"/>
          <w:bCs w:val="0"/>
        </w:rPr>
      </w:pPr>
      <w:hyperlink w:anchor="_Toc199230830" w:history="1">
        <w:r w:rsidR="00EB2B2E" w:rsidRPr="00F3004A">
          <w:rPr>
            <w:rStyle w:val="Hypertextovprepojenie"/>
          </w:rPr>
          <w:t>4.4</w:t>
        </w:r>
        <w:r w:rsidR="00EB2B2E" w:rsidRPr="00F3004A">
          <w:rPr>
            <w:rFonts w:eastAsiaTheme="minorEastAsia"/>
            <w:b w:val="0"/>
            <w:bCs w:val="0"/>
          </w:rPr>
          <w:tab/>
        </w:r>
        <w:r w:rsidR="00EB2B2E" w:rsidRPr="00F3004A">
          <w:rPr>
            <w:rStyle w:val="Hypertextovprepojenie"/>
          </w:rPr>
          <w:t>Príspevok na aktivačnú činnosť formou menších obecných služieb pre obec alebo formou menších služieb pre samosprávny kraj - § 52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_Toc199230830 \h </w:instrText>
        </w:r>
        <w:r w:rsidR="00EB2B2E" w:rsidRPr="00F3004A">
          <w:rPr>
            <w:webHidden/>
          </w:rPr>
        </w:r>
        <w:r w:rsidR="00EB2B2E" w:rsidRPr="00F3004A">
          <w:rPr>
            <w:webHidden/>
          </w:rPr>
          <w:fldChar w:fldCharType="separate"/>
        </w:r>
        <w:r w:rsidR="00EB2B2E" w:rsidRPr="00F3004A">
          <w:rPr>
            <w:webHidden/>
          </w:rPr>
          <w:t>31</w:t>
        </w:r>
        <w:r w:rsidR="00EB2B2E" w:rsidRPr="00F3004A">
          <w:rPr>
            <w:webHidden/>
          </w:rPr>
          <w:fldChar w:fldCharType="end"/>
        </w:r>
      </w:hyperlink>
    </w:p>
    <w:p w14:paraId="513D7BAD" w14:textId="2AE2F412" w:rsidR="00EB2B2E" w:rsidRPr="00F3004A" w:rsidRDefault="00C6032B">
      <w:pPr>
        <w:pStyle w:val="Obsah1"/>
        <w:rPr>
          <w:rFonts w:eastAsiaTheme="minorEastAsia"/>
          <w:b w:val="0"/>
          <w:bCs w:val="0"/>
          <w:caps w:val="0"/>
          <w:lang w:eastAsia="sk-SK"/>
        </w:rPr>
      </w:pPr>
      <w:hyperlink w:anchor="_Toc199230831" w:history="1">
        <w:r w:rsidR="00EB2B2E" w:rsidRPr="00F3004A">
          <w:rPr>
            <w:rStyle w:val="Hypertextovprepojenie"/>
          </w:rPr>
          <w:t>5</w:t>
        </w:r>
        <w:r w:rsidR="00EB2B2E" w:rsidRPr="00F3004A">
          <w:rPr>
            <w:rFonts w:eastAsiaTheme="minorEastAsia"/>
            <w:b w:val="0"/>
            <w:bCs w:val="0"/>
            <w:caps w:val="0"/>
            <w:lang w:eastAsia="sk-SK"/>
          </w:rPr>
          <w:tab/>
        </w:r>
        <w:r w:rsidR="00EB2B2E" w:rsidRPr="00F3004A">
          <w:rPr>
            <w:rStyle w:val="Hypertextovprepojenie"/>
          </w:rPr>
          <w:t>VYHODNOTENIE UPLATŇOVANIA AKTÍVNYCH OPATRENÍ TRHU PRÁCE ZAMERANÝCH NA ZVÝŠENIE ZAMESTNANOSTI</w:t>
        </w:r>
        <w:r w:rsidR="00EB2B2E" w:rsidRPr="00F3004A">
          <w:rPr>
            <w:webHidden/>
          </w:rPr>
          <w:tab/>
        </w:r>
        <w:r w:rsidR="00EB2B2E" w:rsidRPr="00F3004A">
          <w:rPr>
            <w:webHidden/>
          </w:rPr>
          <w:fldChar w:fldCharType="begin"/>
        </w:r>
        <w:r w:rsidR="00EB2B2E" w:rsidRPr="00F3004A">
          <w:rPr>
            <w:webHidden/>
          </w:rPr>
          <w:instrText xml:space="preserve"> PAGEREF _Toc199230831 \h </w:instrText>
        </w:r>
        <w:r w:rsidR="00EB2B2E" w:rsidRPr="00F3004A">
          <w:rPr>
            <w:webHidden/>
          </w:rPr>
        </w:r>
        <w:r w:rsidR="00EB2B2E" w:rsidRPr="00F3004A">
          <w:rPr>
            <w:webHidden/>
          </w:rPr>
          <w:fldChar w:fldCharType="separate"/>
        </w:r>
        <w:r w:rsidR="00EB2B2E" w:rsidRPr="00F3004A">
          <w:rPr>
            <w:webHidden/>
          </w:rPr>
          <w:t>31</w:t>
        </w:r>
        <w:r w:rsidR="00EB2B2E" w:rsidRPr="00F3004A">
          <w:rPr>
            <w:webHidden/>
          </w:rPr>
          <w:fldChar w:fldCharType="end"/>
        </w:r>
      </w:hyperlink>
    </w:p>
    <w:p w14:paraId="3EBE6C52" w14:textId="51E168F8" w:rsidR="00EB2B2E" w:rsidRPr="00F3004A" w:rsidRDefault="00C6032B">
      <w:pPr>
        <w:pStyle w:val="Obsah2"/>
        <w:rPr>
          <w:rFonts w:eastAsiaTheme="minorEastAsia"/>
          <w:b w:val="0"/>
          <w:bCs w:val="0"/>
        </w:rPr>
      </w:pPr>
      <w:hyperlink w:anchor="_Toc199230832" w:history="1">
        <w:r w:rsidR="00EB2B2E" w:rsidRPr="00F3004A">
          <w:rPr>
            <w:rStyle w:val="Hypertextovprepojenie"/>
          </w:rPr>
          <w:t>5.1</w:t>
        </w:r>
        <w:r w:rsidR="00EB2B2E" w:rsidRPr="00F3004A">
          <w:rPr>
            <w:rFonts w:eastAsiaTheme="minorEastAsia"/>
            <w:b w:val="0"/>
            <w:bCs w:val="0"/>
          </w:rPr>
          <w:tab/>
        </w:r>
        <w:r w:rsidR="00EB2B2E" w:rsidRPr="00F3004A">
          <w:rPr>
            <w:rStyle w:val="Hypertextovprepojenie"/>
          </w:rPr>
          <w:t>Príspevok na vytvorenie nového pracovného miesta - § 53d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_Toc199230832 \h </w:instrText>
        </w:r>
        <w:r w:rsidR="00EB2B2E" w:rsidRPr="00F3004A">
          <w:rPr>
            <w:webHidden/>
          </w:rPr>
        </w:r>
        <w:r w:rsidR="00EB2B2E" w:rsidRPr="00F3004A">
          <w:rPr>
            <w:webHidden/>
          </w:rPr>
          <w:fldChar w:fldCharType="separate"/>
        </w:r>
        <w:r w:rsidR="00EB2B2E" w:rsidRPr="00F3004A">
          <w:rPr>
            <w:webHidden/>
          </w:rPr>
          <w:t>31</w:t>
        </w:r>
        <w:r w:rsidR="00EB2B2E" w:rsidRPr="00F3004A">
          <w:rPr>
            <w:webHidden/>
          </w:rPr>
          <w:fldChar w:fldCharType="end"/>
        </w:r>
      </w:hyperlink>
    </w:p>
    <w:p w14:paraId="2A4E62C7" w14:textId="780603A9" w:rsidR="00EB2B2E" w:rsidRPr="00F3004A" w:rsidRDefault="00C6032B">
      <w:pPr>
        <w:pStyle w:val="Obsah2"/>
        <w:rPr>
          <w:rFonts w:eastAsiaTheme="minorEastAsia"/>
          <w:b w:val="0"/>
          <w:bCs w:val="0"/>
        </w:rPr>
      </w:pPr>
      <w:hyperlink w:anchor="_Toc199230833" w:history="1">
        <w:r w:rsidR="00EB2B2E" w:rsidRPr="00F3004A">
          <w:rPr>
            <w:rStyle w:val="Hypertextovprepojenie"/>
          </w:rPr>
          <w:t>5.2</w:t>
        </w:r>
        <w:r w:rsidR="00EB2B2E" w:rsidRPr="00F3004A">
          <w:rPr>
            <w:rFonts w:eastAsiaTheme="minorEastAsia"/>
            <w:b w:val="0"/>
            <w:bCs w:val="0"/>
          </w:rPr>
          <w:tab/>
        </w:r>
        <w:r w:rsidR="00EB2B2E" w:rsidRPr="00F3004A">
          <w:rPr>
            <w:rStyle w:val="Hypertextovprepojenie"/>
          </w:rPr>
          <w:t>Umiestňovací príspevok - § 19a zákona o sociálnej ekonomike</w:t>
        </w:r>
        <w:r w:rsidR="00EB2B2E" w:rsidRPr="00F3004A">
          <w:rPr>
            <w:webHidden/>
          </w:rPr>
          <w:tab/>
        </w:r>
        <w:r w:rsidR="00EB2B2E" w:rsidRPr="00F3004A">
          <w:rPr>
            <w:webHidden/>
          </w:rPr>
          <w:fldChar w:fldCharType="begin"/>
        </w:r>
        <w:r w:rsidR="00EB2B2E" w:rsidRPr="00F3004A">
          <w:rPr>
            <w:webHidden/>
          </w:rPr>
          <w:instrText xml:space="preserve"> PAGEREF _Toc199230833 \h </w:instrText>
        </w:r>
        <w:r w:rsidR="00EB2B2E" w:rsidRPr="00F3004A">
          <w:rPr>
            <w:webHidden/>
          </w:rPr>
        </w:r>
        <w:r w:rsidR="00EB2B2E" w:rsidRPr="00F3004A">
          <w:rPr>
            <w:webHidden/>
          </w:rPr>
          <w:fldChar w:fldCharType="separate"/>
        </w:r>
        <w:r w:rsidR="00EB2B2E" w:rsidRPr="00F3004A">
          <w:rPr>
            <w:webHidden/>
          </w:rPr>
          <w:t>31</w:t>
        </w:r>
        <w:r w:rsidR="00EB2B2E" w:rsidRPr="00F3004A">
          <w:rPr>
            <w:webHidden/>
          </w:rPr>
          <w:fldChar w:fldCharType="end"/>
        </w:r>
      </w:hyperlink>
    </w:p>
    <w:p w14:paraId="1C302FBB" w14:textId="237FB81A" w:rsidR="00EB2B2E" w:rsidRPr="00F3004A" w:rsidRDefault="00C6032B">
      <w:pPr>
        <w:pStyle w:val="Obsah1"/>
        <w:rPr>
          <w:rFonts w:eastAsiaTheme="minorEastAsia"/>
          <w:b w:val="0"/>
          <w:bCs w:val="0"/>
          <w:caps w:val="0"/>
          <w:lang w:eastAsia="sk-SK"/>
        </w:rPr>
      </w:pPr>
      <w:hyperlink w:anchor="_Toc199230834" w:history="1">
        <w:r w:rsidR="00EB2B2E" w:rsidRPr="00F3004A">
          <w:rPr>
            <w:rStyle w:val="Hypertextovprepojenie"/>
          </w:rPr>
          <w:t>6</w:t>
        </w:r>
        <w:r w:rsidR="00EB2B2E" w:rsidRPr="00F3004A">
          <w:rPr>
            <w:rFonts w:eastAsiaTheme="minorEastAsia"/>
            <w:b w:val="0"/>
            <w:bCs w:val="0"/>
            <w:caps w:val="0"/>
            <w:lang w:eastAsia="sk-SK"/>
          </w:rPr>
          <w:tab/>
        </w:r>
        <w:r w:rsidR="00EB2B2E" w:rsidRPr="00F3004A">
          <w:rPr>
            <w:rStyle w:val="Hypertextovprepojenie"/>
          </w:rPr>
          <w:t>VYHODNOTENIE UPLATŇOVANIA AOTP ZAMERANÝCH NA UDRŽANIE ZAMESTNANOSTI (UDRŽANIE EXISTUJÚCICH PRACOVNÝCH MIEST)</w:t>
        </w:r>
        <w:r w:rsidR="00EB2B2E" w:rsidRPr="00F3004A">
          <w:rPr>
            <w:webHidden/>
          </w:rPr>
          <w:tab/>
        </w:r>
        <w:r w:rsidR="00EB2B2E" w:rsidRPr="00F3004A">
          <w:rPr>
            <w:webHidden/>
          </w:rPr>
          <w:fldChar w:fldCharType="begin"/>
        </w:r>
        <w:r w:rsidR="00EB2B2E" w:rsidRPr="00F3004A">
          <w:rPr>
            <w:webHidden/>
          </w:rPr>
          <w:instrText xml:space="preserve"> PAGEREF _Toc199230834 \h </w:instrText>
        </w:r>
        <w:r w:rsidR="00EB2B2E" w:rsidRPr="00F3004A">
          <w:rPr>
            <w:webHidden/>
          </w:rPr>
        </w:r>
        <w:r w:rsidR="00EB2B2E" w:rsidRPr="00F3004A">
          <w:rPr>
            <w:webHidden/>
          </w:rPr>
          <w:fldChar w:fldCharType="separate"/>
        </w:r>
        <w:r w:rsidR="00EB2B2E" w:rsidRPr="00F3004A">
          <w:rPr>
            <w:webHidden/>
          </w:rPr>
          <w:t>32</w:t>
        </w:r>
        <w:r w:rsidR="00EB2B2E" w:rsidRPr="00F3004A">
          <w:rPr>
            <w:webHidden/>
          </w:rPr>
          <w:fldChar w:fldCharType="end"/>
        </w:r>
      </w:hyperlink>
    </w:p>
    <w:p w14:paraId="7FA3DEB0" w14:textId="191EB071" w:rsidR="00EB2B2E" w:rsidRPr="00F3004A" w:rsidRDefault="00C6032B">
      <w:pPr>
        <w:pStyle w:val="Obsah2"/>
        <w:rPr>
          <w:rFonts w:eastAsiaTheme="minorEastAsia"/>
          <w:b w:val="0"/>
          <w:bCs w:val="0"/>
        </w:rPr>
      </w:pPr>
      <w:hyperlink w:anchor="_Toc199230835" w:history="1">
        <w:r w:rsidR="00EB2B2E" w:rsidRPr="00F3004A">
          <w:rPr>
            <w:rStyle w:val="Hypertextovprepojenie"/>
          </w:rPr>
          <w:t>6.1</w:t>
        </w:r>
        <w:r w:rsidR="00EB2B2E" w:rsidRPr="00F3004A">
          <w:rPr>
            <w:rFonts w:eastAsiaTheme="minorEastAsia"/>
            <w:b w:val="0"/>
            <w:bCs w:val="0"/>
          </w:rPr>
          <w:tab/>
        </w:r>
        <w:r w:rsidR="00EB2B2E" w:rsidRPr="00F3004A">
          <w:rPr>
            <w:rStyle w:val="Hypertextovprepojenie"/>
          </w:rPr>
          <w:t>Príspevok na dochádzku za prácou - § 53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_Toc199230835 \h </w:instrText>
        </w:r>
        <w:r w:rsidR="00EB2B2E" w:rsidRPr="00F3004A">
          <w:rPr>
            <w:webHidden/>
          </w:rPr>
        </w:r>
        <w:r w:rsidR="00EB2B2E" w:rsidRPr="00F3004A">
          <w:rPr>
            <w:webHidden/>
          </w:rPr>
          <w:fldChar w:fldCharType="separate"/>
        </w:r>
        <w:r w:rsidR="00EB2B2E" w:rsidRPr="00F3004A">
          <w:rPr>
            <w:webHidden/>
          </w:rPr>
          <w:t>32</w:t>
        </w:r>
        <w:r w:rsidR="00EB2B2E" w:rsidRPr="00F3004A">
          <w:rPr>
            <w:webHidden/>
          </w:rPr>
          <w:fldChar w:fldCharType="end"/>
        </w:r>
      </w:hyperlink>
    </w:p>
    <w:p w14:paraId="4CA30A43" w14:textId="4DF58E2C" w:rsidR="00EB2B2E" w:rsidRPr="00F3004A" w:rsidRDefault="00C6032B">
      <w:pPr>
        <w:pStyle w:val="Obsah2"/>
        <w:rPr>
          <w:rFonts w:eastAsiaTheme="minorEastAsia"/>
          <w:b w:val="0"/>
          <w:bCs w:val="0"/>
        </w:rPr>
      </w:pPr>
      <w:hyperlink w:anchor="_Toc199230836" w:history="1">
        <w:r w:rsidR="00EB2B2E" w:rsidRPr="00F3004A">
          <w:rPr>
            <w:rStyle w:val="Hypertextovprepojenie"/>
          </w:rPr>
          <w:t>6.2</w:t>
        </w:r>
        <w:r w:rsidR="00EB2B2E" w:rsidRPr="00F3004A">
          <w:rPr>
            <w:rFonts w:eastAsiaTheme="minorEastAsia"/>
            <w:b w:val="0"/>
            <w:bCs w:val="0"/>
          </w:rPr>
          <w:tab/>
        </w:r>
        <w:r w:rsidR="00EB2B2E" w:rsidRPr="00F3004A">
          <w:rPr>
            <w:rStyle w:val="Hypertextovprepojenie"/>
          </w:rPr>
          <w:t>Príspevok na podporu mobility za prácou - § 53a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_Toc199230836 \h </w:instrText>
        </w:r>
        <w:r w:rsidR="00EB2B2E" w:rsidRPr="00F3004A">
          <w:rPr>
            <w:webHidden/>
          </w:rPr>
        </w:r>
        <w:r w:rsidR="00EB2B2E" w:rsidRPr="00F3004A">
          <w:rPr>
            <w:webHidden/>
          </w:rPr>
          <w:fldChar w:fldCharType="separate"/>
        </w:r>
        <w:r w:rsidR="00EB2B2E" w:rsidRPr="00F3004A">
          <w:rPr>
            <w:webHidden/>
          </w:rPr>
          <w:t>34</w:t>
        </w:r>
        <w:r w:rsidR="00EB2B2E" w:rsidRPr="00F3004A">
          <w:rPr>
            <w:webHidden/>
          </w:rPr>
          <w:fldChar w:fldCharType="end"/>
        </w:r>
      </w:hyperlink>
    </w:p>
    <w:p w14:paraId="25CD7DCA" w14:textId="10BFE47B" w:rsidR="00EB2B2E" w:rsidRPr="00F3004A" w:rsidRDefault="00C6032B">
      <w:pPr>
        <w:pStyle w:val="Obsah2"/>
        <w:rPr>
          <w:rFonts w:eastAsiaTheme="minorEastAsia"/>
          <w:b w:val="0"/>
          <w:bCs w:val="0"/>
        </w:rPr>
      </w:pPr>
      <w:hyperlink w:anchor="_Toc199230837" w:history="1">
        <w:r w:rsidR="00EB2B2E" w:rsidRPr="00F3004A">
          <w:rPr>
            <w:rStyle w:val="Hypertextovprepojenie"/>
          </w:rPr>
          <w:t>6.3</w:t>
        </w:r>
        <w:r w:rsidR="00EB2B2E" w:rsidRPr="00F3004A">
          <w:rPr>
            <w:rFonts w:eastAsiaTheme="minorEastAsia"/>
            <w:b w:val="0"/>
            <w:bCs w:val="0"/>
          </w:rPr>
          <w:tab/>
        </w:r>
        <w:r w:rsidR="00EB2B2E" w:rsidRPr="00F3004A">
          <w:rPr>
            <w:rStyle w:val="Hypertextovprepojenie"/>
          </w:rPr>
          <w:t>Príspevok na činnosť pracovného asistenta - § 59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_Toc199230837 \h </w:instrText>
        </w:r>
        <w:r w:rsidR="00EB2B2E" w:rsidRPr="00F3004A">
          <w:rPr>
            <w:webHidden/>
          </w:rPr>
        </w:r>
        <w:r w:rsidR="00EB2B2E" w:rsidRPr="00F3004A">
          <w:rPr>
            <w:webHidden/>
          </w:rPr>
          <w:fldChar w:fldCharType="separate"/>
        </w:r>
        <w:r w:rsidR="00EB2B2E" w:rsidRPr="00F3004A">
          <w:rPr>
            <w:webHidden/>
          </w:rPr>
          <w:t>36</w:t>
        </w:r>
        <w:r w:rsidR="00EB2B2E" w:rsidRPr="00F3004A">
          <w:rPr>
            <w:webHidden/>
          </w:rPr>
          <w:fldChar w:fldCharType="end"/>
        </w:r>
      </w:hyperlink>
    </w:p>
    <w:p w14:paraId="575F72DE" w14:textId="4A552C1B" w:rsidR="00EB2B2E" w:rsidRPr="00F3004A" w:rsidRDefault="00C6032B">
      <w:pPr>
        <w:pStyle w:val="Obsah2"/>
        <w:rPr>
          <w:rFonts w:eastAsiaTheme="minorEastAsia"/>
          <w:b w:val="0"/>
          <w:bCs w:val="0"/>
        </w:rPr>
      </w:pPr>
      <w:hyperlink w:anchor="_Toc199230838" w:history="1">
        <w:r w:rsidR="00EB2B2E" w:rsidRPr="00F3004A">
          <w:rPr>
            <w:rStyle w:val="Hypertextovprepojenie"/>
          </w:rPr>
          <w:t>6.4</w:t>
        </w:r>
        <w:r w:rsidR="00EB2B2E" w:rsidRPr="00F3004A">
          <w:rPr>
            <w:rFonts w:eastAsiaTheme="minorEastAsia"/>
            <w:b w:val="0"/>
            <w:bCs w:val="0"/>
          </w:rPr>
          <w:tab/>
        </w:r>
        <w:r w:rsidR="00EB2B2E" w:rsidRPr="00F3004A">
          <w:rPr>
            <w:rStyle w:val="Hypertextovprepojenie"/>
          </w:rPr>
          <w:t>Príspevok na úhradu prevádzkových nákladov chránenej dielne alebo chráneného pracoviska a na úhradu nákladov na dopravu zamestnancov - § 60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_Toc199230838 \h </w:instrText>
        </w:r>
        <w:r w:rsidR="00EB2B2E" w:rsidRPr="00F3004A">
          <w:rPr>
            <w:webHidden/>
          </w:rPr>
        </w:r>
        <w:r w:rsidR="00EB2B2E" w:rsidRPr="00F3004A">
          <w:rPr>
            <w:webHidden/>
          </w:rPr>
          <w:fldChar w:fldCharType="separate"/>
        </w:r>
        <w:r w:rsidR="00EB2B2E" w:rsidRPr="00F3004A">
          <w:rPr>
            <w:webHidden/>
          </w:rPr>
          <w:t>37</w:t>
        </w:r>
        <w:r w:rsidR="00EB2B2E" w:rsidRPr="00F3004A">
          <w:rPr>
            <w:webHidden/>
          </w:rPr>
          <w:fldChar w:fldCharType="end"/>
        </w:r>
      </w:hyperlink>
    </w:p>
    <w:p w14:paraId="03C6893E" w14:textId="3398A23D" w:rsidR="00EB2B2E" w:rsidRPr="00F3004A" w:rsidRDefault="00C6032B">
      <w:pPr>
        <w:pStyle w:val="Obsah2"/>
        <w:rPr>
          <w:rFonts w:eastAsiaTheme="minorEastAsia"/>
          <w:b w:val="0"/>
          <w:bCs w:val="0"/>
        </w:rPr>
      </w:pPr>
      <w:hyperlink w:anchor="_Toc199230839" w:history="1">
        <w:r w:rsidR="00EB2B2E" w:rsidRPr="00F3004A">
          <w:rPr>
            <w:rStyle w:val="Hypertextovprepojenie"/>
          </w:rPr>
          <w:t>6.5</w:t>
        </w:r>
        <w:r w:rsidR="00EB2B2E" w:rsidRPr="00F3004A">
          <w:rPr>
            <w:rFonts w:eastAsiaTheme="minorEastAsia"/>
            <w:b w:val="0"/>
            <w:bCs w:val="0"/>
          </w:rPr>
          <w:tab/>
        </w:r>
        <w:r w:rsidR="00EB2B2E" w:rsidRPr="00F3004A">
          <w:rPr>
            <w:rStyle w:val="Hypertextovprepojenie"/>
          </w:rPr>
          <w:t>Vyrovnávací príspevok - § 19b zákona o sociálnej ekonomike</w:t>
        </w:r>
        <w:r w:rsidR="00EB2B2E" w:rsidRPr="00F3004A">
          <w:rPr>
            <w:webHidden/>
          </w:rPr>
          <w:tab/>
        </w:r>
        <w:r w:rsidR="00EB2B2E" w:rsidRPr="00F3004A">
          <w:rPr>
            <w:webHidden/>
          </w:rPr>
          <w:fldChar w:fldCharType="begin"/>
        </w:r>
        <w:r w:rsidR="00EB2B2E" w:rsidRPr="00F3004A">
          <w:rPr>
            <w:webHidden/>
          </w:rPr>
          <w:instrText xml:space="preserve"> PAGEREF _Toc199230839 \h </w:instrText>
        </w:r>
        <w:r w:rsidR="00EB2B2E" w:rsidRPr="00F3004A">
          <w:rPr>
            <w:webHidden/>
          </w:rPr>
        </w:r>
        <w:r w:rsidR="00EB2B2E" w:rsidRPr="00F3004A">
          <w:rPr>
            <w:webHidden/>
          </w:rPr>
          <w:fldChar w:fldCharType="separate"/>
        </w:r>
        <w:r w:rsidR="00EB2B2E" w:rsidRPr="00F3004A">
          <w:rPr>
            <w:webHidden/>
          </w:rPr>
          <w:t>38</w:t>
        </w:r>
        <w:r w:rsidR="00EB2B2E" w:rsidRPr="00F3004A">
          <w:rPr>
            <w:webHidden/>
          </w:rPr>
          <w:fldChar w:fldCharType="end"/>
        </w:r>
      </w:hyperlink>
    </w:p>
    <w:p w14:paraId="728BB3C9" w14:textId="5AF6F40A" w:rsidR="00EB2B2E" w:rsidRPr="00F3004A" w:rsidRDefault="00C6032B">
      <w:pPr>
        <w:pStyle w:val="Obsah1"/>
        <w:rPr>
          <w:rFonts w:eastAsiaTheme="minorEastAsia"/>
          <w:b w:val="0"/>
          <w:bCs w:val="0"/>
          <w:caps w:val="0"/>
          <w:lang w:eastAsia="sk-SK"/>
        </w:rPr>
      </w:pPr>
      <w:hyperlink w:anchor="_Toc199230840" w:history="1">
        <w:r w:rsidR="00EB2B2E" w:rsidRPr="00F3004A">
          <w:rPr>
            <w:rStyle w:val="Hypertextovprepojenie"/>
          </w:rPr>
          <w:t>7</w:t>
        </w:r>
        <w:r w:rsidR="00EB2B2E" w:rsidRPr="00F3004A">
          <w:rPr>
            <w:rFonts w:eastAsiaTheme="minorEastAsia"/>
            <w:b w:val="0"/>
            <w:bCs w:val="0"/>
            <w:caps w:val="0"/>
            <w:lang w:eastAsia="sk-SK"/>
          </w:rPr>
          <w:tab/>
        </w:r>
        <w:r w:rsidR="00EB2B2E" w:rsidRPr="00F3004A">
          <w:rPr>
            <w:rStyle w:val="Hypertextovprepojenie"/>
          </w:rPr>
          <w:t>Projekty a programy  podľa § 54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_Toc199230840 \h </w:instrText>
        </w:r>
        <w:r w:rsidR="00EB2B2E" w:rsidRPr="00F3004A">
          <w:rPr>
            <w:webHidden/>
          </w:rPr>
        </w:r>
        <w:r w:rsidR="00EB2B2E" w:rsidRPr="00F3004A">
          <w:rPr>
            <w:webHidden/>
          </w:rPr>
          <w:fldChar w:fldCharType="separate"/>
        </w:r>
        <w:r w:rsidR="00EB2B2E" w:rsidRPr="00F3004A">
          <w:rPr>
            <w:webHidden/>
          </w:rPr>
          <w:t>38</w:t>
        </w:r>
        <w:r w:rsidR="00EB2B2E" w:rsidRPr="00F3004A">
          <w:rPr>
            <w:webHidden/>
          </w:rPr>
          <w:fldChar w:fldCharType="end"/>
        </w:r>
      </w:hyperlink>
    </w:p>
    <w:p w14:paraId="747D22EC" w14:textId="73F8EF1C" w:rsidR="00EB2B2E" w:rsidRPr="00F3004A" w:rsidRDefault="00C6032B">
      <w:pPr>
        <w:pStyle w:val="Obsah2"/>
        <w:rPr>
          <w:rFonts w:eastAsiaTheme="minorEastAsia"/>
          <w:b w:val="0"/>
          <w:bCs w:val="0"/>
        </w:rPr>
      </w:pPr>
      <w:hyperlink w:anchor="_Toc199230841" w:history="1">
        <w:r w:rsidR="00EB2B2E" w:rsidRPr="00F3004A">
          <w:rPr>
            <w:rStyle w:val="Hypertextovprepojenie"/>
          </w:rPr>
          <w:t>7.1</w:t>
        </w:r>
        <w:r w:rsidR="00EB2B2E" w:rsidRPr="00F3004A">
          <w:rPr>
            <w:rFonts w:eastAsiaTheme="minorEastAsia"/>
            <w:b w:val="0"/>
            <w:bCs w:val="0"/>
          </w:rPr>
          <w:tab/>
        </w:r>
        <w:r w:rsidR="00EB2B2E" w:rsidRPr="00F3004A">
          <w:rPr>
            <w:rStyle w:val="Hypertextovprepojenie"/>
          </w:rPr>
          <w:t>Národný projekt  „Spoločne hľadáme prácu III“</w:t>
        </w:r>
        <w:r w:rsidR="00EB2B2E" w:rsidRPr="00F3004A">
          <w:rPr>
            <w:webHidden/>
          </w:rPr>
          <w:tab/>
        </w:r>
        <w:r w:rsidR="00EB2B2E" w:rsidRPr="00F3004A">
          <w:rPr>
            <w:webHidden/>
          </w:rPr>
          <w:fldChar w:fldCharType="begin"/>
        </w:r>
        <w:r w:rsidR="00EB2B2E" w:rsidRPr="00F3004A">
          <w:rPr>
            <w:webHidden/>
          </w:rPr>
          <w:instrText xml:space="preserve"> PAGEREF _Toc199230841 \h </w:instrText>
        </w:r>
        <w:r w:rsidR="00EB2B2E" w:rsidRPr="00F3004A">
          <w:rPr>
            <w:webHidden/>
          </w:rPr>
        </w:r>
        <w:r w:rsidR="00EB2B2E" w:rsidRPr="00F3004A">
          <w:rPr>
            <w:webHidden/>
          </w:rPr>
          <w:fldChar w:fldCharType="separate"/>
        </w:r>
        <w:r w:rsidR="00EB2B2E" w:rsidRPr="00F3004A">
          <w:rPr>
            <w:webHidden/>
          </w:rPr>
          <w:t>38</w:t>
        </w:r>
        <w:r w:rsidR="00EB2B2E" w:rsidRPr="00F3004A">
          <w:rPr>
            <w:webHidden/>
          </w:rPr>
          <w:fldChar w:fldCharType="end"/>
        </w:r>
      </w:hyperlink>
    </w:p>
    <w:p w14:paraId="7FB1B024" w14:textId="735E89D8" w:rsidR="00EB2B2E" w:rsidRPr="00F3004A" w:rsidRDefault="00C6032B">
      <w:pPr>
        <w:pStyle w:val="Obsah2"/>
        <w:rPr>
          <w:rFonts w:eastAsiaTheme="minorEastAsia"/>
          <w:b w:val="0"/>
          <w:bCs w:val="0"/>
        </w:rPr>
      </w:pPr>
      <w:hyperlink w:anchor="_Toc199230842" w:history="1">
        <w:r w:rsidR="00EB2B2E" w:rsidRPr="00F3004A">
          <w:rPr>
            <w:rStyle w:val="Hypertextovprepojenie"/>
          </w:rPr>
          <w:t>7.2</w:t>
        </w:r>
        <w:r w:rsidR="00EB2B2E" w:rsidRPr="00F3004A">
          <w:rPr>
            <w:rFonts w:eastAsiaTheme="minorEastAsia"/>
            <w:b w:val="0"/>
            <w:bCs w:val="0"/>
          </w:rPr>
          <w:tab/>
        </w:r>
        <w:r w:rsidR="00EB2B2E" w:rsidRPr="00F3004A">
          <w:rPr>
            <w:rStyle w:val="Hypertextovprepojenie"/>
          </w:rPr>
          <w:t>Národný projekt „Poradenstvom k zamestnaniu“</w:t>
        </w:r>
        <w:r w:rsidR="00EB2B2E" w:rsidRPr="00F3004A">
          <w:rPr>
            <w:webHidden/>
          </w:rPr>
          <w:tab/>
        </w:r>
        <w:r w:rsidR="00EB2B2E" w:rsidRPr="00F3004A">
          <w:rPr>
            <w:webHidden/>
          </w:rPr>
          <w:fldChar w:fldCharType="begin"/>
        </w:r>
        <w:r w:rsidR="00EB2B2E" w:rsidRPr="00F3004A">
          <w:rPr>
            <w:webHidden/>
          </w:rPr>
          <w:instrText xml:space="preserve"> PAGEREF _Toc199230842 \h </w:instrText>
        </w:r>
        <w:r w:rsidR="00EB2B2E" w:rsidRPr="00F3004A">
          <w:rPr>
            <w:webHidden/>
          </w:rPr>
        </w:r>
        <w:r w:rsidR="00EB2B2E" w:rsidRPr="00F3004A">
          <w:rPr>
            <w:webHidden/>
          </w:rPr>
          <w:fldChar w:fldCharType="separate"/>
        </w:r>
        <w:r w:rsidR="00EB2B2E" w:rsidRPr="00F3004A">
          <w:rPr>
            <w:webHidden/>
          </w:rPr>
          <w:t>39</w:t>
        </w:r>
        <w:r w:rsidR="00EB2B2E" w:rsidRPr="00F3004A">
          <w:rPr>
            <w:webHidden/>
          </w:rPr>
          <w:fldChar w:fldCharType="end"/>
        </w:r>
      </w:hyperlink>
    </w:p>
    <w:p w14:paraId="5EBF5162" w14:textId="1EDF94EC" w:rsidR="00EB2B2E" w:rsidRPr="00F3004A" w:rsidRDefault="00C6032B">
      <w:pPr>
        <w:pStyle w:val="Obsah2"/>
        <w:rPr>
          <w:rFonts w:eastAsiaTheme="minorEastAsia"/>
          <w:b w:val="0"/>
          <w:bCs w:val="0"/>
        </w:rPr>
      </w:pPr>
      <w:hyperlink w:anchor="_Toc199230843" w:history="1">
        <w:r w:rsidR="00EB2B2E" w:rsidRPr="00F3004A">
          <w:rPr>
            <w:rStyle w:val="Hypertextovprepojenie"/>
          </w:rPr>
          <w:t>7.3</w:t>
        </w:r>
        <w:r w:rsidR="00EB2B2E" w:rsidRPr="00F3004A">
          <w:rPr>
            <w:rFonts w:eastAsiaTheme="minorEastAsia"/>
            <w:b w:val="0"/>
            <w:bCs w:val="0"/>
          </w:rPr>
          <w:tab/>
        </w:r>
        <w:r w:rsidR="00EB2B2E" w:rsidRPr="00F3004A">
          <w:rPr>
            <w:rStyle w:val="Hypertextovprepojenie"/>
          </w:rPr>
          <w:t>Národný projektu Zručnosti pre trh práce podľa § 54 ods. 1 písm. d)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_Toc199230843 \h </w:instrText>
        </w:r>
        <w:r w:rsidR="00EB2B2E" w:rsidRPr="00F3004A">
          <w:rPr>
            <w:webHidden/>
          </w:rPr>
        </w:r>
        <w:r w:rsidR="00EB2B2E" w:rsidRPr="00F3004A">
          <w:rPr>
            <w:webHidden/>
          </w:rPr>
          <w:fldChar w:fldCharType="separate"/>
        </w:r>
        <w:r w:rsidR="00EB2B2E" w:rsidRPr="00F3004A">
          <w:rPr>
            <w:webHidden/>
          </w:rPr>
          <w:t>45</w:t>
        </w:r>
        <w:r w:rsidR="00EB2B2E" w:rsidRPr="00F3004A">
          <w:rPr>
            <w:webHidden/>
          </w:rPr>
          <w:fldChar w:fldCharType="end"/>
        </w:r>
      </w:hyperlink>
    </w:p>
    <w:p w14:paraId="6CA203A0" w14:textId="7C774EC2" w:rsidR="00EB2B2E" w:rsidRPr="00F3004A" w:rsidRDefault="00C6032B">
      <w:pPr>
        <w:pStyle w:val="Obsah2"/>
        <w:rPr>
          <w:rFonts w:eastAsiaTheme="minorEastAsia"/>
          <w:b w:val="0"/>
          <w:bCs w:val="0"/>
        </w:rPr>
      </w:pPr>
      <w:hyperlink w:anchor="_Toc199230844" w:history="1">
        <w:r w:rsidR="00EB2B2E" w:rsidRPr="00F3004A">
          <w:rPr>
            <w:rStyle w:val="Hypertextovprepojenie"/>
          </w:rPr>
          <w:t>7.4</w:t>
        </w:r>
        <w:r w:rsidR="00EB2B2E" w:rsidRPr="00F3004A">
          <w:rPr>
            <w:rFonts w:eastAsiaTheme="minorEastAsia"/>
            <w:b w:val="0"/>
            <w:bCs w:val="0"/>
          </w:rPr>
          <w:tab/>
        </w:r>
        <w:r w:rsidR="00EB2B2E" w:rsidRPr="00F3004A">
          <w:rPr>
            <w:rStyle w:val="Hypertextovprepojenie"/>
          </w:rPr>
          <w:t>Národný projekt „Podpora opatrovateľskej služby“, aktivita „Poskytovanie príspevku na opatrovateľskú službu ako súčasť systémovej zmeny“, podaktivita 3 „Zachovanie podpory výkonu opatrovateľskej služby“</w:t>
        </w:r>
        <w:r w:rsidR="00EB2B2E" w:rsidRPr="00F3004A">
          <w:rPr>
            <w:webHidden/>
          </w:rPr>
          <w:tab/>
        </w:r>
        <w:r w:rsidR="00EB2B2E" w:rsidRPr="00F3004A">
          <w:rPr>
            <w:webHidden/>
          </w:rPr>
          <w:fldChar w:fldCharType="begin"/>
        </w:r>
        <w:r w:rsidR="00EB2B2E" w:rsidRPr="00F3004A">
          <w:rPr>
            <w:webHidden/>
          </w:rPr>
          <w:instrText xml:space="preserve"> PAGEREF _Toc199230844 \h </w:instrText>
        </w:r>
        <w:r w:rsidR="00EB2B2E" w:rsidRPr="00F3004A">
          <w:rPr>
            <w:webHidden/>
          </w:rPr>
        </w:r>
        <w:r w:rsidR="00EB2B2E" w:rsidRPr="00F3004A">
          <w:rPr>
            <w:webHidden/>
          </w:rPr>
          <w:fldChar w:fldCharType="separate"/>
        </w:r>
        <w:r w:rsidR="00EB2B2E" w:rsidRPr="00F3004A">
          <w:rPr>
            <w:webHidden/>
          </w:rPr>
          <w:t>51</w:t>
        </w:r>
        <w:r w:rsidR="00EB2B2E" w:rsidRPr="00F3004A">
          <w:rPr>
            <w:webHidden/>
          </w:rPr>
          <w:fldChar w:fldCharType="end"/>
        </w:r>
      </w:hyperlink>
    </w:p>
    <w:p w14:paraId="1E7207F7" w14:textId="72CD3153" w:rsidR="00EB2B2E" w:rsidRPr="00F3004A" w:rsidRDefault="00C6032B">
      <w:pPr>
        <w:pStyle w:val="Obsah2"/>
        <w:rPr>
          <w:rFonts w:eastAsiaTheme="minorEastAsia"/>
          <w:b w:val="0"/>
          <w:bCs w:val="0"/>
        </w:rPr>
      </w:pPr>
      <w:hyperlink w:anchor="_Toc199230845" w:history="1">
        <w:r w:rsidR="00EB2B2E" w:rsidRPr="00F3004A">
          <w:rPr>
            <w:rStyle w:val="Hypertextovprepojenie"/>
          </w:rPr>
          <w:t>7.5</w:t>
        </w:r>
        <w:r w:rsidR="00EB2B2E" w:rsidRPr="00F3004A">
          <w:rPr>
            <w:rFonts w:eastAsiaTheme="minorEastAsia"/>
            <w:b w:val="0"/>
            <w:bCs w:val="0"/>
          </w:rPr>
          <w:tab/>
        </w:r>
        <w:r w:rsidR="00EB2B2E" w:rsidRPr="00F3004A">
          <w:rPr>
            <w:rStyle w:val="Hypertextovprepojenie"/>
          </w:rPr>
          <w:t>Národný projekt „Ľudia a hrady – krok k sociálnej ekonomike"</w:t>
        </w:r>
        <w:r w:rsidR="00EB2B2E" w:rsidRPr="00F3004A">
          <w:rPr>
            <w:webHidden/>
          </w:rPr>
          <w:tab/>
        </w:r>
        <w:r w:rsidR="00EB2B2E" w:rsidRPr="00F3004A">
          <w:rPr>
            <w:webHidden/>
          </w:rPr>
          <w:fldChar w:fldCharType="begin"/>
        </w:r>
        <w:r w:rsidR="00EB2B2E" w:rsidRPr="00F3004A">
          <w:rPr>
            <w:webHidden/>
          </w:rPr>
          <w:instrText xml:space="preserve"> PAGEREF _Toc199230845 \h </w:instrText>
        </w:r>
        <w:r w:rsidR="00EB2B2E" w:rsidRPr="00F3004A">
          <w:rPr>
            <w:webHidden/>
          </w:rPr>
        </w:r>
        <w:r w:rsidR="00EB2B2E" w:rsidRPr="00F3004A">
          <w:rPr>
            <w:webHidden/>
          </w:rPr>
          <w:fldChar w:fldCharType="separate"/>
        </w:r>
        <w:r w:rsidR="00EB2B2E" w:rsidRPr="00F3004A">
          <w:rPr>
            <w:webHidden/>
          </w:rPr>
          <w:t>52</w:t>
        </w:r>
        <w:r w:rsidR="00EB2B2E" w:rsidRPr="00F3004A">
          <w:rPr>
            <w:webHidden/>
          </w:rPr>
          <w:fldChar w:fldCharType="end"/>
        </w:r>
      </w:hyperlink>
    </w:p>
    <w:p w14:paraId="17A84581" w14:textId="4B119754" w:rsidR="00EB2B2E" w:rsidRPr="00F3004A" w:rsidRDefault="00C6032B">
      <w:pPr>
        <w:pStyle w:val="Obsah2"/>
        <w:rPr>
          <w:rFonts w:eastAsiaTheme="minorEastAsia"/>
          <w:b w:val="0"/>
          <w:bCs w:val="0"/>
        </w:rPr>
      </w:pPr>
      <w:hyperlink w:anchor="_Toc199230846" w:history="1">
        <w:r w:rsidR="00EB2B2E" w:rsidRPr="00F3004A">
          <w:rPr>
            <w:rStyle w:val="Hypertextovprepojenie"/>
            <w:rFonts w:eastAsia="Calibri"/>
          </w:rPr>
          <w:t>7.6</w:t>
        </w:r>
        <w:r w:rsidR="00EB2B2E" w:rsidRPr="00F3004A">
          <w:rPr>
            <w:rFonts w:eastAsiaTheme="minorEastAsia"/>
            <w:b w:val="0"/>
            <w:bCs w:val="0"/>
          </w:rPr>
          <w:tab/>
        </w:r>
        <w:r w:rsidR="00EB2B2E" w:rsidRPr="00F3004A">
          <w:rPr>
            <w:rStyle w:val="Hypertextovprepojenie"/>
            <w:rFonts w:eastAsia="Calibri"/>
          </w:rPr>
          <w:t>Projekty realizované podľa § 54 zákona o službách zamestnanosti, financované zo štátneho rozpočtu Slovenskej republiky</w:t>
        </w:r>
        <w:r w:rsidR="00EB2B2E" w:rsidRPr="00F3004A">
          <w:rPr>
            <w:webHidden/>
          </w:rPr>
          <w:tab/>
        </w:r>
        <w:r w:rsidR="00EB2B2E" w:rsidRPr="00F3004A">
          <w:rPr>
            <w:webHidden/>
          </w:rPr>
          <w:fldChar w:fldCharType="begin"/>
        </w:r>
        <w:r w:rsidR="00EB2B2E" w:rsidRPr="00F3004A">
          <w:rPr>
            <w:webHidden/>
          </w:rPr>
          <w:instrText xml:space="preserve"> PAGEREF _Toc199230846 \h </w:instrText>
        </w:r>
        <w:r w:rsidR="00EB2B2E" w:rsidRPr="00F3004A">
          <w:rPr>
            <w:webHidden/>
          </w:rPr>
        </w:r>
        <w:r w:rsidR="00EB2B2E" w:rsidRPr="00F3004A">
          <w:rPr>
            <w:webHidden/>
          </w:rPr>
          <w:fldChar w:fldCharType="separate"/>
        </w:r>
        <w:r w:rsidR="00EB2B2E" w:rsidRPr="00F3004A">
          <w:rPr>
            <w:webHidden/>
          </w:rPr>
          <w:t>55</w:t>
        </w:r>
        <w:r w:rsidR="00EB2B2E" w:rsidRPr="00F3004A">
          <w:rPr>
            <w:webHidden/>
          </w:rPr>
          <w:fldChar w:fldCharType="end"/>
        </w:r>
      </w:hyperlink>
    </w:p>
    <w:p w14:paraId="2D7F373D" w14:textId="36E33919" w:rsidR="00EB2B2E" w:rsidRPr="00F3004A" w:rsidRDefault="00C6032B" w:rsidP="00F65B19">
      <w:pPr>
        <w:pStyle w:val="Obsah3"/>
        <w:rPr>
          <w:rFonts w:eastAsiaTheme="minorEastAsia"/>
        </w:rPr>
      </w:pPr>
      <w:hyperlink w:anchor="_Toc199230847" w:history="1">
        <w:r w:rsidR="00EB2B2E" w:rsidRPr="00F3004A">
          <w:rPr>
            <w:rStyle w:val="Hypertextovprepojenie"/>
          </w:rPr>
          <w:t>7.6.1</w:t>
        </w:r>
        <w:r w:rsidR="00EB2B2E" w:rsidRPr="00F3004A">
          <w:rPr>
            <w:rFonts w:eastAsiaTheme="minorEastAsia"/>
          </w:rPr>
          <w:tab/>
        </w:r>
        <w:r w:rsidR="00EB2B2E" w:rsidRPr="00F3004A">
          <w:rPr>
            <w:rStyle w:val="Hypertextovprepojenie"/>
          </w:rPr>
          <w:t>Motivačný interný projekt  pre mladých do 29 rokov „Buď aktívny, zamestnaj sa“</w:t>
        </w:r>
        <w:r w:rsidR="00EB2B2E" w:rsidRPr="00F3004A">
          <w:rPr>
            <w:webHidden/>
          </w:rPr>
          <w:tab/>
        </w:r>
        <w:r w:rsidR="00EB2B2E" w:rsidRPr="00F3004A">
          <w:rPr>
            <w:webHidden/>
          </w:rPr>
          <w:fldChar w:fldCharType="begin"/>
        </w:r>
        <w:r w:rsidR="00EB2B2E" w:rsidRPr="00F3004A">
          <w:rPr>
            <w:webHidden/>
          </w:rPr>
          <w:instrText xml:space="preserve"> PAGEREF _Toc199230847 \h </w:instrText>
        </w:r>
        <w:r w:rsidR="00EB2B2E" w:rsidRPr="00F3004A">
          <w:rPr>
            <w:webHidden/>
          </w:rPr>
        </w:r>
        <w:r w:rsidR="00EB2B2E" w:rsidRPr="00F3004A">
          <w:rPr>
            <w:webHidden/>
          </w:rPr>
          <w:fldChar w:fldCharType="separate"/>
        </w:r>
        <w:r w:rsidR="00EB2B2E" w:rsidRPr="00F3004A">
          <w:rPr>
            <w:webHidden/>
          </w:rPr>
          <w:t>55</w:t>
        </w:r>
        <w:r w:rsidR="00EB2B2E" w:rsidRPr="00F3004A">
          <w:rPr>
            <w:webHidden/>
          </w:rPr>
          <w:fldChar w:fldCharType="end"/>
        </w:r>
      </w:hyperlink>
    </w:p>
    <w:p w14:paraId="0476DCAE" w14:textId="57B9FCC9" w:rsidR="00EB2B2E" w:rsidRPr="00F3004A" w:rsidRDefault="00C6032B" w:rsidP="00F65B19">
      <w:pPr>
        <w:pStyle w:val="Obsah3"/>
        <w:rPr>
          <w:rFonts w:eastAsiaTheme="minorEastAsia"/>
        </w:rPr>
      </w:pPr>
      <w:hyperlink w:anchor="_Toc199230848" w:history="1">
        <w:r w:rsidR="00EB2B2E" w:rsidRPr="00F3004A">
          <w:rPr>
            <w:rStyle w:val="Hypertextovprepojenie"/>
          </w:rPr>
          <w:t>7.6.2</w:t>
        </w:r>
        <w:r w:rsidR="00EB2B2E" w:rsidRPr="00F3004A">
          <w:rPr>
            <w:rFonts w:eastAsiaTheme="minorEastAsia"/>
          </w:rPr>
          <w:tab/>
        </w:r>
        <w:r w:rsidR="00EB2B2E" w:rsidRPr="00F3004A">
          <w:rPr>
            <w:rStyle w:val="Hypertextovprepojenie"/>
          </w:rPr>
          <w:t>Motivačný interný projekt pre DNO „Zvýšenou aktivitou k zamestnaniu“</w:t>
        </w:r>
        <w:r w:rsidR="00EB2B2E" w:rsidRPr="00F3004A">
          <w:rPr>
            <w:webHidden/>
          </w:rPr>
          <w:tab/>
        </w:r>
        <w:r w:rsidR="00EB2B2E" w:rsidRPr="00F3004A">
          <w:rPr>
            <w:webHidden/>
          </w:rPr>
          <w:fldChar w:fldCharType="begin"/>
        </w:r>
        <w:r w:rsidR="00EB2B2E" w:rsidRPr="00F3004A">
          <w:rPr>
            <w:webHidden/>
          </w:rPr>
          <w:instrText xml:space="preserve"> PAGEREF _Toc199230848 \h </w:instrText>
        </w:r>
        <w:r w:rsidR="00EB2B2E" w:rsidRPr="00F3004A">
          <w:rPr>
            <w:webHidden/>
          </w:rPr>
        </w:r>
        <w:r w:rsidR="00EB2B2E" w:rsidRPr="00F3004A">
          <w:rPr>
            <w:webHidden/>
          </w:rPr>
          <w:fldChar w:fldCharType="separate"/>
        </w:r>
        <w:r w:rsidR="00EB2B2E" w:rsidRPr="00F3004A">
          <w:rPr>
            <w:webHidden/>
          </w:rPr>
          <w:t>56</w:t>
        </w:r>
        <w:r w:rsidR="00EB2B2E" w:rsidRPr="00F3004A">
          <w:rPr>
            <w:webHidden/>
          </w:rPr>
          <w:fldChar w:fldCharType="end"/>
        </w:r>
      </w:hyperlink>
    </w:p>
    <w:p w14:paraId="5EFCB78E" w14:textId="1E73E996" w:rsidR="00EB2B2E" w:rsidRPr="00F3004A" w:rsidRDefault="00C6032B" w:rsidP="00F65B19">
      <w:pPr>
        <w:pStyle w:val="Obsah3"/>
        <w:rPr>
          <w:rFonts w:eastAsiaTheme="minorEastAsia"/>
        </w:rPr>
      </w:pPr>
      <w:hyperlink w:anchor="_Toc199230849" w:history="1">
        <w:r w:rsidR="00EB2B2E" w:rsidRPr="00F3004A">
          <w:rPr>
            <w:rStyle w:val="Hypertextovprepojenie"/>
          </w:rPr>
          <w:t>7.6.3</w:t>
        </w:r>
        <w:r w:rsidR="00EB2B2E" w:rsidRPr="00F3004A">
          <w:rPr>
            <w:rFonts w:eastAsiaTheme="minorEastAsia"/>
          </w:rPr>
          <w:tab/>
        </w:r>
        <w:r w:rsidR="00EB2B2E" w:rsidRPr="00F3004A">
          <w:rPr>
            <w:rStyle w:val="Hypertextovprepojenie"/>
          </w:rPr>
          <w:t>Projekt „Vzdelávanie mladých dospelých“ podľa § 54 ods. 1 písm. d)  zákona o službách zamestnanosti</w:t>
        </w:r>
        <w:r w:rsidR="00EB2B2E" w:rsidRPr="00F3004A">
          <w:rPr>
            <w:webHidden/>
          </w:rPr>
          <w:tab/>
        </w:r>
        <w:r w:rsidR="00EB2B2E" w:rsidRPr="00F3004A">
          <w:rPr>
            <w:webHidden/>
          </w:rPr>
          <w:fldChar w:fldCharType="begin"/>
        </w:r>
        <w:r w:rsidR="00EB2B2E" w:rsidRPr="00F3004A">
          <w:rPr>
            <w:webHidden/>
          </w:rPr>
          <w:instrText xml:space="preserve"> PAGEREF _Toc199230849 \h </w:instrText>
        </w:r>
        <w:r w:rsidR="00EB2B2E" w:rsidRPr="00F3004A">
          <w:rPr>
            <w:webHidden/>
          </w:rPr>
        </w:r>
        <w:r w:rsidR="00EB2B2E" w:rsidRPr="00F3004A">
          <w:rPr>
            <w:webHidden/>
          </w:rPr>
          <w:fldChar w:fldCharType="separate"/>
        </w:r>
        <w:r w:rsidR="00EB2B2E" w:rsidRPr="00F3004A">
          <w:rPr>
            <w:webHidden/>
          </w:rPr>
          <w:t>56</w:t>
        </w:r>
        <w:r w:rsidR="00EB2B2E" w:rsidRPr="00F3004A">
          <w:rPr>
            <w:webHidden/>
          </w:rPr>
          <w:fldChar w:fldCharType="end"/>
        </w:r>
      </w:hyperlink>
    </w:p>
    <w:p w14:paraId="201AB335" w14:textId="0794B388" w:rsidR="00EB2B2E" w:rsidRPr="00F3004A" w:rsidRDefault="00C6032B" w:rsidP="00F65B19">
      <w:pPr>
        <w:pStyle w:val="Obsah3"/>
        <w:rPr>
          <w:rFonts w:eastAsiaTheme="minorEastAsia"/>
        </w:rPr>
      </w:pPr>
      <w:hyperlink w:anchor="_Toc199230850" w:history="1">
        <w:r w:rsidR="00EB2B2E" w:rsidRPr="00F3004A">
          <w:rPr>
            <w:rStyle w:val="Hypertextovprepojenie"/>
          </w:rPr>
          <w:t>7.6.4</w:t>
        </w:r>
        <w:r w:rsidR="00EB2B2E" w:rsidRPr="00F3004A">
          <w:rPr>
            <w:rFonts w:eastAsiaTheme="minorEastAsia"/>
          </w:rPr>
          <w:tab/>
        </w:r>
        <w:r w:rsidR="00EB2B2E" w:rsidRPr="00F3004A">
          <w:rPr>
            <w:rStyle w:val="Hypertextovprepojenie"/>
          </w:rPr>
          <w:t>Projekt „Podpora udržania pracovných návykov - PUPN“</w:t>
        </w:r>
        <w:r w:rsidR="00EB2B2E" w:rsidRPr="00F3004A">
          <w:rPr>
            <w:webHidden/>
          </w:rPr>
          <w:tab/>
        </w:r>
        <w:r w:rsidR="00EB2B2E" w:rsidRPr="00F3004A">
          <w:rPr>
            <w:webHidden/>
          </w:rPr>
          <w:fldChar w:fldCharType="begin"/>
        </w:r>
        <w:r w:rsidR="00EB2B2E" w:rsidRPr="00F3004A">
          <w:rPr>
            <w:webHidden/>
          </w:rPr>
          <w:instrText xml:space="preserve"> PAGEREF _Toc199230850 \h </w:instrText>
        </w:r>
        <w:r w:rsidR="00EB2B2E" w:rsidRPr="00F3004A">
          <w:rPr>
            <w:webHidden/>
          </w:rPr>
        </w:r>
        <w:r w:rsidR="00EB2B2E" w:rsidRPr="00F3004A">
          <w:rPr>
            <w:webHidden/>
          </w:rPr>
          <w:fldChar w:fldCharType="separate"/>
        </w:r>
        <w:r w:rsidR="00EB2B2E" w:rsidRPr="00F3004A">
          <w:rPr>
            <w:webHidden/>
          </w:rPr>
          <w:t>58</w:t>
        </w:r>
        <w:r w:rsidR="00EB2B2E" w:rsidRPr="00F3004A">
          <w:rPr>
            <w:webHidden/>
          </w:rPr>
          <w:fldChar w:fldCharType="end"/>
        </w:r>
      </w:hyperlink>
    </w:p>
    <w:p w14:paraId="3B59ABF4" w14:textId="62138337" w:rsidR="00EB2B2E" w:rsidRPr="00F3004A" w:rsidRDefault="00C6032B" w:rsidP="00F65B19">
      <w:pPr>
        <w:pStyle w:val="Obsah3"/>
        <w:rPr>
          <w:rFonts w:eastAsiaTheme="minorEastAsia"/>
        </w:rPr>
      </w:pPr>
      <w:hyperlink w:anchor="_Toc199230851" w:history="1">
        <w:r w:rsidR="00EB2B2E" w:rsidRPr="00F3004A">
          <w:rPr>
            <w:rStyle w:val="Hypertextovprepojenie"/>
          </w:rPr>
          <w:t>7.6.5</w:t>
        </w:r>
        <w:r w:rsidR="00EB2B2E" w:rsidRPr="00F3004A">
          <w:rPr>
            <w:rFonts w:eastAsiaTheme="minorEastAsia"/>
          </w:rPr>
          <w:tab/>
        </w:r>
        <w:r w:rsidR="00EB2B2E" w:rsidRPr="00F3004A">
          <w:rPr>
            <w:rStyle w:val="Hypertextovprepojenie"/>
          </w:rPr>
          <w:t>Projekt „Podpora udržania pracovných návykov- PUPN 2“</w:t>
        </w:r>
        <w:r w:rsidR="00EB2B2E" w:rsidRPr="00F3004A">
          <w:rPr>
            <w:webHidden/>
          </w:rPr>
          <w:tab/>
        </w:r>
        <w:r w:rsidR="00EB2B2E" w:rsidRPr="00F3004A">
          <w:rPr>
            <w:webHidden/>
          </w:rPr>
          <w:fldChar w:fldCharType="begin"/>
        </w:r>
        <w:r w:rsidR="00EB2B2E" w:rsidRPr="00F3004A">
          <w:rPr>
            <w:webHidden/>
          </w:rPr>
          <w:instrText xml:space="preserve"> PAGEREF _Toc199230851 \h </w:instrText>
        </w:r>
        <w:r w:rsidR="00EB2B2E" w:rsidRPr="00F3004A">
          <w:rPr>
            <w:webHidden/>
          </w:rPr>
        </w:r>
        <w:r w:rsidR="00EB2B2E" w:rsidRPr="00F3004A">
          <w:rPr>
            <w:webHidden/>
          </w:rPr>
          <w:fldChar w:fldCharType="separate"/>
        </w:r>
        <w:r w:rsidR="00EB2B2E" w:rsidRPr="00F3004A">
          <w:rPr>
            <w:webHidden/>
          </w:rPr>
          <w:t>61</w:t>
        </w:r>
        <w:r w:rsidR="00EB2B2E" w:rsidRPr="00F3004A">
          <w:rPr>
            <w:webHidden/>
          </w:rPr>
          <w:fldChar w:fldCharType="end"/>
        </w:r>
      </w:hyperlink>
    </w:p>
    <w:p w14:paraId="7A269637" w14:textId="00CDB8CE" w:rsidR="00EB2B2E" w:rsidRPr="00F3004A" w:rsidRDefault="00C6032B" w:rsidP="00F65B19">
      <w:pPr>
        <w:pStyle w:val="Obsah3"/>
        <w:rPr>
          <w:rFonts w:eastAsiaTheme="minorEastAsia"/>
        </w:rPr>
      </w:pPr>
      <w:hyperlink w:anchor="_Toc199230852" w:history="1">
        <w:r w:rsidR="00EB2B2E" w:rsidRPr="00F3004A">
          <w:rPr>
            <w:rStyle w:val="Hypertextovprepojenie"/>
          </w:rPr>
          <w:t>7.6.6</w:t>
        </w:r>
        <w:r w:rsidR="00EB2B2E" w:rsidRPr="00F3004A">
          <w:rPr>
            <w:rFonts w:eastAsiaTheme="minorEastAsia"/>
          </w:rPr>
          <w:tab/>
        </w:r>
        <w:r w:rsidR="00EB2B2E" w:rsidRPr="00F3004A">
          <w:rPr>
            <w:rStyle w:val="Hypertextovprepojenie"/>
          </w:rPr>
          <w:t>Projekt „Podpora obcí zasiahnutých zemetrasením“</w:t>
        </w:r>
        <w:r w:rsidR="00EB2B2E" w:rsidRPr="00F3004A">
          <w:rPr>
            <w:webHidden/>
          </w:rPr>
          <w:tab/>
        </w:r>
        <w:r w:rsidR="00EB2B2E" w:rsidRPr="00F3004A">
          <w:rPr>
            <w:webHidden/>
          </w:rPr>
          <w:fldChar w:fldCharType="begin"/>
        </w:r>
        <w:r w:rsidR="00EB2B2E" w:rsidRPr="00F3004A">
          <w:rPr>
            <w:webHidden/>
          </w:rPr>
          <w:instrText xml:space="preserve"> PAGEREF _Toc199230852 \h </w:instrText>
        </w:r>
        <w:r w:rsidR="00EB2B2E" w:rsidRPr="00F3004A">
          <w:rPr>
            <w:webHidden/>
          </w:rPr>
        </w:r>
        <w:r w:rsidR="00EB2B2E" w:rsidRPr="00F3004A">
          <w:rPr>
            <w:webHidden/>
          </w:rPr>
          <w:fldChar w:fldCharType="separate"/>
        </w:r>
        <w:r w:rsidR="00EB2B2E" w:rsidRPr="00F3004A">
          <w:rPr>
            <w:webHidden/>
          </w:rPr>
          <w:t>65</w:t>
        </w:r>
        <w:r w:rsidR="00EB2B2E" w:rsidRPr="00F3004A">
          <w:rPr>
            <w:webHidden/>
          </w:rPr>
          <w:fldChar w:fldCharType="end"/>
        </w:r>
      </w:hyperlink>
    </w:p>
    <w:p w14:paraId="355DAF5F" w14:textId="49B62A3D" w:rsidR="00EB2B2E" w:rsidRPr="00F3004A" w:rsidRDefault="00C6032B" w:rsidP="00F65B19">
      <w:pPr>
        <w:pStyle w:val="Obsah3"/>
        <w:rPr>
          <w:rFonts w:eastAsiaTheme="minorEastAsia"/>
        </w:rPr>
      </w:pPr>
      <w:hyperlink w:anchor="_Toc199230853" w:history="1">
        <w:r w:rsidR="00EB2B2E" w:rsidRPr="00F3004A">
          <w:rPr>
            <w:rStyle w:val="Hypertextovprepojenie"/>
            <w:lang w:eastAsia="en-US"/>
          </w:rPr>
          <w:t>7.6.7</w:t>
        </w:r>
        <w:r w:rsidR="00EB2B2E" w:rsidRPr="00F3004A">
          <w:rPr>
            <w:rFonts w:eastAsiaTheme="minorEastAsia"/>
          </w:rPr>
          <w:tab/>
        </w:r>
        <w:r w:rsidR="00EB2B2E" w:rsidRPr="00F3004A">
          <w:rPr>
            <w:rStyle w:val="Hypertextovprepojenie"/>
            <w:lang w:eastAsia="en-US"/>
          </w:rPr>
          <w:t>Projekt „Podpora obcí zasiahnutých zemetrasením 2“</w:t>
        </w:r>
        <w:r w:rsidR="00EB2B2E" w:rsidRPr="00F3004A">
          <w:rPr>
            <w:webHidden/>
          </w:rPr>
          <w:tab/>
        </w:r>
        <w:r w:rsidR="00EB2B2E" w:rsidRPr="00F3004A">
          <w:rPr>
            <w:webHidden/>
          </w:rPr>
          <w:fldChar w:fldCharType="begin"/>
        </w:r>
        <w:r w:rsidR="00EB2B2E" w:rsidRPr="00F3004A">
          <w:rPr>
            <w:webHidden/>
          </w:rPr>
          <w:instrText xml:space="preserve"> PAGEREF _Toc199230853 \h </w:instrText>
        </w:r>
        <w:r w:rsidR="00EB2B2E" w:rsidRPr="00F3004A">
          <w:rPr>
            <w:webHidden/>
          </w:rPr>
        </w:r>
        <w:r w:rsidR="00EB2B2E" w:rsidRPr="00F3004A">
          <w:rPr>
            <w:webHidden/>
          </w:rPr>
          <w:fldChar w:fldCharType="separate"/>
        </w:r>
        <w:r w:rsidR="00EB2B2E" w:rsidRPr="00F3004A">
          <w:rPr>
            <w:webHidden/>
          </w:rPr>
          <w:t>67</w:t>
        </w:r>
        <w:r w:rsidR="00EB2B2E" w:rsidRPr="00F3004A">
          <w:rPr>
            <w:webHidden/>
          </w:rPr>
          <w:fldChar w:fldCharType="end"/>
        </w:r>
      </w:hyperlink>
    </w:p>
    <w:p w14:paraId="661D9EDC" w14:textId="00D91646" w:rsidR="00EB2B2E" w:rsidRPr="00F3004A" w:rsidRDefault="00C6032B" w:rsidP="00F65B19">
      <w:pPr>
        <w:pStyle w:val="Obsah3"/>
        <w:rPr>
          <w:rFonts w:eastAsiaTheme="minorEastAsia"/>
        </w:rPr>
      </w:pPr>
      <w:hyperlink w:anchor="_Toc199230854" w:history="1">
        <w:r w:rsidR="00EB2B2E" w:rsidRPr="00F3004A">
          <w:rPr>
            <w:rStyle w:val="Hypertextovprepojenie"/>
            <w:lang w:eastAsia="en-US"/>
          </w:rPr>
          <w:t>7.6.8</w:t>
        </w:r>
        <w:r w:rsidR="00EB2B2E" w:rsidRPr="00F3004A">
          <w:rPr>
            <w:rFonts w:eastAsiaTheme="minorEastAsia"/>
          </w:rPr>
          <w:tab/>
        </w:r>
        <w:r w:rsidR="00EB2B2E" w:rsidRPr="00F3004A">
          <w:rPr>
            <w:rStyle w:val="Hypertextovprepojenie"/>
            <w:lang w:eastAsia="en-US"/>
          </w:rPr>
          <w:t>Projekt „Podpora obcí a miest zasiahnutých živelnou pohromou“</w:t>
        </w:r>
        <w:r w:rsidR="00EB2B2E" w:rsidRPr="00F3004A">
          <w:rPr>
            <w:webHidden/>
          </w:rPr>
          <w:tab/>
        </w:r>
        <w:r w:rsidR="00EB2B2E" w:rsidRPr="00F3004A">
          <w:rPr>
            <w:webHidden/>
          </w:rPr>
          <w:fldChar w:fldCharType="begin"/>
        </w:r>
        <w:r w:rsidR="00EB2B2E" w:rsidRPr="00F3004A">
          <w:rPr>
            <w:webHidden/>
          </w:rPr>
          <w:instrText xml:space="preserve"> PAGEREF _Toc199230854 \h </w:instrText>
        </w:r>
        <w:r w:rsidR="00EB2B2E" w:rsidRPr="00F3004A">
          <w:rPr>
            <w:webHidden/>
          </w:rPr>
        </w:r>
        <w:r w:rsidR="00EB2B2E" w:rsidRPr="00F3004A">
          <w:rPr>
            <w:webHidden/>
          </w:rPr>
          <w:fldChar w:fldCharType="separate"/>
        </w:r>
        <w:r w:rsidR="00EB2B2E" w:rsidRPr="00F3004A">
          <w:rPr>
            <w:webHidden/>
          </w:rPr>
          <w:t>69</w:t>
        </w:r>
        <w:r w:rsidR="00EB2B2E" w:rsidRPr="00F3004A">
          <w:rPr>
            <w:webHidden/>
          </w:rPr>
          <w:fldChar w:fldCharType="end"/>
        </w:r>
      </w:hyperlink>
    </w:p>
    <w:p w14:paraId="1964457A" w14:textId="08A6DC06" w:rsidR="00EB2B2E" w:rsidRPr="00F3004A" w:rsidRDefault="00C6032B" w:rsidP="00F65B19">
      <w:pPr>
        <w:pStyle w:val="Obsah3"/>
        <w:rPr>
          <w:rFonts w:eastAsiaTheme="minorEastAsia"/>
        </w:rPr>
      </w:pPr>
      <w:hyperlink w:anchor="_Toc199230855" w:history="1">
        <w:r w:rsidR="00EB2B2E" w:rsidRPr="00F3004A">
          <w:rPr>
            <w:rStyle w:val="Hypertextovprepojenie"/>
          </w:rPr>
          <w:t>7.6.9</w:t>
        </w:r>
        <w:r w:rsidR="00EB2B2E" w:rsidRPr="00F3004A">
          <w:rPr>
            <w:rFonts w:eastAsiaTheme="minorEastAsia"/>
          </w:rPr>
          <w:tab/>
        </w:r>
        <w:r w:rsidR="00EB2B2E" w:rsidRPr="00F3004A">
          <w:rPr>
            <w:rStyle w:val="Hypertextovprepojenie"/>
          </w:rPr>
          <w:t>Projekt „Právo na prvé zamestnanie"</w:t>
        </w:r>
        <w:r w:rsidR="00EB2B2E" w:rsidRPr="00F3004A">
          <w:rPr>
            <w:webHidden/>
          </w:rPr>
          <w:tab/>
        </w:r>
        <w:r w:rsidR="00EB2B2E" w:rsidRPr="00F3004A">
          <w:rPr>
            <w:webHidden/>
          </w:rPr>
          <w:fldChar w:fldCharType="begin"/>
        </w:r>
        <w:r w:rsidR="00EB2B2E" w:rsidRPr="00F3004A">
          <w:rPr>
            <w:webHidden/>
          </w:rPr>
          <w:instrText xml:space="preserve"> PAGEREF _Toc199230855 \h </w:instrText>
        </w:r>
        <w:r w:rsidR="00EB2B2E" w:rsidRPr="00F3004A">
          <w:rPr>
            <w:webHidden/>
          </w:rPr>
        </w:r>
        <w:r w:rsidR="00EB2B2E" w:rsidRPr="00F3004A">
          <w:rPr>
            <w:webHidden/>
          </w:rPr>
          <w:fldChar w:fldCharType="separate"/>
        </w:r>
        <w:r w:rsidR="00EB2B2E" w:rsidRPr="00F3004A">
          <w:rPr>
            <w:webHidden/>
          </w:rPr>
          <w:t>72</w:t>
        </w:r>
        <w:r w:rsidR="00EB2B2E" w:rsidRPr="00F3004A">
          <w:rPr>
            <w:webHidden/>
          </w:rPr>
          <w:fldChar w:fldCharType="end"/>
        </w:r>
      </w:hyperlink>
    </w:p>
    <w:p w14:paraId="36CA0DD9" w14:textId="6C0866CF" w:rsidR="00EB2B2E" w:rsidRPr="00F3004A" w:rsidRDefault="00C6032B" w:rsidP="00F65B19">
      <w:pPr>
        <w:pStyle w:val="Obsah3"/>
        <w:rPr>
          <w:rFonts w:eastAsiaTheme="minorEastAsia"/>
        </w:rPr>
      </w:pPr>
      <w:hyperlink w:anchor="_Toc199230856" w:history="1">
        <w:r w:rsidR="00EB2B2E" w:rsidRPr="00F3004A">
          <w:rPr>
            <w:rStyle w:val="Hypertextovprepojenie"/>
          </w:rPr>
          <w:t>7.6.10</w:t>
        </w:r>
        <w:r w:rsidR="00EB2B2E" w:rsidRPr="00F3004A">
          <w:rPr>
            <w:rFonts w:eastAsiaTheme="minorEastAsia"/>
          </w:rPr>
          <w:tab/>
        </w:r>
        <w:r w:rsidR="00EB2B2E" w:rsidRPr="00F3004A">
          <w:rPr>
            <w:rStyle w:val="Hypertextovprepojenie"/>
          </w:rPr>
          <w:t>Projekt „Motivuj sa k zamestnaniu“</w:t>
        </w:r>
        <w:r w:rsidR="00EB2B2E" w:rsidRPr="00F3004A">
          <w:rPr>
            <w:webHidden/>
          </w:rPr>
          <w:tab/>
        </w:r>
        <w:r w:rsidR="00EB2B2E" w:rsidRPr="00F3004A">
          <w:rPr>
            <w:webHidden/>
          </w:rPr>
          <w:fldChar w:fldCharType="begin"/>
        </w:r>
        <w:r w:rsidR="00EB2B2E" w:rsidRPr="00F3004A">
          <w:rPr>
            <w:webHidden/>
          </w:rPr>
          <w:instrText xml:space="preserve"> PAGEREF _Toc199230856 \h </w:instrText>
        </w:r>
        <w:r w:rsidR="00EB2B2E" w:rsidRPr="00F3004A">
          <w:rPr>
            <w:webHidden/>
          </w:rPr>
        </w:r>
        <w:r w:rsidR="00EB2B2E" w:rsidRPr="00F3004A">
          <w:rPr>
            <w:webHidden/>
          </w:rPr>
          <w:fldChar w:fldCharType="separate"/>
        </w:r>
        <w:r w:rsidR="00EB2B2E" w:rsidRPr="00F3004A">
          <w:rPr>
            <w:webHidden/>
          </w:rPr>
          <w:t>75</w:t>
        </w:r>
        <w:r w:rsidR="00EB2B2E" w:rsidRPr="00F3004A">
          <w:rPr>
            <w:webHidden/>
          </w:rPr>
          <w:fldChar w:fldCharType="end"/>
        </w:r>
      </w:hyperlink>
    </w:p>
    <w:p w14:paraId="0081FDFA" w14:textId="561450AE" w:rsidR="00EB2B2E" w:rsidRPr="00F3004A" w:rsidRDefault="00C6032B" w:rsidP="00F65B19">
      <w:pPr>
        <w:pStyle w:val="Obsah3"/>
        <w:rPr>
          <w:rFonts w:eastAsiaTheme="minorEastAsia"/>
        </w:rPr>
      </w:pPr>
      <w:hyperlink w:anchor="_Toc199230857" w:history="1">
        <w:r w:rsidR="00EB2B2E" w:rsidRPr="00F3004A">
          <w:rPr>
            <w:rStyle w:val="Hypertextovprepojenie"/>
          </w:rPr>
          <w:t>7.6.11</w:t>
        </w:r>
        <w:r w:rsidR="00EB2B2E" w:rsidRPr="00F3004A">
          <w:rPr>
            <w:rFonts w:eastAsiaTheme="minorEastAsia"/>
          </w:rPr>
          <w:tab/>
        </w:r>
        <w:r w:rsidR="00EB2B2E" w:rsidRPr="00F3004A">
          <w:rPr>
            <w:rStyle w:val="Hypertextovprepojenie"/>
          </w:rPr>
          <w:t>Projekt „Podpora rozvoja zručnosti zamestnancov“</w:t>
        </w:r>
        <w:r w:rsidR="00EB2B2E" w:rsidRPr="00F3004A">
          <w:rPr>
            <w:webHidden/>
          </w:rPr>
          <w:tab/>
        </w:r>
        <w:r w:rsidR="00EB2B2E" w:rsidRPr="00F3004A">
          <w:rPr>
            <w:webHidden/>
          </w:rPr>
          <w:fldChar w:fldCharType="begin"/>
        </w:r>
        <w:r w:rsidR="00EB2B2E" w:rsidRPr="00F3004A">
          <w:rPr>
            <w:webHidden/>
          </w:rPr>
          <w:instrText xml:space="preserve"> PAGEREF _Toc199230857 \h </w:instrText>
        </w:r>
        <w:r w:rsidR="00EB2B2E" w:rsidRPr="00F3004A">
          <w:rPr>
            <w:webHidden/>
          </w:rPr>
        </w:r>
        <w:r w:rsidR="00EB2B2E" w:rsidRPr="00F3004A">
          <w:rPr>
            <w:webHidden/>
          </w:rPr>
          <w:fldChar w:fldCharType="separate"/>
        </w:r>
        <w:r w:rsidR="00EB2B2E" w:rsidRPr="00F3004A">
          <w:rPr>
            <w:webHidden/>
          </w:rPr>
          <w:t>80</w:t>
        </w:r>
        <w:r w:rsidR="00EB2B2E" w:rsidRPr="00F3004A">
          <w:rPr>
            <w:webHidden/>
          </w:rPr>
          <w:fldChar w:fldCharType="end"/>
        </w:r>
      </w:hyperlink>
    </w:p>
    <w:p w14:paraId="15F8FF85" w14:textId="31F78743" w:rsidR="00EB2B2E" w:rsidRPr="00F3004A" w:rsidRDefault="00C6032B" w:rsidP="00F65B19">
      <w:pPr>
        <w:pStyle w:val="Obsah3"/>
        <w:rPr>
          <w:rFonts w:eastAsiaTheme="minorEastAsia"/>
        </w:rPr>
      </w:pPr>
      <w:hyperlink w:anchor="_Toc199230858" w:history="1">
        <w:r w:rsidR="00EB2B2E" w:rsidRPr="00F3004A">
          <w:rPr>
            <w:rStyle w:val="Hypertextovprepojenie"/>
          </w:rPr>
          <w:t>7.6.12</w:t>
        </w:r>
        <w:r w:rsidR="00EB2B2E" w:rsidRPr="00F3004A">
          <w:rPr>
            <w:rFonts w:eastAsiaTheme="minorEastAsia"/>
          </w:rPr>
          <w:tab/>
        </w:r>
        <w:r w:rsidR="00EB2B2E" w:rsidRPr="00F3004A">
          <w:rPr>
            <w:rStyle w:val="Hypertextovprepojenie"/>
            <w:lang w:eastAsia="en-US"/>
          </w:rPr>
          <w:t>Centrálne schvaľované projekty</w:t>
        </w:r>
        <w:r w:rsidR="00EB2B2E" w:rsidRPr="00F3004A">
          <w:rPr>
            <w:webHidden/>
          </w:rPr>
          <w:tab/>
        </w:r>
        <w:r w:rsidR="00EB2B2E" w:rsidRPr="00F3004A">
          <w:rPr>
            <w:webHidden/>
          </w:rPr>
          <w:fldChar w:fldCharType="begin"/>
        </w:r>
        <w:r w:rsidR="00EB2B2E" w:rsidRPr="00F3004A">
          <w:rPr>
            <w:webHidden/>
          </w:rPr>
          <w:instrText xml:space="preserve"> PAGEREF _Toc199230858 \h </w:instrText>
        </w:r>
        <w:r w:rsidR="00EB2B2E" w:rsidRPr="00F3004A">
          <w:rPr>
            <w:webHidden/>
          </w:rPr>
        </w:r>
        <w:r w:rsidR="00EB2B2E" w:rsidRPr="00F3004A">
          <w:rPr>
            <w:webHidden/>
          </w:rPr>
          <w:fldChar w:fldCharType="separate"/>
        </w:r>
        <w:r w:rsidR="00EB2B2E" w:rsidRPr="00F3004A">
          <w:rPr>
            <w:webHidden/>
          </w:rPr>
          <w:t>81</w:t>
        </w:r>
        <w:r w:rsidR="00EB2B2E" w:rsidRPr="00F3004A">
          <w:rPr>
            <w:webHidden/>
          </w:rPr>
          <w:fldChar w:fldCharType="end"/>
        </w:r>
      </w:hyperlink>
    </w:p>
    <w:p w14:paraId="0C6F3E6E" w14:textId="667CF82C" w:rsidR="00EB2B2E" w:rsidRPr="00F3004A" w:rsidRDefault="00C6032B">
      <w:pPr>
        <w:pStyle w:val="Obsah2"/>
        <w:rPr>
          <w:rFonts w:eastAsiaTheme="minorEastAsia"/>
          <w:b w:val="0"/>
          <w:bCs w:val="0"/>
        </w:rPr>
      </w:pPr>
      <w:hyperlink w:anchor="_Toc199230859" w:history="1">
        <w:r w:rsidR="00EB2B2E" w:rsidRPr="00F3004A">
          <w:rPr>
            <w:rStyle w:val="Hypertextovprepojenie"/>
          </w:rPr>
          <w:t>7.7</w:t>
        </w:r>
        <w:r w:rsidR="00EB2B2E" w:rsidRPr="00F3004A">
          <w:rPr>
            <w:rFonts w:eastAsiaTheme="minorEastAsia"/>
            <w:b w:val="0"/>
            <w:bCs w:val="0"/>
          </w:rPr>
          <w:tab/>
        </w:r>
        <w:r w:rsidR="00EB2B2E" w:rsidRPr="00F3004A">
          <w:rPr>
            <w:rStyle w:val="Hypertextovprepojenie"/>
          </w:rPr>
          <w:t>Národný projekt „Finančné stimuly pre zamestnanosť"– financovaný z ESF</w:t>
        </w:r>
        <w:r w:rsidR="00EB2B2E" w:rsidRPr="00F3004A">
          <w:rPr>
            <w:webHidden/>
          </w:rPr>
          <w:tab/>
        </w:r>
        <w:r w:rsidR="00EB2B2E" w:rsidRPr="00F3004A">
          <w:rPr>
            <w:webHidden/>
          </w:rPr>
          <w:fldChar w:fldCharType="begin"/>
        </w:r>
        <w:r w:rsidR="00EB2B2E" w:rsidRPr="00F3004A">
          <w:rPr>
            <w:webHidden/>
          </w:rPr>
          <w:instrText xml:space="preserve"> PAGEREF _Toc199230859 \h </w:instrText>
        </w:r>
        <w:r w:rsidR="00EB2B2E" w:rsidRPr="00F3004A">
          <w:rPr>
            <w:webHidden/>
          </w:rPr>
        </w:r>
        <w:r w:rsidR="00EB2B2E" w:rsidRPr="00F3004A">
          <w:rPr>
            <w:webHidden/>
          </w:rPr>
          <w:fldChar w:fldCharType="separate"/>
        </w:r>
        <w:r w:rsidR="00EB2B2E" w:rsidRPr="00F3004A">
          <w:rPr>
            <w:webHidden/>
          </w:rPr>
          <w:t>82</w:t>
        </w:r>
        <w:r w:rsidR="00EB2B2E" w:rsidRPr="00F3004A">
          <w:rPr>
            <w:webHidden/>
          </w:rPr>
          <w:fldChar w:fldCharType="end"/>
        </w:r>
      </w:hyperlink>
    </w:p>
    <w:p w14:paraId="22BAA7EA" w14:textId="7B7C90D2" w:rsidR="00EB2B2E" w:rsidRPr="00F3004A" w:rsidRDefault="00C6032B" w:rsidP="00F65B19">
      <w:pPr>
        <w:pStyle w:val="Obsah3"/>
        <w:rPr>
          <w:rFonts w:eastAsiaTheme="minorEastAsia"/>
        </w:rPr>
      </w:pPr>
      <w:hyperlink w:anchor="_Toc199230860" w:history="1">
        <w:r w:rsidR="00EB2B2E" w:rsidRPr="00F3004A">
          <w:rPr>
            <w:rStyle w:val="Hypertextovprepojenie"/>
            <w:b/>
          </w:rPr>
          <w:t>7.7.1</w:t>
        </w:r>
        <w:r w:rsidR="00EB2B2E" w:rsidRPr="00F3004A">
          <w:rPr>
            <w:rFonts w:eastAsiaTheme="minorEastAsia"/>
            <w:b/>
          </w:rPr>
          <w:tab/>
        </w:r>
        <w:r w:rsidR="00EB2B2E" w:rsidRPr="00F3004A">
          <w:rPr>
            <w:rStyle w:val="Hypertextovprepojenie"/>
            <w:b/>
          </w:rPr>
          <w:t>Aktivita 1</w:t>
        </w:r>
        <w:r w:rsidR="00EB2B2E" w:rsidRPr="00F3004A">
          <w:rPr>
            <w:rStyle w:val="Hypertextovprepojenie"/>
          </w:rPr>
          <w:t xml:space="preserve"> - Vytváranie udržateľných pracovných miest pre znevýhodnených uchádzačov o zamestnanie, vrátane individualizovanej podpory pri ich zapracovaní na vytvorenom pracovnom mieste a Vytváranie udržateľných pracovných miest pre mladých ľudí v situácii NEET.</w:t>
        </w:r>
        <w:r w:rsidR="00EB2B2E" w:rsidRPr="00F3004A">
          <w:rPr>
            <w:webHidden/>
          </w:rPr>
          <w:tab/>
        </w:r>
        <w:r w:rsidR="00EB2B2E" w:rsidRPr="00F3004A">
          <w:rPr>
            <w:webHidden/>
          </w:rPr>
          <w:fldChar w:fldCharType="begin"/>
        </w:r>
        <w:r w:rsidR="00EB2B2E" w:rsidRPr="00F3004A">
          <w:rPr>
            <w:webHidden/>
          </w:rPr>
          <w:instrText xml:space="preserve"> PAGEREF _Toc199230860 \h </w:instrText>
        </w:r>
        <w:r w:rsidR="00EB2B2E" w:rsidRPr="00F3004A">
          <w:rPr>
            <w:webHidden/>
          </w:rPr>
        </w:r>
        <w:r w:rsidR="00EB2B2E" w:rsidRPr="00F3004A">
          <w:rPr>
            <w:webHidden/>
          </w:rPr>
          <w:fldChar w:fldCharType="separate"/>
        </w:r>
        <w:r w:rsidR="00EB2B2E" w:rsidRPr="00F3004A">
          <w:rPr>
            <w:webHidden/>
          </w:rPr>
          <w:t>82</w:t>
        </w:r>
        <w:r w:rsidR="00EB2B2E" w:rsidRPr="00F3004A">
          <w:rPr>
            <w:webHidden/>
          </w:rPr>
          <w:fldChar w:fldCharType="end"/>
        </w:r>
      </w:hyperlink>
    </w:p>
    <w:p w14:paraId="6DC882B3" w14:textId="544D9742" w:rsidR="00EB2B2E" w:rsidRPr="00F3004A" w:rsidRDefault="00C6032B" w:rsidP="00F3004A">
      <w:pPr>
        <w:pStyle w:val="Obsah4"/>
        <w:rPr>
          <w:rFonts w:ascii="Times New Roman" w:eastAsiaTheme="minorEastAsia" w:hAnsi="Times New Roman"/>
          <w:noProof/>
          <w:sz w:val="24"/>
          <w:szCs w:val="24"/>
        </w:rPr>
      </w:pPr>
      <w:hyperlink w:anchor="_Toc199230861" w:history="1">
        <w:r w:rsidR="00EB2B2E" w:rsidRPr="00F3004A">
          <w:rPr>
            <w:rStyle w:val="Hypertextovprepojenie"/>
            <w:rFonts w:ascii="Times New Roman" w:hAnsi="Times New Roman"/>
            <w:noProof/>
            <w:sz w:val="24"/>
            <w:szCs w:val="24"/>
          </w:rPr>
          <w:t>7.7.1.1</w:t>
        </w:r>
        <w:r w:rsidR="00EB2B2E" w:rsidRPr="00F3004A">
          <w:rPr>
            <w:rFonts w:ascii="Times New Roman" w:eastAsiaTheme="minorEastAsia" w:hAnsi="Times New Roman"/>
            <w:noProof/>
            <w:sz w:val="24"/>
            <w:szCs w:val="24"/>
          </w:rPr>
          <w:tab/>
        </w:r>
        <w:r w:rsidR="00EB2B2E" w:rsidRPr="00F3004A">
          <w:rPr>
            <w:rStyle w:val="Hypertextovprepojenie"/>
            <w:rFonts w:ascii="Times New Roman" w:hAnsi="Times New Roman"/>
            <w:noProof/>
            <w:sz w:val="24"/>
            <w:szCs w:val="24"/>
          </w:rPr>
          <w:t>Podaktivita 1 - Poskytovanie finančných príspevkov zamestnávateľom (Mentorované zapracovanie)</w:t>
        </w:r>
        <w:r w:rsidR="00EB2B2E" w:rsidRPr="00F3004A">
          <w:rPr>
            <w:rFonts w:ascii="Times New Roman" w:hAnsi="Times New Roman"/>
            <w:noProof/>
            <w:webHidden/>
            <w:sz w:val="24"/>
            <w:szCs w:val="24"/>
          </w:rPr>
          <w:tab/>
        </w:r>
        <w:r w:rsidR="00F3004A" w:rsidRPr="00F3004A">
          <w:rPr>
            <w:rFonts w:ascii="Times New Roman" w:hAnsi="Times New Roman"/>
            <w:noProof/>
            <w:webHidden/>
            <w:sz w:val="24"/>
            <w:szCs w:val="24"/>
          </w:rPr>
          <w:t>...........</w:t>
        </w:r>
        <w:r w:rsidR="00EB2B2E" w:rsidRPr="00F3004A">
          <w:rPr>
            <w:rFonts w:ascii="Times New Roman" w:hAnsi="Times New Roman"/>
            <w:noProof/>
            <w:webHidden/>
            <w:sz w:val="24"/>
            <w:szCs w:val="24"/>
          </w:rPr>
          <w:fldChar w:fldCharType="begin"/>
        </w:r>
        <w:r w:rsidR="00EB2B2E" w:rsidRPr="00F3004A">
          <w:rPr>
            <w:rFonts w:ascii="Times New Roman" w:hAnsi="Times New Roman"/>
            <w:noProof/>
            <w:webHidden/>
            <w:sz w:val="24"/>
            <w:szCs w:val="24"/>
          </w:rPr>
          <w:instrText xml:space="preserve"> PAGEREF _Toc199230861 \h </w:instrText>
        </w:r>
        <w:r w:rsidR="00EB2B2E" w:rsidRPr="00F3004A">
          <w:rPr>
            <w:rFonts w:ascii="Times New Roman" w:hAnsi="Times New Roman"/>
            <w:noProof/>
            <w:webHidden/>
            <w:sz w:val="24"/>
            <w:szCs w:val="24"/>
          </w:rPr>
        </w:r>
        <w:r w:rsidR="00EB2B2E" w:rsidRPr="00F3004A">
          <w:rPr>
            <w:rFonts w:ascii="Times New Roman" w:hAnsi="Times New Roman"/>
            <w:noProof/>
            <w:webHidden/>
            <w:sz w:val="24"/>
            <w:szCs w:val="24"/>
          </w:rPr>
          <w:fldChar w:fldCharType="separate"/>
        </w:r>
        <w:r w:rsidR="00EB2B2E" w:rsidRPr="00F3004A">
          <w:rPr>
            <w:rFonts w:ascii="Times New Roman" w:hAnsi="Times New Roman"/>
            <w:noProof/>
            <w:webHidden/>
            <w:sz w:val="24"/>
            <w:szCs w:val="24"/>
          </w:rPr>
          <w:t>82</w:t>
        </w:r>
        <w:r w:rsidR="00EB2B2E" w:rsidRPr="00F3004A">
          <w:rPr>
            <w:rFonts w:ascii="Times New Roman" w:hAnsi="Times New Roman"/>
            <w:noProof/>
            <w:webHidden/>
            <w:sz w:val="24"/>
            <w:szCs w:val="24"/>
          </w:rPr>
          <w:fldChar w:fldCharType="end"/>
        </w:r>
      </w:hyperlink>
    </w:p>
    <w:p w14:paraId="404B088C" w14:textId="63B26896" w:rsidR="00EB2B2E" w:rsidRPr="00F3004A" w:rsidRDefault="00C6032B" w:rsidP="00F3004A">
      <w:pPr>
        <w:pStyle w:val="Obsah4"/>
        <w:rPr>
          <w:rFonts w:ascii="Times New Roman" w:eastAsiaTheme="minorEastAsia" w:hAnsi="Times New Roman"/>
          <w:noProof/>
          <w:sz w:val="24"/>
          <w:szCs w:val="24"/>
        </w:rPr>
      </w:pPr>
      <w:hyperlink w:anchor="_Toc199230862" w:history="1">
        <w:r w:rsidR="00EB2B2E" w:rsidRPr="00F3004A">
          <w:rPr>
            <w:rStyle w:val="Hypertextovprepojenie"/>
            <w:rFonts w:ascii="Times New Roman" w:hAnsi="Times New Roman"/>
            <w:noProof/>
            <w:sz w:val="24"/>
            <w:szCs w:val="24"/>
          </w:rPr>
          <w:t>7.7.1.2</w:t>
        </w:r>
        <w:r w:rsidR="00EB2B2E" w:rsidRPr="00F3004A">
          <w:rPr>
            <w:rFonts w:ascii="Times New Roman" w:eastAsiaTheme="minorEastAsia" w:hAnsi="Times New Roman"/>
            <w:noProof/>
            <w:sz w:val="24"/>
            <w:szCs w:val="24"/>
          </w:rPr>
          <w:tab/>
        </w:r>
        <w:r w:rsidR="00EB2B2E" w:rsidRPr="00F3004A">
          <w:rPr>
            <w:rStyle w:val="Hypertextovprepojenie"/>
            <w:rFonts w:ascii="Times New Roman" w:hAnsi="Times New Roman"/>
            <w:noProof/>
            <w:sz w:val="24"/>
            <w:szCs w:val="24"/>
          </w:rPr>
          <w:t>Podaktivita 2 - Príspevok pre zamestnávateľov, ktorí majú zriadené chránené dielne alebo chránené pracoviská (Odmena za umiestnenie na otvorenom trhu práce)</w:t>
        </w:r>
        <w:r w:rsidR="00EB2B2E" w:rsidRPr="00F3004A">
          <w:rPr>
            <w:rFonts w:ascii="Times New Roman" w:hAnsi="Times New Roman"/>
            <w:noProof/>
            <w:webHidden/>
            <w:sz w:val="24"/>
            <w:szCs w:val="24"/>
          </w:rPr>
          <w:tab/>
        </w:r>
        <w:r w:rsidR="00EB2B2E" w:rsidRPr="00F3004A">
          <w:rPr>
            <w:rFonts w:ascii="Times New Roman" w:hAnsi="Times New Roman"/>
            <w:noProof/>
            <w:webHidden/>
            <w:sz w:val="24"/>
            <w:szCs w:val="24"/>
          </w:rPr>
          <w:fldChar w:fldCharType="begin"/>
        </w:r>
        <w:r w:rsidR="00EB2B2E" w:rsidRPr="00F3004A">
          <w:rPr>
            <w:rFonts w:ascii="Times New Roman" w:hAnsi="Times New Roman"/>
            <w:noProof/>
            <w:webHidden/>
            <w:sz w:val="24"/>
            <w:szCs w:val="24"/>
          </w:rPr>
          <w:instrText xml:space="preserve"> PAGEREF _Toc199230862 \h </w:instrText>
        </w:r>
        <w:r w:rsidR="00EB2B2E" w:rsidRPr="00F3004A">
          <w:rPr>
            <w:rFonts w:ascii="Times New Roman" w:hAnsi="Times New Roman"/>
            <w:noProof/>
            <w:webHidden/>
            <w:sz w:val="24"/>
            <w:szCs w:val="24"/>
          </w:rPr>
        </w:r>
        <w:r w:rsidR="00EB2B2E" w:rsidRPr="00F3004A">
          <w:rPr>
            <w:rFonts w:ascii="Times New Roman" w:hAnsi="Times New Roman"/>
            <w:noProof/>
            <w:webHidden/>
            <w:sz w:val="24"/>
            <w:szCs w:val="24"/>
          </w:rPr>
          <w:fldChar w:fldCharType="separate"/>
        </w:r>
        <w:r w:rsidR="00EB2B2E" w:rsidRPr="00F3004A">
          <w:rPr>
            <w:rFonts w:ascii="Times New Roman" w:hAnsi="Times New Roman"/>
            <w:noProof/>
            <w:webHidden/>
            <w:sz w:val="24"/>
            <w:szCs w:val="24"/>
          </w:rPr>
          <w:t>86</w:t>
        </w:r>
        <w:r w:rsidR="00EB2B2E" w:rsidRPr="00F3004A">
          <w:rPr>
            <w:rFonts w:ascii="Times New Roman" w:hAnsi="Times New Roman"/>
            <w:noProof/>
            <w:webHidden/>
            <w:sz w:val="24"/>
            <w:szCs w:val="24"/>
          </w:rPr>
          <w:fldChar w:fldCharType="end"/>
        </w:r>
      </w:hyperlink>
    </w:p>
    <w:p w14:paraId="1993BA4E" w14:textId="7F40564F" w:rsidR="00EB2B2E" w:rsidRPr="00F3004A" w:rsidRDefault="00C6032B" w:rsidP="00F3004A">
      <w:pPr>
        <w:pStyle w:val="Obsah4"/>
        <w:rPr>
          <w:rFonts w:ascii="Times New Roman" w:eastAsiaTheme="minorEastAsia" w:hAnsi="Times New Roman"/>
          <w:noProof/>
          <w:sz w:val="24"/>
          <w:szCs w:val="24"/>
        </w:rPr>
      </w:pPr>
      <w:hyperlink w:anchor="_Toc199230863" w:history="1">
        <w:r w:rsidR="00EB2B2E" w:rsidRPr="00F3004A">
          <w:rPr>
            <w:rStyle w:val="Hypertextovprepojenie"/>
            <w:rFonts w:ascii="Times New Roman" w:hAnsi="Times New Roman"/>
            <w:noProof/>
            <w:sz w:val="24"/>
            <w:szCs w:val="24"/>
          </w:rPr>
          <w:t>7.7.1.3</w:t>
        </w:r>
        <w:r w:rsidR="00EB2B2E" w:rsidRPr="00F3004A">
          <w:rPr>
            <w:rFonts w:ascii="Times New Roman" w:eastAsiaTheme="minorEastAsia" w:hAnsi="Times New Roman"/>
            <w:noProof/>
            <w:sz w:val="24"/>
            <w:szCs w:val="24"/>
          </w:rPr>
          <w:tab/>
        </w:r>
        <w:r w:rsidR="00EB2B2E" w:rsidRPr="00F3004A">
          <w:rPr>
            <w:rStyle w:val="Hypertextovprepojenie"/>
            <w:rFonts w:ascii="Times New Roman" w:hAnsi="Times New Roman"/>
            <w:noProof/>
            <w:sz w:val="24"/>
            <w:szCs w:val="24"/>
          </w:rPr>
          <w:t>Podaktivita 3 - Poskytovanie finančných príspevkov znevýhodneným UoZ (Motivačný príspevok)</w:t>
        </w:r>
        <w:r w:rsidR="00EB2B2E" w:rsidRPr="00F3004A">
          <w:rPr>
            <w:rFonts w:ascii="Times New Roman" w:hAnsi="Times New Roman"/>
            <w:noProof/>
            <w:webHidden/>
            <w:sz w:val="24"/>
            <w:szCs w:val="24"/>
          </w:rPr>
          <w:tab/>
        </w:r>
        <w:r w:rsidR="00EB2B2E" w:rsidRPr="00F3004A">
          <w:rPr>
            <w:rFonts w:ascii="Times New Roman" w:hAnsi="Times New Roman"/>
            <w:noProof/>
            <w:webHidden/>
            <w:sz w:val="24"/>
            <w:szCs w:val="24"/>
          </w:rPr>
          <w:fldChar w:fldCharType="begin"/>
        </w:r>
        <w:r w:rsidR="00EB2B2E" w:rsidRPr="00F3004A">
          <w:rPr>
            <w:rFonts w:ascii="Times New Roman" w:hAnsi="Times New Roman"/>
            <w:noProof/>
            <w:webHidden/>
            <w:sz w:val="24"/>
            <w:szCs w:val="24"/>
          </w:rPr>
          <w:instrText xml:space="preserve"> PAGEREF _Toc199230863 \h </w:instrText>
        </w:r>
        <w:r w:rsidR="00EB2B2E" w:rsidRPr="00F3004A">
          <w:rPr>
            <w:rFonts w:ascii="Times New Roman" w:hAnsi="Times New Roman"/>
            <w:noProof/>
            <w:webHidden/>
            <w:sz w:val="24"/>
            <w:szCs w:val="24"/>
          </w:rPr>
        </w:r>
        <w:r w:rsidR="00EB2B2E" w:rsidRPr="00F3004A">
          <w:rPr>
            <w:rFonts w:ascii="Times New Roman" w:hAnsi="Times New Roman"/>
            <w:noProof/>
            <w:webHidden/>
            <w:sz w:val="24"/>
            <w:szCs w:val="24"/>
          </w:rPr>
          <w:fldChar w:fldCharType="separate"/>
        </w:r>
        <w:r w:rsidR="00EB2B2E" w:rsidRPr="00F3004A">
          <w:rPr>
            <w:rFonts w:ascii="Times New Roman" w:hAnsi="Times New Roman"/>
            <w:noProof/>
            <w:webHidden/>
            <w:sz w:val="24"/>
            <w:szCs w:val="24"/>
          </w:rPr>
          <w:t>86</w:t>
        </w:r>
        <w:r w:rsidR="00EB2B2E" w:rsidRPr="00F3004A">
          <w:rPr>
            <w:rFonts w:ascii="Times New Roman" w:hAnsi="Times New Roman"/>
            <w:noProof/>
            <w:webHidden/>
            <w:sz w:val="24"/>
            <w:szCs w:val="24"/>
          </w:rPr>
          <w:fldChar w:fldCharType="end"/>
        </w:r>
      </w:hyperlink>
    </w:p>
    <w:p w14:paraId="535EF4D6" w14:textId="799F0233" w:rsidR="00EB2B2E" w:rsidRPr="00F3004A" w:rsidRDefault="00C6032B" w:rsidP="00F3004A">
      <w:pPr>
        <w:pStyle w:val="Obsah4"/>
        <w:rPr>
          <w:rFonts w:ascii="Times New Roman" w:eastAsiaTheme="minorEastAsia" w:hAnsi="Times New Roman"/>
          <w:noProof/>
          <w:sz w:val="24"/>
          <w:szCs w:val="24"/>
        </w:rPr>
      </w:pPr>
      <w:hyperlink w:anchor="_Toc199230864" w:history="1">
        <w:r w:rsidR="00EB2B2E" w:rsidRPr="00F3004A">
          <w:rPr>
            <w:rStyle w:val="Hypertextovprepojenie"/>
            <w:rFonts w:ascii="Times New Roman" w:hAnsi="Times New Roman"/>
            <w:noProof/>
            <w:sz w:val="24"/>
            <w:szCs w:val="24"/>
          </w:rPr>
          <w:t>7.7.1.4</w:t>
        </w:r>
        <w:r w:rsidR="00EB2B2E" w:rsidRPr="00F3004A">
          <w:rPr>
            <w:rFonts w:ascii="Times New Roman" w:eastAsiaTheme="minorEastAsia" w:hAnsi="Times New Roman"/>
            <w:noProof/>
            <w:sz w:val="24"/>
            <w:szCs w:val="24"/>
          </w:rPr>
          <w:tab/>
        </w:r>
        <w:r w:rsidR="00EB2B2E" w:rsidRPr="00F3004A">
          <w:rPr>
            <w:rStyle w:val="Hypertextovprepojenie"/>
            <w:rFonts w:ascii="Times New Roman" w:hAnsi="Times New Roman"/>
            <w:noProof/>
            <w:sz w:val="24"/>
            <w:szCs w:val="24"/>
          </w:rPr>
          <w:t>Podaktivita 4 - Poskytovanie finančných príspevkov zamestnávateľom a súčasne aj ZUoZ (Práca na skúšku)</w:t>
        </w:r>
        <w:r w:rsidR="00EB2B2E" w:rsidRPr="00F3004A">
          <w:rPr>
            <w:rFonts w:ascii="Times New Roman" w:hAnsi="Times New Roman"/>
            <w:noProof/>
            <w:webHidden/>
            <w:sz w:val="24"/>
            <w:szCs w:val="24"/>
          </w:rPr>
          <w:tab/>
        </w:r>
        <w:r w:rsidR="00EB2B2E" w:rsidRPr="00F3004A">
          <w:rPr>
            <w:rFonts w:ascii="Times New Roman" w:hAnsi="Times New Roman"/>
            <w:noProof/>
            <w:webHidden/>
            <w:sz w:val="24"/>
            <w:szCs w:val="24"/>
          </w:rPr>
          <w:fldChar w:fldCharType="begin"/>
        </w:r>
        <w:r w:rsidR="00EB2B2E" w:rsidRPr="00F3004A">
          <w:rPr>
            <w:rFonts w:ascii="Times New Roman" w:hAnsi="Times New Roman"/>
            <w:noProof/>
            <w:webHidden/>
            <w:sz w:val="24"/>
            <w:szCs w:val="24"/>
          </w:rPr>
          <w:instrText xml:space="preserve"> PAGEREF _Toc199230864 \h </w:instrText>
        </w:r>
        <w:r w:rsidR="00EB2B2E" w:rsidRPr="00F3004A">
          <w:rPr>
            <w:rFonts w:ascii="Times New Roman" w:hAnsi="Times New Roman"/>
            <w:noProof/>
            <w:webHidden/>
            <w:sz w:val="24"/>
            <w:szCs w:val="24"/>
          </w:rPr>
        </w:r>
        <w:r w:rsidR="00EB2B2E" w:rsidRPr="00F3004A">
          <w:rPr>
            <w:rFonts w:ascii="Times New Roman" w:hAnsi="Times New Roman"/>
            <w:noProof/>
            <w:webHidden/>
            <w:sz w:val="24"/>
            <w:szCs w:val="24"/>
          </w:rPr>
          <w:fldChar w:fldCharType="separate"/>
        </w:r>
        <w:r w:rsidR="00EB2B2E" w:rsidRPr="00F3004A">
          <w:rPr>
            <w:rFonts w:ascii="Times New Roman" w:hAnsi="Times New Roman"/>
            <w:noProof/>
            <w:webHidden/>
            <w:sz w:val="24"/>
            <w:szCs w:val="24"/>
          </w:rPr>
          <w:t>90</w:t>
        </w:r>
        <w:r w:rsidR="00EB2B2E" w:rsidRPr="00F3004A">
          <w:rPr>
            <w:rFonts w:ascii="Times New Roman" w:hAnsi="Times New Roman"/>
            <w:noProof/>
            <w:webHidden/>
            <w:sz w:val="24"/>
            <w:szCs w:val="24"/>
          </w:rPr>
          <w:fldChar w:fldCharType="end"/>
        </w:r>
      </w:hyperlink>
    </w:p>
    <w:p w14:paraId="7CE39FEA" w14:textId="28EA3E5E" w:rsidR="00EB2B2E" w:rsidRPr="00F3004A" w:rsidRDefault="00C6032B" w:rsidP="00F3004A">
      <w:pPr>
        <w:pStyle w:val="Obsah4"/>
        <w:rPr>
          <w:rFonts w:ascii="Times New Roman" w:eastAsiaTheme="minorEastAsia" w:hAnsi="Times New Roman"/>
          <w:noProof/>
          <w:sz w:val="24"/>
          <w:szCs w:val="24"/>
        </w:rPr>
      </w:pPr>
      <w:hyperlink w:anchor="_Toc199230865" w:history="1">
        <w:r w:rsidR="00EB2B2E" w:rsidRPr="00F3004A">
          <w:rPr>
            <w:rStyle w:val="Hypertextovprepojenie"/>
            <w:rFonts w:ascii="Times New Roman" w:hAnsi="Times New Roman"/>
            <w:noProof/>
            <w:sz w:val="24"/>
            <w:szCs w:val="24"/>
          </w:rPr>
          <w:t>7.7.1.5</w:t>
        </w:r>
        <w:r w:rsidR="00EB2B2E" w:rsidRPr="00F3004A">
          <w:rPr>
            <w:rFonts w:ascii="Times New Roman" w:eastAsiaTheme="minorEastAsia" w:hAnsi="Times New Roman"/>
            <w:noProof/>
            <w:sz w:val="24"/>
            <w:szCs w:val="24"/>
          </w:rPr>
          <w:tab/>
        </w:r>
        <w:r w:rsidR="00EB2B2E" w:rsidRPr="00F3004A">
          <w:rPr>
            <w:rStyle w:val="Hypertextovprepojenie"/>
            <w:rFonts w:ascii="Times New Roman" w:hAnsi="Times New Roman"/>
            <w:noProof/>
            <w:sz w:val="24"/>
            <w:szCs w:val="24"/>
          </w:rPr>
          <w:t>Podaktivita 5 Udržanie občana so zdravotným postihnutím v zamestnaní na otvorenom trhu práce</w:t>
        </w:r>
        <w:r w:rsidR="00EB2B2E" w:rsidRPr="00F3004A">
          <w:rPr>
            <w:rFonts w:ascii="Times New Roman" w:hAnsi="Times New Roman"/>
            <w:noProof/>
            <w:webHidden/>
            <w:sz w:val="24"/>
            <w:szCs w:val="24"/>
          </w:rPr>
          <w:tab/>
        </w:r>
        <w:r w:rsidR="00EB2B2E" w:rsidRPr="00F3004A">
          <w:rPr>
            <w:rFonts w:ascii="Times New Roman" w:hAnsi="Times New Roman"/>
            <w:noProof/>
            <w:webHidden/>
            <w:sz w:val="24"/>
            <w:szCs w:val="24"/>
          </w:rPr>
          <w:fldChar w:fldCharType="begin"/>
        </w:r>
        <w:r w:rsidR="00EB2B2E" w:rsidRPr="00F3004A">
          <w:rPr>
            <w:rFonts w:ascii="Times New Roman" w:hAnsi="Times New Roman"/>
            <w:noProof/>
            <w:webHidden/>
            <w:sz w:val="24"/>
            <w:szCs w:val="24"/>
          </w:rPr>
          <w:instrText xml:space="preserve"> PAGEREF _Toc199230865 \h </w:instrText>
        </w:r>
        <w:r w:rsidR="00EB2B2E" w:rsidRPr="00F3004A">
          <w:rPr>
            <w:rFonts w:ascii="Times New Roman" w:hAnsi="Times New Roman"/>
            <w:noProof/>
            <w:webHidden/>
            <w:sz w:val="24"/>
            <w:szCs w:val="24"/>
          </w:rPr>
        </w:r>
        <w:r w:rsidR="00EB2B2E" w:rsidRPr="00F3004A">
          <w:rPr>
            <w:rFonts w:ascii="Times New Roman" w:hAnsi="Times New Roman"/>
            <w:noProof/>
            <w:webHidden/>
            <w:sz w:val="24"/>
            <w:szCs w:val="24"/>
          </w:rPr>
          <w:fldChar w:fldCharType="separate"/>
        </w:r>
        <w:r w:rsidR="00EB2B2E" w:rsidRPr="00F3004A">
          <w:rPr>
            <w:rFonts w:ascii="Times New Roman" w:hAnsi="Times New Roman"/>
            <w:noProof/>
            <w:webHidden/>
            <w:sz w:val="24"/>
            <w:szCs w:val="24"/>
          </w:rPr>
          <w:t>94</w:t>
        </w:r>
        <w:r w:rsidR="00EB2B2E" w:rsidRPr="00F3004A">
          <w:rPr>
            <w:rFonts w:ascii="Times New Roman" w:hAnsi="Times New Roman"/>
            <w:noProof/>
            <w:webHidden/>
            <w:sz w:val="24"/>
            <w:szCs w:val="24"/>
          </w:rPr>
          <w:fldChar w:fldCharType="end"/>
        </w:r>
      </w:hyperlink>
    </w:p>
    <w:p w14:paraId="437ABC9C" w14:textId="05C4C503" w:rsidR="00EB2B2E" w:rsidRDefault="00C6032B" w:rsidP="00F65B19">
      <w:pPr>
        <w:pStyle w:val="Obsah3"/>
        <w:rPr>
          <w:rFonts w:asciiTheme="minorHAnsi" w:eastAsiaTheme="minorEastAsia" w:hAnsiTheme="minorHAnsi" w:cstheme="minorBidi"/>
          <w:sz w:val="22"/>
          <w:szCs w:val="22"/>
        </w:rPr>
      </w:pPr>
      <w:hyperlink w:anchor="_Toc199230866" w:history="1">
        <w:r w:rsidR="00EB2B2E" w:rsidRPr="00F3004A">
          <w:rPr>
            <w:rStyle w:val="Hypertextovprepojenie"/>
            <w:b/>
          </w:rPr>
          <w:t>7.7.2</w:t>
        </w:r>
        <w:r w:rsidR="00EB2B2E" w:rsidRPr="00F3004A">
          <w:rPr>
            <w:rFonts w:eastAsiaTheme="minorEastAsia"/>
            <w:b/>
          </w:rPr>
          <w:tab/>
        </w:r>
        <w:r w:rsidR="00EB2B2E" w:rsidRPr="00F3004A">
          <w:rPr>
            <w:rStyle w:val="Hypertextovprepojenie"/>
            <w:b/>
          </w:rPr>
          <w:t xml:space="preserve">Aktivita 2 </w:t>
        </w:r>
        <w:r w:rsidR="00EB2B2E" w:rsidRPr="00F3004A">
          <w:rPr>
            <w:rStyle w:val="Hypertextovprepojenie"/>
          </w:rPr>
          <w:t>- Poskytovanie finančných príspevkov na začatie vykonávania samostatnej zárobkovej činnosti - Podpora SZČO</w:t>
        </w:r>
        <w:r w:rsidR="00EB2B2E" w:rsidRPr="00F3004A">
          <w:rPr>
            <w:webHidden/>
          </w:rPr>
          <w:tab/>
        </w:r>
        <w:r w:rsidR="00EB2B2E" w:rsidRPr="00F3004A">
          <w:rPr>
            <w:webHidden/>
          </w:rPr>
          <w:fldChar w:fldCharType="begin"/>
        </w:r>
        <w:r w:rsidR="00EB2B2E" w:rsidRPr="00F3004A">
          <w:rPr>
            <w:webHidden/>
          </w:rPr>
          <w:instrText xml:space="preserve"> PAGEREF _Toc199230866 \h </w:instrText>
        </w:r>
        <w:r w:rsidR="00EB2B2E" w:rsidRPr="00F3004A">
          <w:rPr>
            <w:webHidden/>
          </w:rPr>
        </w:r>
        <w:r w:rsidR="00EB2B2E" w:rsidRPr="00F3004A">
          <w:rPr>
            <w:webHidden/>
          </w:rPr>
          <w:fldChar w:fldCharType="separate"/>
        </w:r>
        <w:r w:rsidR="00EB2B2E" w:rsidRPr="00F3004A">
          <w:rPr>
            <w:webHidden/>
          </w:rPr>
          <w:t>95</w:t>
        </w:r>
        <w:r w:rsidR="00EB2B2E" w:rsidRPr="00F3004A">
          <w:rPr>
            <w:webHidden/>
          </w:rPr>
          <w:fldChar w:fldCharType="end"/>
        </w:r>
      </w:hyperlink>
    </w:p>
    <w:p w14:paraId="56A27607" w14:textId="6F6C4A7D" w:rsidR="00EB2B2E" w:rsidRDefault="00C6032B" w:rsidP="00F65B19">
      <w:pPr>
        <w:pStyle w:val="Obsah3"/>
        <w:rPr>
          <w:rFonts w:asciiTheme="minorHAnsi" w:eastAsiaTheme="minorEastAsia" w:hAnsiTheme="minorHAnsi" w:cstheme="minorBidi"/>
          <w:sz w:val="22"/>
          <w:szCs w:val="22"/>
        </w:rPr>
      </w:pPr>
      <w:hyperlink w:anchor="_Toc199230867" w:history="1">
        <w:r w:rsidR="00EB2B2E" w:rsidRPr="00F65B19">
          <w:rPr>
            <w:rStyle w:val="Hypertextovprepojenie"/>
            <w:b/>
          </w:rPr>
          <w:t>7.7.3</w:t>
        </w:r>
        <w:r w:rsidR="00EB2B2E" w:rsidRPr="00F65B19">
          <w:rPr>
            <w:rFonts w:asciiTheme="minorHAnsi" w:eastAsiaTheme="minorEastAsia" w:hAnsiTheme="minorHAnsi" w:cstheme="minorBidi"/>
            <w:b/>
            <w:sz w:val="22"/>
            <w:szCs w:val="22"/>
          </w:rPr>
          <w:tab/>
        </w:r>
        <w:r w:rsidR="00EB2B2E" w:rsidRPr="00F65B19">
          <w:rPr>
            <w:rStyle w:val="Hypertextovprepojenie"/>
            <w:b/>
          </w:rPr>
          <w:t>Aktivita 3</w:t>
        </w:r>
        <w:r w:rsidR="00EB2B2E" w:rsidRPr="007C609D">
          <w:rPr>
            <w:rStyle w:val="Hypertextovprepojenie"/>
          </w:rPr>
          <w:t xml:space="preserve"> - „Poskytovanie finančných príspevkov na vykonávanie absolventskej praxe (Prax pre mladých)</w:t>
        </w:r>
        <w:r w:rsidR="00EB2B2E">
          <w:rPr>
            <w:webHidden/>
          </w:rPr>
          <w:tab/>
        </w:r>
        <w:r w:rsidR="00EB2B2E">
          <w:rPr>
            <w:webHidden/>
          </w:rPr>
          <w:fldChar w:fldCharType="begin"/>
        </w:r>
        <w:r w:rsidR="00EB2B2E">
          <w:rPr>
            <w:webHidden/>
          </w:rPr>
          <w:instrText xml:space="preserve"> PAGEREF _Toc199230867 \h </w:instrText>
        </w:r>
        <w:r w:rsidR="00EB2B2E">
          <w:rPr>
            <w:webHidden/>
          </w:rPr>
        </w:r>
        <w:r w:rsidR="00EB2B2E">
          <w:rPr>
            <w:webHidden/>
          </w:rPr>
          <w:fldChar w:fldCharType="separate"/>
        </w:r>
        <w:r w:rsidR="00EB2B2E">
          <w:rPr>
            <w:webHidden/>
          </w:rPr>
          <w:t>99</w:t>
        </w:r>
        <w:r w:rsidR="00EB2B2E">
          <w:rPr>
            <w:webHidden/>
          </w:rPr>
          <w:fldChar w:fldCharType="end"/>
        </w:r>
      </w:hyperlink>
    </w:p>
    <w:p w14:paraId="3196BDB7" w14:textId="7987DF48" w:rsidR="00EB2B2E" w:rsidRDefault="00C6032B">
      <w:pPr>
        <w:pStyle w:val="Obsah1"/>
        <w:rPr>
          <w:rFonts w:asciiTheme="minorHAnsi" w:eastAsiaTheme="minorEastAsia" w:hAnsiTheme="minorHAnsi" w:cstheme="minorBidi"/>
          <w:b w:val="0"/>
          <w:bCs w:val="0"/>
          <w:caps w:val="0"/>
          <w:sz w:val="22"/>
          <w:szCs w:val="22"/>
          <w:lang w:eastAsia="sk-SK"/>
        </w:rPr>
      </w:pPr>
      <w:hyperlink w:anchor="_Toc199230868" w:history="1">
        <w:r w:rsidR="00EB2B2E" w:rsidRPr="007C609D">
          <w:rPr>
            <w:rStyle w:val="Hypertextovprepojenie"/>
            <w:rFonts w:eastAsia="Calibri"/>
          </w:rPr>
          <w:t>8</w:t>
        </w:r>
        <w:r w:rsidR="00EB2B2E">
          <w:rPr>
            <w:rFonts w:asciiTheme="minorHAnsi" w:eastAsiaTheme="minorEastAsia" w:hAnsiTheme="minorHAnsi" w:cstheme="minorBidi"/>
            <w:b w:val="0"/>
            <w:bCs w:val="0"/>
            <w:caps w:val="0"/>
            <w:sz w:val="22"/>
            <w:szCs w:val="22"/>
            <w:lang w:eastAsia="sk-SK"/>
          </w:rPr>
          <w:tab/>
        </w:r>
        <w:r w:rsidR="00EB2B2E" w:rsidRPr="007C609D">
          <w:rPr>
            <w:rStyle w:val="Hypertextovprepojenie"/>
            <w:rFonts w:eastAsia="Calibri"/>
          </w:rPr>
          <w:t>Záver</w:t>
        </w:r>
        <w:r w:rsidR="00EB2B2E">
          <w:rPr>
            <w:webHidden/>
          </w:rPr>
          <w:tab/>
        </w:r>
        <w:r w:rsidR="00EB2B2E">
          <w:rPr>
            <w:webHidden/>
          </w:rPr>
          <w:fldChar w:fldCharType="begin"/>
        </w:r>
        <w:r w:rsidR="00EB2B2E">
          <w:rPr>
            <w:webHidden/>
          </w:rPr>
          <w:instrText xml:space="preserve"> PAGEREF _Toc199230868 \h </w:instrText>
        </w:r>
        <w:r w:rsidR="00EB2B2E">
          <w:rPr>
            <w:webHidden/>
          </w:rPr>
        </w:r>
        <w:r w:rsidR="00EB2B2E">
          <w:rPr>
            <w:webHidden/>
          </w:rPr>
          <w:fldChar w:fldCharType="separate"/>
        </w:r>
        <w:r w:rsidR="00EB2B2E">
          <w:rPr>
            <w:webHidden/>
          </w:rPr>
          <w:t>102</w:t>
        </w:r>
        <w:r w:rsidR="00EB2B2E">
          <w:rPr>
            <w:webHidden/>
          </w:rPr>
          <w:fldChar w:fldCharType="end"/>
        </w:r>
      </w:hyperlink>
    </w:p>
    <w:p w14:paraId="0E1258AA" w14:textId="6AD8198D" w:rsidR="005E5A10" w:rsidRPr="00C35CA8" w:rsidRDefault="00EB2B2E" w:rsidP="00F65B19">
      <w:pPr>
        <w:pStyle w:val="Obsah3"/>
        <w:rPr>
          <w:rFonts w:asciiTheme="minorHAnsi" w:hAnsiTheme="minorHAnsi" w:cstheme="minorHAnsi"/>
        </w:rPr>
      </w:pPr>
      <w:r>
        <w:rPr>
          <w:noProof w:val="0"/>
          <w:lang w:eastAsia="en-US"/>
        </w:rPr>
        <w:lastRenderedPageBreak/>
        <w:fldChar w:fldCharType="end"/>
      </w:r>
      <w:r w:rsidR="005E5A10" w:rsidRPr="00C35CA8">
        <w:t>Zoznam použitých skratiek a symbolov</w:t>
      </w:r>
      <w:bookmarkEnd w:id="2"/>
      <w:bookmarkEnd w:id="3"/>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229"/>
      </w:tblGrid>
      <w:tr w:rsidR="00966BB0" w:rsidRPr="00C35CA8" w14:paraId="72826E9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0E0333E" w14:textId="77777777" w:rsidR="00966BB0" w:rsidRPr="00C35CA8" w:rsidRDefault="00966BB0" w:rsidP="00AA7E7B">
            <w:pPr>
              <w:jc w:val="left"/>
              <w:rPr>
                <w:sz w:val="18"/>
                <w:szCs w:val="18"/>
              </w:rPr>
            </w:pPr>
            <w:r w:rsidRPr="00C35CA8">
              <w:rPr>
                <w:sz w:val="18"/>
                <w:szCs w:val="18"/>
              </w:rPr>
              <w:t>AČ</w:t>
            </w:r>
          </w:p>
        </w:tc>
        <w:tc>
          <w:tcPr>
            <w:tcW w:w="7229" w:type="dxa"/>
            <w:tcBorders>
              <w:top w:val="single" w:sz="4" w:space="0" w:color="auto"/>
              <w:left w:val="single" w:sz="4" w:space="0" w:color="auto"/>
              <w:bottom w:val="single" w:sz="4" w:space="0" w:color="auto"/>
              <w:right w:val="single" w:sz="4" w:space="0" w:color="auto"/>
            </w:tcBorders>
            <w:noWrap/>
            <w:vAlign w:val="center"/>
          </w:tcPr>
          <w:p w14:paraId="641AC848" w14:textId="77777777" w:rsidR="00966BB0" w:rsidRPr="00C35CA8" w:rsidRDefault="00966BB0" w:rsidP="00AA7E7B">
            <w:pPr>
              <w:jc w:val="left"/>
              <w:rPr>
                <w:sz w:val="18"/>
                <w:szCs w:val="18"/>
              </w:rPr>
            </w:pPr>
            <w:r w:rsidRPr="00C35CA8">
              <w:rPr>
                <w:sz w:val="18"/>
                <w:szCs w:val="18"/>
              </w:rPr>
              <w:t>aktivačná činnosť</w:t>
            </w:r>
          </w:p>
        </w:tc>
      </w:tr>
      <w:tr w:rsidR="005E5A10" w:rsidRPr="00C35CA8" w14:paraId="68FDAD4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0DA4B90" w14:textId="77777777" w:rsidR="005E5A10" w:rsidRPr="00C35CA8" w:rsidRDefault="005E5A10" w:rsidP="00AA7E7B">
            <w:pPr>
              <w:jc w:val="left"/>
              <w:rPr>
                <w:sz w:val="18"/>
                <w:szCs w:val="18"/>
              </w:rPr>
            </w:pPr>
            <w:r w:rsidRPr="00C35CA8">
              <w:rPr>
                <w:sz w:val="18"/>
                <w:szCs w:val="18"/>
              </w:rPr>
              <w:t>ADZ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1919494" w14:textId="77777777" w:rsidR="005E5A10" w:rsidRPr="00C35CA8" w:rsidRDefault="005E5A10" w:rsidP="00AA7E7B">
            <w:pPr>
              <w:jc w:val="left"/>
              <w:rPr>
                <w:sz w:val="18"/>
                <w:szCs w:val="18"/>
              </w:rPr>
            </w:pPr>
            <w:r w:rsidRPr="00C35CA8">
              <w:rPr>
                <w:sz w:val="18"/>
                <w:szCs w:val="18"/>
              </w:rPr>
              <w:t>agentúra dočasného zamestnávania</w:t>
            </w:r>
          </w:p>
        </w:tc>
      </w:tr>
      <w:tr w:rsidR="005E5A10" w:rsidRPr="00C35CA8" w14:paraId="07396B8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6EC9F5B" w14:textId="77777777" w:rsidR="005E5A10" w:rsidRPr="00C35CA8" w:rsidRDefault="005E5A10" w:rsidP="00AA7E7B">
            <w:pPr>
              <w:jc w:val="left"/>
              <w:rPr>
                <w:sz w:val="18"/>
                <w:szCs w:val="18"/>
              </w:rPr>
            </w:pPr>
            <w:r w:rsidRPr="00C35CA8">
              <w:rPr>
                <w:sz w:val="18"/>
                <w:szCs w:val="18"/>
              </w:rPr>
              <w:t>AOTP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EAA52DB" w14:textId="77777777" w:rsidR="005E5A10" w:rsidRPr="00C35CA8" w:rsidRDefault="005E5A10" w:rsidP="00AA7E7B">
            <w:pPr>
              <w:jc w:val="left"/>
              <w:rPr>
                <w:sz w:val="18"/>
                <w:szCs w:val="18"/>
              </w:rPr>
            </w:pPr>
            <w:r w:rsidRPr="00C35CA8">
              <w:rPr>
                <w:sz w:val="18"/>
                <w:szCs w:val="18"/>
              </w:rPr>
              <w:t>aktívne opatrenia na trhu práce</w:t>
            </w:r>
          </w:p>
        </w:tc>
      </w:tr>
      <w:tr w:rsidR="005E5A10" w:rsidRPr="00C35CA8" w14:paraId="35BCDBD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0DE2CCC" w14:textId="77777777" w:rsidR="005E5A10" w:rsidRPr="00C35CA8" w:rsidRDefault="005E5A10" w:rsidP="00AA7E7B">
            <w:pPr>
              <w:jc w:val="left"/>
              <w:rPr>
                <w:sz w:val="18"/>
                <w:szCs w:val="18"/>
              </w:rPr>
            </w:pPr>
            <w:r w:rsidRPr="00C35CA8">
              <w:rPr>
                <w:sz w:val="18"/>
                <w:szCs w:val="18"/>
              </w:rPr>
              <w:t>APTP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6696E65" w14:textId="77777777" w:rsidR="005E5A10" w:rsidRPr="00C35CA8" w:rsidRDefault="005E5A10" w:rsidP="00AA7E7B">
            <w:pPr>
              <w:jc w:val="left"/>
              <w:rPr>
                <w:sz w:val="18"/>
                <w:szCs w:val="18"/>
              </w:rPr>
            </w:pPr>
            <w:r w:rsidRPr="00C35CA8">
              <w:rPr>
                <w:sz w:val="18"/>
                <w:szCs w:val="18"/>
              </w:rPr>
              <w:t>aktívna politika trhu práce</w:t>
            </w:r>
          </w:p>
        </w:tc>
      </w:tr>
      <w:tr w:rsidR="00DA3889" w:rsidRPr="00C35CA8" w14:paraId="5F1D4AD1"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294A2444" w14:textId="77777777" w:rsidR="00DA3889" w:rsidRPr="00C35CA8" w:rsidRDefault="00DA3889" w:rsidP="00AA7E7B">
            <w:pPr>
              <w:jc w:val="left"/>
              <w:rPr>
                <w:sz w:val="18"/>
                <w:szCs w:val="18"/>
              </w:rPr>
            </w:pPr>
            <w:r w:rsidRPr="00C35CA8">
              <w:rPr>
                <w:sz w:val="18"/>
                <w:szCs w:val="18"/>
              </w:rPr>
              <w:t>ADZ</w:t>
            </w:r>
          </w:p>
        </w:tc>
        <w:tc>
          <w:tcPr>
            <w:tcW w:w="7229" w:type="dxa"/>
            <w:tcBorders>
              <w:top w:val="single" w:sz="4" w:space="0" w:color="auto"/>
              <w:left w:val="single" w:sz="4" w:space="0" w:color="auto"/>
              <w:bottom w:val="single" w:sz="4" w:space="0" w:color="auto"/>
              <w:right w:val="single" w:sz="4" w:space="0" w:color="auto"/>
            </w:tcBorders>
            <w:noWrap/>
            <w:vAlign w:val="center"/>
          </w:tcPr>
          <w:p w14:paraId="1C5E0CC9" w14:textId="77777777" w:rsidR="00DA3889" w:rsidRPr="00C35CA8" w:rsidRDefault="00DA3889" w:rsidP="00AA7E7B">
            <w:pPr>
              <w:jc w:val="left"/>
              <w:rPr>
                <w:sz w:val="18"/>
                <w:szCs w:val="18"/>
              </w:rPr>
            </w:pPr>
            <w:r w:rsidRPr="00C35CA8">
              <w:rPr>
                <w:sz w:val="18"/>
                <w:szCs w:val="18"/>
              </w:rPr>
              <w:t>agentúra dočasného zamestnávania</w:t>
            </w:r>
          </w:p>
        </w:tc>
      </w:tr>
      <w:tr w:rsidR="00966BB0" w:rsidRPr="00C35CA8" w14:paraId="236DC8B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1CC1EED" w14:textId="77777777" w:rsidR="00966BB0" w:rsidRPr="00C35CA8" w:rsidRDefault="00966BB0" w:rsidP="00AA7E7B">
            <w:pPr>
              <w:jc w:val="left"/>
              <w:rPr>
                <w:sz w:val="18"/>
                <w:szCs w:val="18"/>
              </w:rPr>
            </w:pPr>
            <w:r w:rsidRPr="00C35CA8">
              <w:rPr>
                <w:sz w:val="18"/>
                <w:szCs w:val="18"/>
              </w:rPr>
              <w:t>AP</w:t>
            </w:r>
          </w:p>
        </w:tc>
        <w:tc>
          <w:tcPr>
            <w:tcW w:w="7229" w:type="dxa"/>
            <w:tcBorders>
              <w:top w:val="single" w:sz="4" w:space="0" w:color="auto"/>
              <w:left w:val="single" w:sz="4" w:space="0" w:color="auto"/>
              <w:bottom w:val="single" w:sz="4" w:space="0" w:color="auto"/>
              <w:right w:val="single" w:sz="4" w:space="0" w:color="auto"/>
            </w:tcBorders>
            <w:noWrap/>
            <w:vAlign w:val="center"/>
          </w:tcPr>
          <w:p w14:paraId="0ECB2C43" w14:textId="77777777" w:rsidR="00966BB0" w:rsidRPr="00C35CA8" w:rsidRDefault="00966BB0" w:rsidP="00AA7E7B">
            <w:pPr>
              <w:jc w:val="left"/>
              <w:rPr>
                <w:sz w:val="18"/>
                <w:szCs w:val="18"/>
              </w:rPr>
            </w:pPr>
            <w:r w:rsidRPr="00C35CA8">
              <w:rPr>
                <w:sz w:val="18"/>
                <w:szCs w:val="18"/>
              </w:rPr>
              <w:t>absolventská prax</w:t>
            </w:r>
          </w:p>
        </w:tc>
      </w:tr>
      <w:tr w:rsidR="004D20B2" w:rsidRPr="00C35CA8" w14:paraId="1016288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BFB6A40" w14:textId="0ABC261A" w:rsidR="004D20B2" w:rsidRPr="00C35CA8" w:rsidRDefault="004D20B2" w:rsidP="00AA7E7B">
            <w:pPr>
              <w:jc w:val="left"/>
              <w:rPr>
                <w:sz w:val="18"/>
                <w:szCs w:val="18"/>
              </w:rPr>
            </w:pPr>
            <w:r>
              <w:rPr>
                <w:sz w:val="18"/>
                <w:szCs w:val="18"/>
              </w:rPr>
              <w:t xml:space="preserve">a.s. </w:t>
            </w:r>
          </w:p>
        </w:tc>
        <w:tc>
          <w:tcPr>
            <w:tcW w:w="7229" w:type="dxa"/>
            <w:tcBorders>
              <w:top w:val="single" w:sz="4" w:space="0" w:color="auto"/>
              <w:left w:val="single" w:sz="4" w:space="0" w:color="auto"/>
              <w:bottom w:val="single" w:sz="4" w:space="0" w:color="auto"/>
              <w:right w:val="single" w:sz="4" w:space="0" w:color="auto"/>
            </w:tcBorders>
            <w:noWrap/>
            <w:vAlign w:val="center"/>
          </w:tcPr>
          <w:p w14:paraId="3727E202" w14:textId="30FA4158" w:rsidR="004D20B2" w:rsidRPr="00C35CA8" w:rsidRDefault="004D20B2" w:rsidP="00AA7E7B">
            <w:pPr>
              <w:jc w:val="left"/>
              <w:rPr>
                <w:sz w:val="18"/>
                <w:szCs w:val="18"/>
              </w:rPr>
            </w:pPr>
            <w:r>
              <w:rPr>
                <w:sz w:val="18"/>
                <w:szCs w:val="18"/>
              </w:rPr>
              <w:t>akciová spoločnosť</w:t>
            </w:r>
          </w:p>
        </w:tc>
      </w:tr>
      <w:tr w:rsidR="005E5A10" w:rsidRPr="00C35CA8" w14:paraId="0283797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5BA75DD" w14:textId="77777777" w:rsidR="005E5A10" w:rsidRPr="00C35CA8" w:rsidRDefault="005E5A10" w:rsidP="00AA7E7B">
            <w:pPr>
              <w:jc w:val="left"/>
              <w:rPr>
                <w:sz w:val="18"/>
                <w:szCs w:val="18"/>
              </w:rPr>
            </w:pPr>
            <w:r w:rsidRPr="00C35CA8">
              <w:rPr>
                <w:sz w:val="18"/>
                <w:szCs w:val="18"/>
              </w:rPr>
              <w:t>APZ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D488783" w14:textId="77777777" w:rsidR="005E5A10" w:rsidRPr="00C35CA8" w:rsidRDefault="005E5A10" w:rsidP="00AA7E7B">
            <w:pPr>
              <w:jc w:val="left"/>
              <w:rPr>
                <w:sz w:val="18"/>
                <w:szCs w:val="18"/>
              </w:rPr>
            </w:pPr>
            <w:r w:rsidRPr="00C35CA8">
              <w:rPr>
                <w:sz w:val="18"/>
                <w:szCs w:val="18"/>
              </w:rPr>
              <w:t>agentúra podporovaného zamestnávania</w:t>
            </w:r>
          </w:p>
        </w:tc>
      </w:tr>
      <w:tr w:rsidR="005E5A10" w:rsidRPr="00C35CA8" w14:paraId="5DDCAFA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8D7B203" w14:textId="77777777" w:rsidR="005E5A10" w:rsidRPr="00C35CA8" w:rsidRDefault="005E5A10" w:rsidP="00AA7E7B">
            <w:pPr>
              <w:jc w:val="left"/>
              <w:rPr>
                <w:sz w:val="18"/>
                <w:szCs w:val="18"/>
              </w:rPr>
            </w:pPr>
            <w:r w:rsidRPr="00C35CA8">
              <w:rPr>
                <w:sz w:val="18"/>
                <w:szCs w:val="18"/>
              </w:rPr>
              <w:t>BI</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5D4C028" w14:textId="77777777" w:rsidR="005E5A10" w:rsidRPr="00C35CA8" w:rsidRDefault="005E5A10" w:rsidP="00AA7E7B">
            <w:pPr>
              <w:jc w:val="left"/>
              <w:rPr>
                <w:sz w:val="18"/>
                <w:szCs w:val="18"/>
              </w:rPr>
            </w:pPr>
            <w:r w:rsidRPr="00C35CA8">
              <w:rPr>
                <w:sz w:val="18"/>
                <w:szCs w:val="18"/>
              </w:rPr>
              <w:t>burza informácií</w:t>
            </w:r>
          </w:p>
        </w:tc>
      </w:tr>
      <w:tr w:rsidR="005E5A10" w:rsidRPr="00C35CA8" w14:paraId="14C4EAC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64BE1F3" w14:textId="77777777" w:rsidR="005E5A10" w:rsidRPr="00C35CA8" w:rsidRDefault="005E5A10" w:rsidP="00AA7E7B">
            <w:pPr>
              <w:jc w:val="left"/>
              <w:rPr>
                <w:sz w:val="18"/>
                <w:szCs w:val="18"/>
              </w:rPr>
            </w:pPr>
            <w:r w:rsidRPr="00C35CA8">
              <w:rPr>
                <w:sz w:val="18"/>
                <w:szCs w:val="18"/>
              </w:rPr>
              <w:t>BP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8281545" w14:textId="77777777" w:rsidR="005E5A10" w:rsidRPr="00C35CA8" w:rsidRDefault="005E5A10" w:rsidP="00AA7E7B">
            <w:pPr>
              <w:jc w:val="left"/>
              <w:rPr>
                <w:sz w:val="18"/>
                <w:szCs w:val="18"/>
              </w:rPr>
            </w:pPr>
            <w:r w:rsidRPr="00C35CA8">
              <w:rPr>
                <w:sz w:val="18"/>
                <w:szCs w:val="18"/>
              </w:rPr>
              <w:t>burza práce</w:t>
            </w:r>
          </w:p>
        </w:tc>
      </w:tr>
      <w:tr w:rsidR="005E5A10" w:rsidRPr="00C35CA8" w14:paraId="2B32987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16FD804" w14:textId="77777777" w:rsidR="005E5A10" w:rsidRPr="00C35CA8" w:rsidRDefault="005E5A10" w:rsidP="00AA7E7B">
            <w:pPr>
              <w:jc w:val="left"/>
              <w:rPr>
                <w:sz w:val="18"/>
                <w:szCs w:val="18"/>
              </w:rPr>
            </w:pPr>
            <w:r w:rsidRPr="00C35CA8">
              <w:rPr>
                <w:sz w:val="18"/>
                <w:szCs w:val="18"/>
              </w:rPr>
              <w:t>BPaI</w:t>
            </w:r>
          </w:p>
        </w:tc>
        <w:tc>
          <w:tcPr>
            <w:tcW w:w="7229" w:type="dxa"/>
            <w:tcBorders>
              <w:top w:val="single" w:sz="4" w:space="0" w:color="auto"/>
              <w:left w:val="single" w:sz="4" w:space="0" w:color="auto"/>
              <w:bottom w:val="single" w:sz="4" w:space="0" w:color="auto"/>
              <w:right w:val="single" w:sz="4" w:space="0" w:color="auto"/>
            </w:tcBorders>
            <w:noWrap/>
            <w:vAlign w:val="center"/>
          </w:tcPr>
          <w:p w14:paraId="1ABEF7BC" w14:textId="77777777" w:rsidR="005E5A10" w:rsidRPr="00C35CA8" w:rsidRDefault="005E5A10" w:rsidP="00AA7E7B">
            <w:pPr>
              <w:jc w:val="left"/>
              <w:rPr>
                <w:sz w:val="18"/>
                <w:szCs w:val="18"/>
              </w:rPr>
            </w:pPr>
            <w:r w:rsidRPr="00C35CA8">
              <w:rPr>
                <w:sz w:val="18"/>
                <w:szCs w:val="18"/>
              </w:rPr>
              <w:t>burzy práce a informácií</w:t>
            </w:r>
          </w:p>
        </w:tc>
      </w:tr>
      <w:tr w:rsidR="00EC5594" w:rsidRPr="00C35CA8" w14:paraId="2A093B2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F0F539C" w14:textId="77777777" w:rsidR="00EC5594" w:rsidRPr="00C35CA8" w:rsidRDefault="00EC5594" w:rsidP="00AA7E7B">
            <w:pPr>
              <w:jc w:val="left"/>
              <w:rPr>
                <w:sz w:val="18"/>
                <w:szCs w:val="18"/>
              </w:rPr>
            </w:pPr>
            <w:r w:rsidRPr="00C35CA8">
              <w:rPr>
                <w:sz w:val="18"/>
                <w:szCs w:val="18"/>
              </w:rPr>
              <w:t>BSK</w:t>
            </w:r>
          </w:p>
        </w:tc>
        <w:tc>
          <w:tcPr>
            <w:tcW w:w="7229" w:type="dxa"/>
            <w:tcBorders>
              <w:top w:val="single" w:sz="4" w:space="0" w:color="auto"/>
              <w:left w:val="single" w:sz="4" w:space="0" w:color="auto"/>
              <w:bottom w:val="single" w:sz="4" w:space="0" w:color="auto"/>
              <w:right w:val="single" w:sz="4" w:space="0" w:color="auto"/>
            </w:tcBorders>
            <w:noWrap/>
            <w:vAlign w:val="center"/>
          </w:tcPr>
          <w:p w14:paraId="1A076DBA" w14:textId="77777777" w:rsidR="00EC5594" w:rsidRPr="00C35CA8" w:rsidRDefault="00EC5594" w:rsidP="00AA7E7B">
            <w:pPr>
              <w:jc w:val="left"/>
              <w:rPr>
                <w:sz w:val="18"/>
                <w:szCs w:val="18"/>
              </w:rPr>
            </w:pPr>
            <w:r w:rsidRPr="00C35CA8">
              <w:rPr>
                <w:sz w:val="18"/>
                <w:szCs w:val="18"/>
              </w:rPr>
              <w:t>Bratislavský samosprávny kraj</w:t>
            </w:r>
          </w:p>
        </w:tc>
      </w:tr>
      <w:tr w:rsidR="00966BB0" w:rsidRPr="00C35CA8" w14:paraId="4ADFC0C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F303FE8" w14:textId="77777777" w:rsidR="00966BB0" w:rsidRPr="00C35CA8" w:rsidRDefault="00966BB0" w:rsidP="00AA7E7B">
            <w:pPr>
              <w:jc w:val="left"/>
              <w:rPr>
                <w:sz w:val="18"/>
                <w:szCs w:val="18"/>
              </w:rPr>
            </w:pPr>
            <w:r w:rsidRPr="00C35CA8">
              <w:rPr>
                <w:sz w:val="18"/>
                <w:szCs w:val="18"/>
              </w:rPr>
              <w:t>CCP</w:t>
            </w:r>
          </w:p>
        </w:tc>
        <w:tc>
          <w:tcPr>
            <w:tcW w:w="7229" w:type="dxa"/>
            <w:tcBorders>
              <w:top w:val="single" w:sz="4" w:space="0" w:color="auto"/>
              <w:left w:val="single" w:sz="4" w:space="0" w:color="auto"/>
              <w:bottom w:val="single" w:sz="4" w:space="0" w:color="auto"/>
              <w:right w:val="single" w:sz="4" w:space="0" w:color="auto"/>
            </w:tcBorders>
            <w:noWrap/>
            <w:vAlign w:val="center"/>
          </w:tcPr>
          <w:p w14:paraId="39108C36" w14:textId="77777777" w:rsidR="00966BB0" w:rsidRPr="00C35CA8" w:rsidRDefault="00966BB0" w:rsidP="00AA7E7B">
            <w:pPr>
              <w:jc w:val="left"/>
              <w:rPr>
                <w:sz w:val="18"/>
                <w:szCs w:val="18"/>
              </w:rPr>
            </w:pPr>
            <w:r w:rsidRPr="00C35CA8">
              <w:rPr>
                <w:sz w:val="18"/>
                <w:szCs w:val="18"/>
              </w:rPr>
              <w:t>celková cena práce</w:t>
            </w:r>
          </w:p>
        </w:tc>
      </w:tr>
      <w:tr w:rsidR="000A1DEB" w:rsidRPr="00C35CA8" w14:paraId="4B1DB49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4F40909" w14:textId="77777777" w:rsidR="000A1DEB" w:rsidRPr="00C35CA8" w:rsidRDefault="000A1DEB" w:rsidP="00AA7E7B">
            <w:pPr>
              <w:jc w:val="left"/>
              <w:rPr>
                <w:sz w:val="18"/>
                <w:szCs w:val="18"/>
              </w:rPr>
            </w:pPr>
            <w:r w:rsidRPr="00C35CA8">
              <w:rPr>
                <w:sz w:val="18"/>
                <w:szCs w:val="18"/>
              </w:rPr>
              <w:t>ČR</w:t>
            </w:r>
          </w:p>
        </w:tc>
        <w:tc>
          <w:tcPr>
            <w:tcW w:w="7229" w:type="dxa"/>
            <w:tcBorders>
              <w:top w:val="single" w:sz="4" w:space="0" w:color="auto"/>
              <w:left w:val="single" w:sz="4" w:space="0" w:color="auto"/>
              <w:bottom w:val="single" w:sz="4" w:space="0" w:color="auto"/>
              <w:right w:val="single" w:sz="4" w:space="0" w:color="auto"/>
            </w:tcBorders>
            <w:noWrap/>
            <w:vAlign w:val="center"/>
          </w:tcPr>
          <w:p w14:paraId="210B5738" w14:textId="77777777" w:rsidR="000A1DEB" w:rsidRPr="00C35CA8" w:rsidRDefault="000A1DEB" w:rsidP="00AA7E7B">
            <w:pPr>
              <w:jc w:val="left"/>
              <w:rPr>
                <w:sz w:val="18"/>
                <w:szCs w:val="18"/>
              </w:rPr>
            </w:pPr>
            <w:r w:rsidRPr="00C35CA8">
              <w:rPr>
                <w:sz w:val="18"/>
                <w:szCs w:val="18"/>
              </w:rPr>
              <w:t>Česká republika</w:t>
            </w:r>
          </w:p>
        </w:tc>
      </w:tr>
      <w:tr w:rsidR="00EA0A01" w:rsidRPr="00C35CA8" w14:paraId="0BB34E9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DA6F0DB" w14:textId="77777777" w:rsidR="00EA0A01" w:rsidRPr="00C35CA8" w:rsidRDefault="00EA0A01" w:rsidP="00AA7E7B">
            <w:pPr>
              <w:jc w:val="left"/>
              <w:rPr>
                <w:sz w:val="18"/>
                <w:szCs w:val="18"/>
              </w:rPr>
            </w:pPr>
            <w:r w:rsidRPr="00C35CA8">
              <w:rPr>
                <w:sz w:val="18"/>
                <w:szCs w:val="18"/>
              </w:rPr>
              <w:t>DEN</w:t>
            </w:r>
          </w:p>
        </w:tc>
        <w:tc>
          <w:tcPr>
            <w:tcW w:w="7229" w:type="dxa"/>
            <w:tcBorders>
              <w:top w:val="single" w:sz="4" w:space="0" w:color="auto"/>
              <w:left w:val="single" w:sz="4" w:space="0" w:color="auto"/>
              <w:bottom w:val="single" w:sz="4" w:space="0" w:color="auto"/>
              <w:right w:val="single" w:sz="4" w:space="0" w:color="auto"/>
            </w:tcBorders>
            <w:noWrap/>
            <w:vAlign w:val="center"/>
          </w:tcPr>
          <w:p w14:paraId="1872EB23" w14:textId="77777777" w:rsidR="00EA0A01" w:rsidRPr="00C35CA8" w:rsidRDefault="00EA0A01" w:rsidP="00AA7E7B">
            <w:pPr>
              <w:jc w:val="left"/>
              <w:rPr>
                <w:sz w:val="18"/>
                <w:szCs w:val="18"/>
              </w:rPr>
            </w:pPr>
            <w:r w:rsidRPr="00C35CA8">
              <w:rPr>
                <w:sz w:val="18"/>
                <w:szCs w:val="18"/>
              </w:rPr>
              <w:t>dlhodobo nezamestnaný občan</w:t>
            </w:r>
          </w:p>
        </w:tc>
      </w:tr>
      <w:tr w:rsidR="005E5A10" w:rsidRPr="00C35CA8" w14:paraId="6C10229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8D9FAFF" w14:textId="77777777" w:rsidR="005E5A10" w:rsidRPr="00C35CA8" w:rsidRDefault="005E5A10" w:rsidP="00AA7E7B">
            <w:pPr>
              <w:jc w:val="left"/>
              <w:rPr>
                <w:sz w:val="18"/>
                <w:szCs w:val="18"/>
              </w:rPr>
            </w:pPr>
            <w:r w:rsidRPr="00C35CA8">
              <w:rPr>
                <w:sz w:val="18"/>
                <w:szCs w:val="18"/>
              </w:rPr>
              <w:t>DNO</w:t>
            </w:r>
          </w:p>
        </w:tc>
        <w:tc>
          <w:tcPr>
            <w:tcW w:w="7229" w:type="dxa"/>
            <w:tcBorders>
              <w:top w:val="single" w:sz="4" w:space="0" w:color="auto"/>
              <w:left w:val="single" w:sz="4" w:space="0" w:color="auto"/>
              <w:bottom w:val="single" w:sz="4" w:space="0" w:color="auto"/>
              <w:right w:val="single" w:sz="4" w:space="0" w:color="auto"/>
            </w:tcBorders>
            <w:noWrap/>
            <w:vAlign w:val="center"/>
          </w:tcPr>
          <w:p w14:paraId="5D7EFF2C" w14:textId="77777777" w:rsidR="005E5A10" w:rsidRPr="00C35CA8" w:rsidRDefault="005E5A10" w:rsidP="00AA7E7B">
            <w:pPr>
              <w:jc w:val="left"/>
              <w:rPr>
                <w:sz w:val="18"/>
                <w:szCs w:val="18"/>
              </w:rPr>
            </w:pPr>
            <w:r w:rsidRPr="00C35CA8">
              <w:rPr>
                <w:sz w:val="18"/>
                <w:szCs w:val="18"/>
              </w:rPr>
              <w:t>dlhodobo nezamestnaný občan</w:t>
            </w:r>
          </w:p>
        </w:tc>
      </w:tr>
      <w:tr w:rsidR="00DA3889" w:rsidRPr="00C35CA8" w14:paraId="6F8AE0C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20C9C87" w14:textId="77777777" w:rsidR="00DA3889" w:rsidRPr="00C35CA8" w:rsidRDefault="00DA3889" w:rsidP="00AA7E7B">
            <w:pPr>
              <w:jc w:val="left"/>
              <w:rPr>
                <w:sz w:val="18"/>
                <w:szCs w:val="18"/>
              </w:rPr>
            </w:pPr>
            <w:r w:rsidRPr="00C35CA8">
              <w:rPr>
                <w:sz w:val="18"/>
                <w:szCs w:val="18"/>
              </w:rPr>
              <w:t>DN UoZ</w:t>
            </w:r>
          </w:p>
        </w:tc>
        <w:tc>
          <w:tcPr>
            <w:tcW w:w="7229" w:type="dxa"/>
            <w:tcBorders>
              <w:top w:val="single" w:sz="4" w:space="0" w:color="auto"/>
              <w:left w:val="single" w:sz="4" w:space="0" w:color="auto"/>
              <w:bottom w:val="single" w:sz="4" w:space="0" w:color="auto"/>
              <w:right w:val="single" w:sz="4" w:space="0" w:color="auto"/>
            </w:tcBorders>
            <w:noWrap/>
            <w:vAlign w:val="center"/>
          </w:tcPr>
          <w:p w14:paraId="78DDC992" w14:textId="77777777" w:rsidR="00DA3889" w:rsidRPr="00C35CA8" w:rsidRDefault="00DA3889" w:rsidP="00AA7E7B">
            <w:pPr>
              <w:jc w:val="left"/>
              <w:rPr>
                <w:sz w:val="18"/>
                <w:szCs w:val="18"/>
              </w:rPr>
            </w:pPr>
            <w:r w:rsidRPr="00C35CA8">
              <w:rPr>
                <w:sz w:val="18"/>
                <w:szCs w:val="18"/>
              </w:rPr>
              <w:t>dlhodobo nezamestnaný uchádzač o zamestnanie</w:t>
            </w:r>
          </w:p>
        </w:tc>
      </w:tr>
      <w:tr w:rsidR="00966BB0" w:rsidRPr="00C35CA8" w14:paraId="20AAFFA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DDDD3C9" w14:textId="77777777" w:rsidR="00966BB0" w:rsidRPr="00C35CA8" w:rsidRDefault="00966BB0" w:rsidP="00AA7E7B">
            <w:pPr>
              <w:jc w:val="left"/>
              <w:rPr>
                <w:sz w:val="18"/>
                <w:szCs w:val="18"/>
              </w:rPr>
            </w:pPr>
            <w:r w:rsidRPr="00C35CA8">
              <w:rPr>
                <w:sz w:val="18"/>
                <w:szCs w:val="18"/>
              </w:rPr>
              <w:t>DS</w:t>
            </w:r>
          </w:p>
        </w:tc>
        <w:tc>
          <w:tcPr>
            <w:tcW w:w="7229" w:type="dxa"/>
            <w:tcBorders>
              <w:top w:val="single" w:sz="4" w:space="0" w:color="auto"/>
              <w:left w:val="single" w:sz="4" w:space="0" w:color="auto"/>
              <w:bottom w:val="single" w:sz="4" w:space="0" w:color="auto"/>
              <w:right w:val="single" w:sz="4" w:space="0" w:color="auto"/>
            </w:tcBorders>
            <w:noWrap/>
            <w:vAlign w:val="center"/>
          </w:tcPr>
          <w:p w14:paraId="0212A75B" w14:textId="77777777" w:rsidR="00966BB0" w:rsidRPr="00C35CA8" w:rsidRDefault="00966BB0" w:rsidP="00AA7E7B">
            <w:pPr>
              <w:jc w:val="left"/>
              <w:rPr>
                <w:sz w:val="18"/>
                <w:szCs w:val="18"/>
              </w:rPr>
            </w:pPr>
            <w:r w:rsidRPr="00C35CA8">
              <w:rPr>
                <w:sz w:val="18"/>
                <w:szCs w:val="18"/>
              </w:rPr>
              <w:t>dobrovoľnícka služba</w:t>
            </w:r>
          </w:p>
        </w:tc>
      </w:tr>
      <w:tr w:rsidR="005E5A10" w:rsidRPr="00C35CA8" w14:paraId="73A0EE80"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B1ED9AD" w14:textId="77777777" w:rsidR="005E5A10" w:rsidRPr="00C35CA8" w:rsidRDefault="005E5A10" w:rsidP="00AA7E7B">
            <w:pPr>
              <w:jc w:val="left"/>
              <w:rPr>
                <w:sz w:val="18"/>
                <w:szCs w:val="18"/>
              </w:rPr>
            </w:pPr>
            <w:r w:rsidRPr="00C35CA8">
              <w:rPr>
                <w:sz w:val="18"/>
                <w:szCs w:val="18"/>
              </w:rPr>
              <w:t>EHP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991A62D" w14:textId="1F58A457" w:rsidR="005E5A10" w:rsidRPr="00C35CA8" w:rsidRDefault="009418BA" w:rsidP="00AA7E7B">
            <w:pPr>
              <w:jc w:val="left"/>
              <w:rPr>
                <w:sz w:val="18"/>
                <w:szCs w:val="18"/>
              </w:rPr>
            </w:pPr>
            <w:r>
              <w:rPr>
                <w:sz w:val="18"/>
                <w:szCs w:val="18"/>
              </w:rPr>
              <w:t>eur</w:t>
            </w:r>
            <w:r w:rsidR="005E5A10" w:rsidRPr="00C35CA8">
              <w:rPr>
                <w:sz w:val="18"/>
                <w:szCs w:val="18"/>
              </w:rPr>
              <w:t>ópsky hospodársky priestor</w:t>
            </w:r>
          </w:p>
        </w:tc>
      </w:tr>
      <w:tr w:rsidR="005E5A10" w:rsidRPr="00C35CA8" w14:paraId="33D0E0F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FEAA2C0" w14:textId="77777777" w:rsidR="005E5A10" w:rsidRPr="00C35CA8" w:rsidRDefault="005E5A10" w:rsidP="00AA7E7B">
            <w:pPr>
              <w:jc w:val="left"/>
              <w:rPr>
                <w:sz w:val="18"/>
                <w:szCs w:val="18"/>
              </w:rPr>
            </w:pPr>
            <w:r w:rsidRPr="00C35CA8">
              <w:rPr>
                <w:sz w:val="18"/>
                <w:szCs w:val="18"/>
              </w:rPr>
              <w:t>ES</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772A27F" w14:textId="32324120" w:rsidR="005E5A10" w:rsidRPr="00C35CA8" w:rsidRDefault="009418BA" w:rsidP="00AA7E7B">
            <w:pPr>
              <w:jc w:val="left"/>
              <w:rPr>
                <w:sz w:val="18"/>
                <w:szCs w:val="18"/>
              </w:rPr>
            </w:pPr>
            <w:r>
              <w:rPr>
                <w:sz w:val="18"/>
                <w:szCs w:val="18"/>
              </w:rPr>
              <w:t>Eur</w:t>
            </w:r>
            <w:r w:rsidR="005E5A10" w:rsidRPr="00C35CA8">
              <w:rPr>
                <w:sz w:val="18"/>
                <w:szCs w:val="18"/>
              </w:rPr>
              <w:t>ópske spoločenstvo</w:t>
            </w:r>
          </w:p>
        </w:tc>
      </w:tr>
      <w:tr w:rsidR="005E5A10" w:rsidRPr="00C35CA8" w14:paraId="706CFBB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F54379A" w14:textId="77777777" w:rsidR="005E5A10" w:rsidRPr="00C35CA8" w:rsidRDefault="005E5A10" w:rsidP="00AA7E7B">
            <w:pPr>
              <w:jc w:val="left"/>
              <w:rPr>
                <w:sz w:val="18"/>
                <w:szCs w:val="18"/>
              </w:rPr>
            </w:pPr>
            <w:r w:rsidRPr="00C35CA8">
              <w:rPr>
                <w:sz w:val="18"/>
                <w:szCs w:val="18"/>
              </w:rPr>
              <w:t>ESF</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CE60C27" w14:textId="1024702A" w:rsidR="005E5A10" w:rsidRPr="00C35CA8" w:rsidRDefault="009418BA" w:rsidP="00AA7E7B">
            <w:pPr>
              <w:jc w:val="left"/>
              <w:rPr>
                <w:sz w:val="18"/>
                <w:szCs w:val="18"/>
              </w:rPr>
            </w:pPr>
            <w:r>
              <w:rPr>
                <w:sz w:val="18"/>
                <w:szCs w:val="18"/>
              </w:rPr>
              <w:t>Eur</w:t>
            </w:r>
            <w:r w:rsidR="005E5A10" w:rsidRPr="00C35CA8">
              <w:rPr>
                <w:sz w:val="18"/>
                <w:szCs w:val="18"/>
              </w:rPr>
              <w:t>ópsky sociálny fond</w:t>
            </w:r>
          </w:p>
        </w:tc>
      </w:tr>
      <w:tr w:rsidR="005E5A10" w:rsidRPr="00C35CA8" w14:paraId="3A2F5FE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2001D3F5" w14:textId="69E087FF" w:rsidR="005E5A10" w:rsidRPr="00C35CA8" w:rsidRDefault="009418BA" w:rsidP="00AA7E7B">
            <w:pPr>
              <w:jc w:val="left"/>
              <w:rPr>
                <w:sz w:val="18"/>
                <w:szCs w:val="18"/>
              </w:rPr>
            </w:pPr>
            <w:r>
              <w:rPr>
                <w:sz w:val="18"/>
                <w:szCs w:val="18"/>
              </w:rPr>
              <w:t>Eur</w:t>
            </w:r>
            <w:r w:rsidR="004D20B2" w:rsidRPr="00C35CA8">
              <w:rPr>
                <w:sz w:val="18"/>
                <w:szCs w:val="18"/>
              </w:rPr>
              <w:t>es</w:t>
            </w:r>
          </w:p>
        </w:tc>
        <w:tc>
          <w:tcPr>
            <w:tcW w:w="7229" w:type="dxa"/>
            <w:tcBorders>
              <w:top w:val="single" w:sz="4" w:space="0" w:color="auto"/>
              <w:left w:val="single" w:sz="4" w:space="0" w:color="auto"/>
              <w:bottom w:val="single" w:sz="4" w:space="0" w:color="auto"/>
              <w:right w:val="single" w:sz="4" w:space="0" w:color="auto"/>
            </w:tcBorders>
            <w:noWrap/>
            <w:vAlign w:val="center"/>
          </w:tcPr>
          <w:p w14:paraId="012D1947" w14:textId="31AD0A37" w:rsidR="005E5A10" w:rsidRPr="00C35CA8" w:rsidRDefault="009418BA" w:rsidP="00AA7E7B">
            <w:pPr>
              <w:jc w:val="left"/>
              <w:rPr>
                <w:sz w:val="18"/>
                <w:szCs w:val="18"/>
              </w:rPr>
            </w:pPr>
            <w:r>
              <w:rPr>
                <w:sz w:val="18"/>
                <w:szCs w:val="18"/>
              </w:rPr>
              <w:t>Eur</w:t>
            </w:r>
            <w:r w:rsidR="005E5A10" w:rsidRPr="00C35CA8">
              <w:rPr>
                <w:sz w:val="18"/>
                <w:szCs w:val="18"/>
              </w:rPr>
              <w:t>ópske služby zamestnanosti</w:t>
            </w:r>
          </w:p>
        </w:tc>
      </w:tr>
      <w:tr w:rsidR="005E5A10" w:rsidRPr="00C35CA8" w14:paraId="60175BB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67F1A14" w14:textId="77777777" w:rsidR="005E5A10" w:rsidRPr="00C35CA8" w:rsidRDefault="005E5A10" w:rsidP="00AA7E7B">
            <w:pPr>
              <w:jc w:val="left"/>
              <w:rPr>
                <w:sz w:val="18"/>
                <w:szCs w:val="18"/>
              </w:rPr>
            </w:pPr>
            <w:r w:rsidRPr="00C35CA8">
              <w:rPr>
                <w:sz w:val="18"/>
                <w:szCs w:val="18"/>
              </w:rPr>
              <w:t>EÚ</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5184B8F" w14:textId="472BA53E" w:rsidR="005E5A10" w:rsidRPr="00C35CA8" w:rsidRDefault="009418BA" w:rsidP="00AA7E7B">
            <w:pPr>
              <w:jc w:val="left"/>
              <w:rPr>
                <w:sz w:val="18"/>
                <w:szCs w:val="18"/>
              </w:rPr>
            </w:pPr>
            <w:r>
              <w:rPr>
                <w:sz w:val="18"/>
                <w:szCs w:val="18"/>
              </w:rPr>
              <w:t>Eur</w:t>
            </w:r>
            <w:r w:rsidR="005E5A10" w:rsidRPr="00C35CA8">
              <w:rPr>
                <w:sz w:val="18"/>
                <w:szCs w:val="18"/>
              </w:rPr>
              <w:t>ópska únia</w:t>
            </w:r>
          </w:p>
        </w:tc>
      </w:tr>
      <w:tr w:rsidR="00B93629" w:rsidRPr="00C35CA8" w14:paraId="4006891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B25EF6A" w14:textId="41CB30BE" w:rsidR="00B93629" w:rsidRPr="00C35CA8" w:rsidRDefault="009418BA" w:rsidP="00AA7E7B">
            <w:pPr>
              <w:jc w:val="left"/>
              <w:rPr>
                <w:sz w:val="18"/>
                <w:szCs w:val="18"/>
              </w:rPr>
            </w:pPr>
            <w:r>
              <w:rPr>
                <w:sz w:val="18"/>
                <w:szCs w:val="18"/>
              </w:rPr>
              <w:t>eur</w:t>
            </w:r>
            <w:r w:rsidR="00B93629" w:rsidRPr="00C35CA8">
              <w:rPr>
                <w:sz w:val="18"/>
                <w:szCs w:val="18"/>
              </w:rPr>
              <w:t>/</w:t>
            </w:r>
            <w:r>
              <w:rPr>
                <w:sz w:val="18"/>
                <w:szCs w:val="18"/>
              </w:rPr>
              <w:t>eur</w:t>
            </w:r>
            <w:r w:rsidR="00B93629" w:rsidRPr="00C35CA8">
              <w:rPr>
                <w:sz w:val="18"/>
                <w:szCs w:val="18"/>
              </w:rPr>
              <w:t>/</w:t>
            </w:r>
            <w:r>
              <w:rPr>
                <w:sz w:val="18"/>
                <w:szCs w:val="18"/>
              </w:rPr>
              <w:t>eur</w:t>
            </w:r>
            <w:r w:rsidR="00F653D3">
              <w:rPr>
                <w:sz w:val="18"/>
                <w:szCs w:val="18"/>
              </w:rPr>
              <w:t>/</w:t>
            </w:r>
            <w:r>
              <w:rPr>
                <w:sz w:val="18"/>
                <w:szCs w:val="18"/>
              </w:rPr>
              <w:t>eur</w:t>
            </w:r>
          </w:p>
        </w:tc>
        <w:tc>
          <w:tcPr>
            <w:tcW w:w="7229" w:type="dxa"/>
            <w:tcBorders>
              <w:top w:val="single" w:sz="4" w:space="0" w:color="auto"/>
              <w:left w:val="single" w:sz="4" w:space="0" w:color="auto"/>
              <w:bottom w:val="single" w:sz="4" w:space="0" w:color="auto"/>
              <w:right w:val="single" w:sz="4" w:space="0" w:color="auto"/>
            </w:tcBorders>
            <w:noWrap/>
            <w:vAlign w:val="center"/>
          </w:tcPr>
          <w:p w14:paraId="795EAC57" w14:textId="37557B24" w:rsidR="00B93629" w:rsidRPr="00C35CA8" w:rsidRDefault="00B93629" w:rsidP="00AA7E7B">
            <w:pPr>
              <w:jc w:val="left"/>
              <w:rPr>
                <w:sz w:val="18"/>
                <w:szCs w:val="18"/>
              </w:rPr>
            </w:pPr>
            <w:r w:rsidRPr="00C35CA8">
              <w:rPr>
                <w:sz w:val="18"/>
                <w:szCs w:val="18"/>
              </w:rPr>
              <w:t xml:space="preserve">mena </w:t>
            </w:r>
            <w:r w:rsidR="009418BA">
              <w:rPr>
                <w:sz w:val="18"/>
                <w:szCs w:val="18"/>
              </w:rPr>
              <w:t>eur</w:t>
            </w:r>
            <w:r w:rsidRPr="00C35CA8">
              <w:rPr>
                <w:sz w:val="18"/>
                <w:szCs w:val="18"/>
              </w:rPr>
              <w:t>o</w:t>
            </w:r>
          </w:p>
        </w:tc>
      </w:tr>
      <w:tr w:rsidR="00F653D3" w:rsidRPr="00C35CA8" w14:paraId="5F200F6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084D5C4" w14:textId="170B05B7" w:rsidR="00F653D3" w:rsidRPr="00C35CA8" w:rsidRDefault="0018782D" w:rsidP="00AA7E7B">
            <w:pPr>
              <w:jc w:val="left"/>
              <w:rPr>
                <w:sz w:val="18"/>
                <w:szCs w:val="18"/>
              </w:rPr>
            </w:pPr>
            <w:r>
              <w:rPr>
                <w:sz w:val="18"/>
                <w:szCs w:val="18"/>
              </w:rPr>
              <w:t>ECB</w:t>
            </w:r>
          </w:p>
        </w:tc>
        <w:tc>
          <w:tcPr>
            <w:tcW w:w="7229" w:type="dxa"/>
            <w:tcBorders>
              <w:top w:val="single" w:sz="4" w:space="0" w:color="auto"/>
              <w:left w:val="single" w:sz="4" w:space="0" w:color="auto"/>
              <w:bottom w:val="single" w:sz="4" w:space="0" w:color="auto"/>
              <w:right w:val="single" w:sz="4" w:space="0" w:color="auto"/>
            </w:tcBorders>
            <w:noWrap/>
            <w:vAlign w:val="center"/>
          </w:tcPr>
          <w:p w14:paraId="4309842A" w14:textId="78198BBD" w:rsidR="00F653D3" w:rsidRPr="00C35CA8" w:rsidRDefault="009418BA" w:rsidP="0018782D">
            <w:pPr>
              <w:jc w:val="left"/>
              <w:rPr>
                <w:sz w:val="18"/>
                <w:szCs w:val="18"/>
              </w:rPr>
            </w:pPr>
            <w:r>
              <w:rPr>
                <w:sz w:val="18"/>
                <w:szCs w:val="18"/>
              </w:rPr>
              <w:t>Eur</w:t>
            </w:r>
            <w:r w:rsidR="00F653D3">
              <w:rPr>
                <w:sz w:val="18"/>
                <w:szCs w:val="18"/>
              </w:rPr>
              <w:t>ópska</w:t>
            </w:r>
            <w:r w:rsidR="0018782D">
              <w:rPr>
                <w:sz w:val="18"/>
                <w:szCs w:val="18"/>
              </w:rPr>
              <w:t xml:space="preserve"> centrálna banka</w:t>
            </w:r>
            <w:r w:rsidR="00F653D3" w:rsidRPr="00F653D3">
              <w:rPr>
                <w:sz w:val="18"/>
                <w:szCs w:val="18"/>
              </w:rPr>
              <w:t xml:space="preserve"> </w:t>
            </w:r>
          </w:p>
        </w:tc>
      </w:tr>
      <w:tr w:rsidR="005E5A10" w:rsidRPr="00C35CA8" w14:paraId="2BD8C37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5C6A241" w14:textId="77777777" w:rsidR="005E5A10" w:rsidRPr="00C35CA8" w:rsidRDefault="005E5A10" w:rsidP="00AA7E7B">
            <w:pPr>
              <w:jc w:val="left"/>
              <w:rPr>
                <w:sz w:val="18"/>
                <w:szCs w:val="18"/>
              </w:rPr>
            </w:pPr>
            <w:r w:rsidRPr="00C35CA8">
              <w:rPr>
                <w:sz w:val="18"/>
                <w:szCs w:val="18"/>
              </w:rPr>
              <w:t>FO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04B8276" w14:textId="77777777" w:rsidR="005E5A10" w:rsidRPr="00C35CA8" w:rsidRDefault="005E5A10" w:rsidP="00AA7E7B">
            <w:pPr>
              <w:jc w:val="left"/>
              <w:rPr>
                <w:sz w:val="18"/>
                <w:szCs w:val="18"/>
              </w:rPr>
            </w:pPr>
            <w:r w:rsidRPr="00C35CA8">
              <w:rPr>
                <w:sz w:val="18"/>
                <w:szCs w:val="18"/>
              </w:rPr>
              <w:t>fyzická osoba</w:t>
            </w:r>
          </w:p>
        </w:tc>
      </w:tr>
      <w:tr w:rsidR="005E5A10" w:rsidRPr="00C35CA8" w14:paraId="21B0932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5CF2A22" w14:textId="77777777" w:rsidR="005E5A10" w:rsidRPr="00C35CA8" w:rsidRDefault="005E5A10" w:rsidP="00AA7E7B">
            <w:pPr>
              <w:jc w:val="left"/>
              <w:rPr>
                <w:sz w:val="18"/>
                <w:szCs w:val="18"/>
              </w:rPr>
            </w:pPr>
            <w:r w:rsidRPr="00C35CA8">
              <w:rPr>
                <w:sz w:val="18"/>
                <w:szCs w:val="18"/>
              </w:rPr>
              <w:t>HDP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79030E4" w14:textId="77777777" w:rsidR="005E5A10" w:rsidRPr="00C35CA8" w:rsidRDefault="005E5A10" w:rsidP="00AA7E7B">
            <w:pPr>
              <w:jc w:val="left"/>
              <w:rPr>
                <w:sz w:val="18"/>
                <w:szCs w:val="18"/>
              </w:rPr>
            </w:pPr>
            <w:r w:rsidRPr="00C35CA8">
              <w:rPr>
                <w:sz w:val="18"/>
                <w:szCs w:val="18"/>
              </w:rPr>
              <w:t>hrubý domáci produkt</w:t>
            </w:r>
          </w:p>
        </w:tc>
      </w:tr>
      <w:tr w:rsidR="005E5A10" w:rsidRPr="00C35CA8" w14:paraId="45099D7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0A8129" w14:textId="77777777" w:rsidR="005E5A10" w:rsidRPr="00C35CA8" w:rsidRDefault="005E5A10" w:rsidP="00AA7E7B">
            <w:pPr>
              <w:jc w:val="left"/>
              <w:rPr>
                <w:sz w:val="18"/>
                <w:szCs w:val="18"/>
              </w:rPr>
            </w:pPr>
            <w:r w:rsidRPr="00C35CA8">
              <w:rPr>
                <w:sz w:val="18"/>
                <w:szCs w:val="18"/>
              </w:rPr>
              <w:t>HP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409BFA3" w14:textId="77777777" w:rsidR="005E5A10" w:rsidRPr="00C35CA8" w:rsidRDefault="005E5A10" w:rsidP="00AA7E7B">
            <w:pPr>
              <w:jc w:val="left"/>
              <w:rPr>
                <w:sz w:val="18"/>
                <w:szCs w:val="18"/>
              </w:rPr>
            </w:pPr>
            <w:r w:rsidRPr="00C35CA8">
              <w:rPr>
                <w:sz w:val="18"/>
                <w:szCs w:val="18"/>
              </w:rPr>
              <w:t>hromadné prepúšťanie</w:t>
            </w:r>
          </w:p>
        </w:tc>
      </w:tr>
      <w:tr w:rsidR="005E5A10" w:rsidRPr="00C35CA8" w14:paraId="63ADDBC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CEAC27D" w14:textId="77777777" w:rsidR="005E5A10" w:rsidRPr="00C35CA8" w:rsidRDefault="005E5A10" w:rsidP="00AA7E7B">
            <w:pPr>
              <w:jc w:val="left"/>
              <w:rPr>
                <w:sz w:val="18"/>
                <w:szCs w:val="18"/>
              </w:rPr>
            </w:pPr>
            <w:r w:rsidRPr="00C35CA8">
              <w:rPr>
                <w:sz w:val="18"/>
                <w:szCs w:val="18"/>
              </w:rPr>
              <w:t>CHP/CHD</w:t>
            </w:r>
          </w:p>
        </w:tc>
        <w:tc>
          <w:tcPr>
            <w:tcW w:w="7229" w:type="dxa"/>
            <w:tcBorders>
              <w:top w:val="single" w:sz="4" w:space="0" w:color="auto"/>
              <w:left w:val="single" w:sz="4" w:space="0" w:color="auto"/>
              <w:bottom w:val="single" w:sz="4" w:space="0" w:color="auto"/>
              <w:right w:val="single" w:sz="4" w:space="0" w:color="auto"/>
            </w:tcBorders>
            <w:noWrap/>
            <w:vAlign w:val="center"/>
          </w:tcPr>
          <w:p w14:paraId="7533EA3B" w14:textId="77777777" w:rsidR="005E5A10" w:rsidRPr="00C35CA8" w:rsidRDefault="005E5A10" w:rsidP="00AA7E7B">
            <w:pPr>
              <w:jc w:val="left"/>
              <w:rPr>
                <w:sz w:val="18"/>
                <w:szCs w:val="18"/>
              </w:rPr>
            </w:pPr>
            <w:r w:rsidRPr="00C35CA8">
              <w:rPr>
                <w:sz w:val="18"/>
                <w:szCs w:val="18"/>
              </w:rPr>
              <w:t>chránené pracovisko / chránená dielňa</w:t>
            </w:r>
          </w:p>
        </w:tc>
      </w:tr>
      <w:tr w:rsidR="005E5A10" w:rsidRPr="00C35CA8" w14:paraId="7F97E9A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FD67023" w14:textId="77777777" w:rsidR="005E5A10" w:rsidRPr="00C35CA8" w:rsidRDefault="005E5A10" w:rsidP="00AA7E7B">
            <w:pPr>
              <w:jc w:val="left"/>
              <w:rPr>
                <w:sz w:val="18"/>
                <w:szCs w:val="18"/>
              </w:rPr>
            </w:pPr>
            <w:r w:rsidRPr="00C35CA8">
              <w:rPr>
                <w:sz w:val="18"/>
                <w:szCs w:val="18"/>
              </w:rPr>
              <w:t>IAP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098C3B0" w14:textId="77777777" w:rsidR="005E5A10" w:rsidRPr="00C35CA8" w:rsidRDefault="005E5A10" w:rsidP="00AA7E7B">
            <w:pPr>
              <w:jc w:val="left"/>
              <w:rPr>
                <w:sz w:val="18"/>
                <w:szCs w:val="18"/>
              </w:rPr>
            </w:pPr>
            <w:r w:rsidRPr="00C35CA8">
              <w:rPr>
                <w:sz w:val="18"/>
                <w:szCs w:val="18"/>
              </w:rPr>
              <w:t>individuálny akčný plán</w:t>
            </w:r>
          </w:p>
        </w:tc>
      </w:tr>
      <w:tr w:rsidR="005E5A10" w:rsidRPr="00C35CA8" w14:paraId="116529B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1EBF77A" w14:textId="77777777" w:rsidR="005E5A10" w:rsidRPr="00C35CA8" w:rsidRDefault="005E5A10" w:rsidP="00AA7E7B">
            <w:pPr>
              <w:jc w:val="left"/>
              <w:rPr>
                <w:sz w:val="18"/>
                <w:szCs w:val="18"/>
              </w:rPr>
            </w:pPr>
            <w:r w:rsidRPr="00C35CA8">
              <w:rPr>
                <w:sz w:val="18"/>
                <w:szCs w:val="18"/>
              </w:rPr>
              <w:t>IaPS služby</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481C4BB" w14:textId="77777777" w:rsidR="005E5A10" w:rsidRPr="00C35CA8" w:rsidRDefault="005E5A10" w:rsidP="00AA7E7B">
            <w:pPr>
              <w:jc w:val="left"/>
              <w:rPr>
                <w:sz w:val="18"/>
                <w:szCs w:val="18"/>
              </w:rPr>
            </w:pPr>
            <w:r w:rsidRPr="00C35CA8">
              <w:rPr>
                <w:sz w:val="18"/>
                <w:szCs w:val="18"/>
              </w:rPr>
              <w:t>informačné a poradenské služby</w:t>
            </w:r>
          </w:p>
        </w:tc>
      </w:tr>
      <w:tr w:rsidR="00D928F5" w:rsidRPr="00C35CA8" w14:paraId="3D94166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0FEB5B6" w14:textId="77777777" w:rsidR="00D928F5" w:rsidRPr="00C35CA8" w:rsidRDefault="00D928F5" w:rsidP="00AA7E7B">
            <w:pPr>
              <w:jc w:val="left"/>
              <w:rPr>
                <w:sz w:val="18"/>
                <w:szCs w:val="18"/>
              </w:rPr>
            </w:pPr>
            <w:r w:rsidRPr="00C35CA8">
              <w:rPr>
                <w:sz w:val="18"/>
                <w:szCs w:val="18"/>
              </w:rPr>
              <w:t>IP</w:t>
            </w:r>
          </w:p>
        </w:tc>
        <w:tc>
          <w:tcPr>
            <w:tcW w:w="7229" w:type="dxa"/>
            <w:tcBorders>
              <w:top w:val="single" w:sz="4" w:space="0" w:color="auto"/>
              <w:left w:val="single" w:sz="4" w:space="0" w:color="auto"/>
              <w:bottom w:val="single" w:sz="4" w:space="0" w:color="auto"/>
              <w:right w:val="single" w:sz="4" w:space="0" w:color="auto"/>
            </w:tcBorders>
            <w:noWrap/>
            <w:vAlign w:val="center"/>
          </w:tcPr>
          <w:p w14:paraId="768DEB98" w14:textId="77777777" w:rsidR="00D928F5" w:rsidRPr="00C35CA8" w:rsidRDefault="00D928F5" w:rsidP="00AA7E7B">
            <w:pPr>
              <w:jc w:val="left"/>
              <w:rPr>
                <w:sz w:val="18"/>
                <w:szCs w:val="18"/>
              </w:rPr>
            </w:pPr>
            <w:r w:rsidRPr="00C35CA8">
              <w:rPr>
                <w:sz w:val="18"/>
                <w:szCs w:val="18"/>
              </w:rPr>
              <w:t>integračný podnik</w:t>
            </w:r>
          </w:p>
        </w:tc>
      </w:tr>
      <w:tr w:rsidR="005E5A10" w:rsidRPr="00C35CA8" w14:paraId="2F95BA3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52BAAA7" w14:textId="77777777" w:rsidR="005E5A10" w:rsidRPr="00C35CA8" w:rsidRDefault="005E5A10" w:rsidP="00AA7E7B">
            <w:pPr>
              <w:jc w:val="left"/>
              <w:rPr>
                <w:sz w:val="18"/>
                <w:szCs w:val="18"/>
              </w:rPr>
            </w:pPr>
            <w:r w:rsidRPr="00C35CA8">
              <w:rPr>
                <w:sz w:val="18"/>
                <w:szCs w:val="18"/>
              </w:rPr>
              <w:t>IPS</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73ECEF1" w14:textId="77777777" w:rsidR="005E5A10" w:rsidRPr="00C35CA8" w:rsidRDefault="005E5A10" w:rsidP="00AA7E7B">
            <w:pPr>
              <w:jc w:val="left"/>
              <w:rPr>
                <w:sz w:val="18"/>
                <w:szCs w:val="18"/>
              </w:rPr>
            </w:pPr>
            <w:r w:rsidRPr="00C35CA8">
              <w:rPr>
                <w:sz w:val="18"/>
                <w:szCs w:val="18"/>
              </w:rPr>
              <w:t>informačno – poradenské stredisko</w:t>
            </w:r>
          </w:p>
        </w:tc>
      </w:tr>
      <w:tr w:rsidR="005E5A10" w:rsidRPr="00C35CA8" w14:paraId="79AC2AA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E15681C" w14:textId="77777777" w:rsidR="005E5A10" w:rsidRPr="00C35CA8" w:rsidRDefault="005E5A10" w:rsidP="00AA7E7B">
            <w:pPr>
              <w:jc w:val="left"/>
              <w:rPr>
                <w:sz w:val="18"/>
                <w:szCs w:val="18"/>
              </w:rPr>
            </w:pPr>
            <w:r w:rsidRPr="00C35CA8">
              <w:rPr>
                <w:sz w:val="18"/>
                <w:szCs w:val="18"/>
              </w:rPr>
              <w:t>ISCED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647C061" w14:textId="77777777" w:rsidR="005E5A10" w:rsidRPr="00C35CA8" w:rsidRDefault="005E5A10" w:rsidP="00AA7E7B">
            <w:pPr>
              <w:jc w:val="left"/>
              <w:rPr>
                <w:sz w:val="18"/>
                <w:szCs w:val="18"/>
              </w:rPr>
            </w:pPr>
            <w:r w:rsidRPr="00C35CA8">
              <w:rPr>
                <w:sz w:val="18"/>
                <w:szCs w:val="18"/>
              </w:rPr>
              <w:t>medzinárodná klasifikácia vzdelávania</w:t>
            </w:r>
          </w:p>
        </w:tc>
      </w:tr>
      <w:tr w:rsidR="005E5A10" w:rsidRPr="00C35CA8" w14:paraId="588C0F5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CECDAE0" w14:textId="77777777" w:rsidR="005E5A10" w:rsidRPr="00C35CA8" w:rsidRDefault="005E5A10" w:rsidP="00AA7E7B">
            <w:pPr>
              <w:jc w:val="left"/>
              <w:rPr>
                <w:sz w:val="18"/>
                <w:szCs w:val="18"/>
              </w:rPr>
            </w:pPr>
            <w:r w:rsidRPr="00C35CA8">
              <w:rPr>
                <w:sz w:val="18"/>
                <w:szCs w:val="18"/>
              </w:rPr>
              <w:t>ISTP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595A29D" w14:textId="77777777" w:rsidR="005E5A10" w:rsidRPr="00C35CA8" w:rsidRDefault="005E5A10" w:rsidP="00AA7E7B">
            <w:pPr>
              <w:jc w:val="left"/>
              <w:rPr>
                <w:sz w:val="18"/>
                <w:szCs w:val="18"/>
              </w:rPr>
            </w:pPr>
            <w:r w:rsidRPr="00C35CA8">
              <w:rPr>
                <w:sz w:val="18"/>
                <w:szCs w:val="18"/>
              </w:rPr>
              <w:t>integrovaný systém typových pozícií</w:t>
            </w:r>
          </w:p>
        </w:tc>
      </w:tr>
      <w:tr w:rsidR="00EC5594" w:rsidRPr="00C35CA8" w14:paraId="29575C2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0356030" w14:textId="77777777" w:rsidR="00EC5594" w:rsidRPr="00C35CA8" w:rsidRDefault="00EC5594" w:rsidP="00AA7E7B">
            <w:pPr>
              <w:jc w:val="left"/>
              <w:rPr>
                <w:sz w:val="18"/>
                <w:szCs w:val="18"/>
              </w:rPr>
            </w:pPr>
            <w:r w:rsidRPr="00C35CA8">
              <w:rPr>
                <w:sz w:val="18"/>
                <w:szCs w:val="18"/>
              </w:rPr>
              <w:t>IT</w:t>
            </w:r>
          </w:p>
        </w:tc>
        <w:tc>
          <w:tcPr>
            <w:tcW w:w="7229" w:type="dxa"/>
            <w:tcBorders>
              <w:top w:val="single" w:sz="4" w:space="0" w:color="auto"/>
              <w:left w:val="single" w:sz="4" w:space="0" w:color="auto"/>
              <w:bottom w:val="single" w:sz="4" w:space="0" w:color="auto"/>
              <w:right w:val="single" w:sz="4" w:space="0" w:color="auto"/>
            </w:tcBorders>
            <w:noWrap/>
            <w:vAlign w:val="center"/>
          </w:tcPr>
          <w:p w14:paraId="6AB7D445" w14:textId="77777777" w:rsidR="00EC5594" w:rsidRPr="00C35CA8" w:rsidRDefault="00EC5594" w:rsidP="00AA7E7B">
            <w:pPr>
              <w:jc w:val="left"/>
              <w:rPr>
                <w:sz w:val="18"/>
                <w:szCs w:val="18"/>
              </w:rPr>
            </w:pPr>
            <w:r w:rsidRPr="00C35CA8">
              <w:rPr>
                <w:sz w:val="18"/>
                <w:szCs w:val="18"/>
              </w:rPr>
              <w:t>informačné technológie</w:t>
            </w:r>
          </w:p>
        </w:tc>
      </w:tr>
      <w:tr w:rsidR="004D20B2" w:rsidRPr="00C35CA8" w14:paraId="5F63AD1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452659C" w14:textId="330B0574" w:rsidR="004D20B2" w:rsidRPr="00C35CA8" w:rsidRDefault="004D20B2" w:rsidP="004D20B2">
            <w:pPr>
              <w:jc w:val="left"/>
              <w:rPr>
                <w:sz w:val="18"/>
                <w:szCs w:val="18"/>
              </w:rPr>
            </w:pPr>
            <w:r>
              <w:rPr>
                <w:sz w:val="18"/>
                <w:szCs w:val="18"/>
              </w:rPr>
              <w:t>k. s.</w:t>
            </w:r>
          </w:p>
        </w:tc>
        <w:tc>
          <w:tcPr>
            <w:tcW w:w="7229" w:type="dxa"/>
            <w:tcBorders>
              <w:top w:val="single" w:sz="4" w:space="0" w:color="auto"/>
              <w:left w:val="single" w:sz="4" w:space="0" w:color="auto"/>
              <w:bottom w:val="single" w:sz="4" w:space="0" w:color="auto"/>
              <w:right w:val="single" w:sz="4" w:space="0" w:color="auto"/>
            </w:tcBorders>
            <w:noWrap/>
            <w:vAlign w:val="center"/>
          </w:tcPr>
          <w:p w14:paraId="18110118" w14:textId="48DCF680" w:rsidR="004D20B2" w:rsidRPr="00C35CA8" w:rsidRDefault="004D20B2" w:rsidP="004D20B2">
            <w:pPr>
              <w:jc w:val="left"/>
              <w:rPr>
                <w:sz w:val="18"/>
                <w:szCs w:val="18"/>
              </w:rPr>
            </w:pPr>
            <w:r>
              <w:rPr>
                <w:sz w:val="18"/>
                <w:szCs w:val="18"/>
              </w:rPr>
              <w:t>komanditná spoločnosť</w:t>
            </w:r>
          </w:p>
        </w:tc>
      </w:tr>
      <w:tr w:rsidR="004D20B2" w:rsidRPr="00C35CA8" w14:paraId="01A2AE6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777B630" w14:textId="77777777" w:rsidR="004D20B2" w:rsidRPr="00C35CA8" w:rsidRDefault="004D20B2" w:rsidP="004D20B2">
            <w:pPr>
              <w:jc w:val="left"/>
              <w:rPr>
                <w:sz w:val="18"/>
                <w:szCs w:val="18"/>
              </w:rPr>
            </w:pPr>
            <w:r w:rsidRPr="00C35CA8">
              <w:rPr>
                <w:sz w:val="18"/>
                <w:szCs w:val="18"/>
              </w:rPr>
              <w:t>MEN</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6951DBC" w14:textId="77777777" w:rsidR="004D20B2" w:rsidRPr="00C35CA8" w:rsidRDefault="004D20B2" w:rsidP="004D20B2">
            <w:pPr>
              <w:jc w:val="left"/>
              <w:rPr>
                <w:sz w:val="18"/>
                <w:szCs w:val="18"/>
              </w:rPr>
            </w:pPr>
            <w:r w:rsidRPr="00C35CA8">
              <w:rPr>
                <w:sz w:val="18"/>
                <w:szCs w:val="18"/>
              </w:rPr>
              <w:t>miera evidovanej nezamestnanosti</w:t>
            </w:r>
          </w:p>
        </w:tc>
      </w:tr>
      <w:tr w:rsidR="004D20B2" w:rsidRPr="00C35CA8" w14:paraId="7E0E824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A165592" w14:textId="1EFB26D1" w:rsidR="004D20B2" w:rsidRPr="00C35CA8" w:rsidRDefault="004D20B2" w:rsidP="004D20B2">
            <w:pPr>
              <w:jc w:val="left"/>
              <w:rPr>
                <w:sz w:val="18"/>
                <w:szCs w:val="18"/>
              </w:rPr>
            </w:pPr>
            <w:r w:rsidRPr="00C35CA8">
              <w:rPr>
                <w:sz w:val="18"/>
                <w:szCs w:val="18"/>
              </w:rPr>
              <w:t>MN</w:t>
            </w:r>
          </w:p>
        </w:tc>
        <w:tc>
          <w:tcPr>
            <w:tcW w:w="7229" w:type="dxa"/>
            <w:tcBorders>
              <w:top w:val="single" w:sz="4" w:space="0" w:color="auto"/>
              <w:left w:val="single" w:sz="4" w:space="0" w:color="auto"/>
              <w:bottom w:val="single" w:sz="4" w:space="0" w:color="auto"/>
              <w:right w:val="single" w:sz="4" w:space="0" w:color="auto"/>
            </w:tcBorders>
            <w:noWrap/>
            <w:vAlign w:val="center"/>
          </w:tcPr>
          <w:p w14:paraId="65DD8399" w14:textId="6B333AE5" w:rsidR="004D20B2" w:rsidRPr="00C35CA8" w:rsidRDefault="004D20B2" w:rsidP="004D20B2">
            <w:pPr>
              <w:jc w:val="left"/>
              <w:rPr>
                <w:sz w:val="18"/>
                <w:szCs w:val="18"/>
              </w:rPr>
            </w:pPr>
            <w:r w:rsidRPr="00C35CA8">
              <w:rPr>
                <w:sz w:val="18"/>
                <w:szCs w:val="18"/>
              </w:rPr>
              <w:t>miera nezamestnanosti</w:t>
            </w:r>
          </w:p>
        </w:tc>
      </w:tr>
      <w:tr w:rsidR="004D20B2" w:rsidRPr="00C35CA8" w14:paraId="5B550F4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908AD75" w14:textId="77777777" w:rsidR="004D20B2" w:rsidRPr="00C35CA8" w:rsidRDefault="004D20B2" w:rsidP="004D20B2">
            <w:pPr>
              <w:jc w:val="left"/>
              <w:rPr>
                <w:sz w:val="18"/>
                <w:szCs w:val="18"/>
              </w:rPr>
            </w:pPr>
            <w:r w:rsidRPr="00C35CA8">
              <w:rPr>
                <w:sz w:val="18"/>
                <w:szCs w:val="18"/>
              </w:rPr>
              <w:t>MH 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CF342C3" w14:textId="77777777" w:rsidR="004D20B2" w:rsidRPr="00C35CA8" w:rsidRDefault="004D20B2" w:rsidP="004D20B2">
            <w:pPr>
              <w:jc w:val="left"/>
              <w:rPr>
                <w:sz w:val="18"/>
                <w:szCs w:val="18"/>
              </w:rPr>
            </w:pPr>
            <w:r w:rsidRPr="00C35CA8">
              <w:rPr>
                <w:sz w:val="18"/>
                <w:szCs w:val="18"/>
              </w:rPr>
              <w:t>Ministerstvo hospodárstva SR</w:t>
            </w:r>
          </w:p>
        </w:tc>
      </w:tr>
      <w:tr w:rsidR="004D20B2" w:rsidRPr="00C35CA8" w14:paraId="1F97621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938DC5B" w14:textId="75B3BDEC" w:rsidR="004D20B2" w:rsidRPr="00C35CA8" w:rsidRDefault="004D20B2" w:rsidP="004D20B2">
            <w:pPr>
              <w:jc w:val="left"/>
              <w:rPr>
                <w:sz w:val="18"/>
                <w:szCs w:val="18"/>
              </w:rPr>
            </w:pPr>
            <w:r w:rsidRPr="00C35CA8">
              <w:rPr>
                <w:sz w:val="18"/>
                <w:szCs w:val="18"/>
              </w:rPr>
              <w:t>ministerstvo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56A71AA" w14:textId="77777777" w:rsidR="004D20B2" w:rsidRPr="00C35CA8" w:rsidRDefault="004D20B2" w:rsidP="004D20B2">
            <w:pPr>
              <w:jc w:val="left"/>
              <w:rPr>
                <w:sz w:val="18"/>
                <w:szCs w:val="18"/>
              </w:rPr>
            </w:pPr>
            <w:r w:rsidRPr="00C35CA8">
              <w:rPr>
                <w:sz w:val="18"/>
                <w:szCs w:val="18"/>
              </w:rPr>
              <w:t>Ministerstvo práce, sociálnych vecí a rodiny SR</w:t>
            </w:r>
          </w:p>
        </w:tc>
      </w:tr>
      <w:tr w:rsidR="004D20B2" w:rsidRPr="00C35CA8" w14:paraId="43AAEAA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D9B1CAC" w14:textId="77777777" w:rsidR="004D20B2" w:rsidRPr="00C35CA8" w:rsidRDefault="004D20B2" w:rsidP="004D20B2">
            <w:pPr>
              <w:jc w:val="left"/>
              <w:rPr>
                <w:sz w:val="18"/>
                <w:szCs w:val="18"/>
              </w:rPr>
            </w:pPr>
            <w:r w:rsidRPr="00C35CA8">
              <w:rPr>
                <w:sz w:val="18"/>
                <w:szCs w:val="18"/>
              </w:rPr>
              <w:t>MK 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2A79FD2" w14:textId="77777777" w:rsidR="004D20B2" w:rsidRPr="00C35CA8" w:rsidRDefault="004D20B2" w:rsidP="004D20B2">
            <w:pPr>
              <w:jc w:val="left"/>
              <w:rPr>
                <w:sz w:val="18"/>
                <w:szCs w:val="18"/>
              </w:rPr>
            </w:pPr>
            <w:r w:rsidRPr="00C35CA8">
              <w:rPr>
                <w:sz w:val="18"/>
                <w:szCs w:val="18"/>
              </w:rPr>
              <w:t>Ministerstvo kultúry SR</w:t>
            </w:r>
          </w:p>
        </w:tc>
      </w:tr>
      <w:tr w:rsidR="004D20B2" w:rsidRPr="00C35CA8" w14:paraId="7933CA4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F88DFE" w14:textId="77777777" w:rsidR="004D20B2" w:rsidRPr="00C35CA8" w:rsidRDefault="004D20B2" w:rsidP="004D20B2">
            <w:pPr>
              <w:jc w:val="left"/>
              <w:rPr>
                <w:sz w:val="18"/>
                <w:szCs w:val="18"/>
              </w:rPr>
            </w:pPr>
            <w:r w:rsidRPr="00C35CA8">
              <w:rPr>
                <w:sz w:val="18"/>
                <w:szCs w:val="18"/>
              </w:rPr>
              <w:t>MSP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06BF8C6" w14:textId="77777777" w:rsidR="004D20B2" w:rsidRPr="00C35CA8" w:rsidRDefault="004D20B2" w:rsidP="004D20B2">
            <w:pPr>
              <w:jc w:val="left"/>
              <w:rPr>
                <w:sz w:val="18"/>
                <w:szCs w:val="18"/>
              </w:rPr>
            </w:pPr>
            <w:r w:rsidRPr="00C35CA8">
              <w:rPr>
                <w:sz w:val="18"/>
                <w:szCs w:val="18"/>
              </w:rPr>
              <w:t>malé a stredné podniky</w:t>
            </w:r>
          </w:p>
        </w:tc>
      </w:tr>
      <w:tr w:rsidR="004D20B2" w:rsidRPr="00C35CA8" w14:paraId="622B9AA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2E3D37E" w14:textId="77777777" w:rsidR="004D20B2" w:rsidRPr="00C35CA8" w:rsidRDefault="004D20B2" w:rsidP="004D20B2">
            <w:pPr>
              <w:jc w:val="left"/>
              <w:rPr>
                <w:sz w:val="18"/>
                <w:szCs w:val="18"/>
              </w:rPr>
            </w:pPr>
            <w:r w:rsidRPr="00C35CA8">
              <w:rPr>
                <w:sz w:val="18"/>
                <w:szCs w:val="18"/>
              </w:rPr>
              <w:t>MUoZ</w:t>
            </w:r>
          </w:p>
        </w:tc>
        <w:tc>
          <w:tcPr>
            <w:tcW w:w="7229" w:type="dxa"/>
            <w:tcBorders>
              <w:top w:val="single" w:sz="4" w:space="0" w:color="auto"/>
              <w:left w:val="single" w:sz="4" w:space="0" w:color="auto"/>
              <w:bottom w:val="single" w:sz="4" w:space="0" w:color="auto"/>
              <w:right w:val="single" w:sz="4" w:space="0" w:color="auto"/>
            </w:tcBorders>
            <w:noWrap/>
            <w:vAlign w:val="center"/>
          </w:tcPr>
          <w:p w14:paraId="0935708E" w14:textId="2AF2ECFD" w:rsidR="004D20B2" w:rsidRPr="00C35CA8" w:rsidRDefault="00534004" w:rsidP="004D20B2">
            <w:pPr>
              <w:jc w:val="left"/>
              <w:rPr>
                <w:sz w:val="18"/>
                <w:szCs w:val="18"/>
              </w:rPr>
            </w:pPr>
            <w:r>
              <w:rPr>
                <w:sz w:val="18"/>
                <w:szCs w:val="18"/>
              </w:rPr>
              <w:t>m</w:t>
            </w:r>
            <w:r w:rsidR="004D20B2" w:rsidRPr="00C35CA8">
              <w:rPr>
                <w:sz w:val="18"/>
                <w:szCs w:val="18"/>
              </w:rPr>
              <w:t>ladý uchádzač o zamestnanie (do 29 rokov)</w:t>
            </w:r>
          </w:p>
        </w:tc>
      </w:tr>
      <w:tr w:rsidR="004D20B2" w:rsidRPr="00C35CA8" w14:paraId="4A93768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DD8D2CF" w14:textId="77777777" w:rsidR="004D20B2" w:rsidRPr="00C35CA8" w:rsidRDefault="004D20B2" w:rsidP="004D20B2">
            <w:pPr>
              <w:jc w:val="left"/>
              <w:rPr>
                <w:sz w:val="18"/>
                <w:szCs w:val="18"/>
              </w:rPr>
            </w:pPr>
            <w:r w:rsidRPr="00C35CA8">
              <w:rPr>
                <w:sz w:val="18"/>
                <w:szCs w:val="18"/>
              </w:rPr>
              <w:t>NARMSP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21C1662" w14:textId="77777777" w:rsidR="004D20B2" w:rsidRPr="00C35CA8" w:rsidRDefault="004D20B2" w:rsidP="004D20B2">
            <w:pPr>
              <w:jc w:val="left"/>
              <w:rPr>
                <w:sz w:val="18"/>
                <w:szCs w:val="18"/>
              </w:rPr>
            </w:pPr>
            <w:r w:rsidRPr="00C35CA8">
              <w:rPr>
                <w:sz w:val="18"/>
                <w:szCs w:val="18"/>
              </w:rPr>
              <w:t>Národná agentúra pre rozvoj malého a stredného podnikania</w:t>
            </w:r>
          </w:p>
        </w:tc>
      </w:tr>
      <w:tr w:rsidR="004D20B2" w:rsidRPr="00C35CA8" w14:paraId="11A35AF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28F4" w14:textId="77777777" w:rsidR="004D20B2" w:rsidRPr="00C35CA8" w:rsidRDefault="004D20B2" w:rsidP="004D20B2">
            <w:pPr>
              <w:jc w:val="left"/>
              <w:rPr>
                <w:sz w:val="18"/>
                <w:szCs w:val="18"/>
              </w:rPr>
            </w:pPr>
            <w:r w:rsidRPr="00C35CA8">
              <w:rPr>
                <w:sz w:val="18"/>
                <w:szCs w:val="18"/>
              </w:rPr>
              <w:t>NEET</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DD64F" w14:textId="646DF5A3" w:rsidR="004D20B2" w:rsidRPr="00C35CA8" w:rsidRDefault="004D20B2" w:rsidP="004D20B2">
            <w:pPr>
              <w:jc w:val="left"/>
              <w:rPr>
                <w:sz w:val="18"/>
                <w:szCs w:val="18"/>
              </w:rPr>
            </w:pPr>
            <w:r w:rsidRPr="00C35CA8">
              <w:rPr>
                <w:sz w:val="18"/>
                <w:szCs w:val="18"/>
              </w:rPr>
              <w:t>mladí ľudia, vedení v evidencii UoZ úradov, ktorí nie sú zamestnaní, nepokračujú v procese vzdelávania, ani sa nezúčastňujú  na odbornej príprave (not in employment, education or training)</w:t>
            </w:r>
          </w:p>
        </w:tc>
      </w:tr>
      <w:tr w:rsidR="004D20B2" w:rsidRPr="00C35CA8" w14:paraId="13AA6F60"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2E6378F" w14:textId="77777777" w:rsidR="004D20B2" w:rsidRPr="00C35CA8" w:rsidRDefault="004D20B2" w:rsidP="004D20B2">
            <w:pPr>
              <w:jc w:val="left"/>
              <w:rPr>
                <w:sz w:val="18"/>
                <w:szCs w:val="18"/>
              </w:rPr>
            </w:pPr>
            <w:r w:rsidRPr="00C35CA8">
              <w:rPr>
                <w:sz w:val="18"/>
                <w:szCs w:val="18"/>
              </w:rPr>
              <w:t>NFP</w:t>
            </w:r>
          </w:p>
        </w:tc>
        <w:tc>
          <w:tcPr>
            <w:tcW w:w="7229" w:type="dxa"/>
            <w:tcBorders>
              <w:top w:val="single" w:sz="4" w:space="0" w:color="auto"/>
              <w:left w:val="single" w:sz="4" w:space="0" w:color="auto"/>
              <w:bottom w:val="single" w:sz="4" w:space="0" w:color="auto"/>
              <w:right w:val="single" w:sz="4" w:space="0" w:color="auto"/>
            </w:tcBorders>
            <w:noWrap/>
            <w:vAlign w:val="center"/>
          </w:tcPr>
          <w:p w14:paraId="14EE43C4" w14:textId="77777777" w:rsidR="004D20B2" w:rsidRPr="00C35CA8" w:rsidRDefault="004D20B2" w:rsidP="004D20B2">
            <w:pPr>
              <w:jc w:val="left"/>
              <w:rPr>
                <w:sz w:val="18"/>
                <w:szCs w:val="18"/>
              </w:rPr>
            </w:pPr>
            <w:r w:rsidRPr="00C35CA8">
              <w:rPr>
                <w:sz w:val="18"/>
                <w:szCs w:val="18"/>
              </w:rPr>
              <w:t>nenávratný finančný príspevok</w:t>
            </w:r>
          </w:p>
        </w:tc>
      </w:tr>
      <w:tr w:rsidR="004D20B2" w:rsidRPr="00C35CA8" w14:paraId="18230B6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C7F800F" w14:textId="77777777" w:rsidR="004D20B2" w:rsidRPr="00C35CA8" w:rsidRDefault="004D20B2" w:rsidP="004D20B2">
            <w:pPr>
              <w:jc w:val="left"/>
              <w:rPr>
                <w:sz w:val="18"/>
                <w:szCs w:val="18"/>
              </w:rPr>
            </w:pPr>
            <w:r w:rsidRPr="00C35CA8">
              <w:rPr>
                <w:sz w:val="18"/>
                <w:szCs w:val="18"/>
              </w:rPr>
              <w:t>NKK</w:t>
            </w:r>
          </w:p>
        </w:tc>
        <w:tc>
          <w:tcPr>
            <w:tcW w:w="7229" w:type="dxa"/>
            <w:tcBorders>
              <w:top w:val="single" w:sz="4" w:space="0" w:color="auto"/>
              <w:left w:val="single" w:sz="4" w:space="0" w:color="auto"/>
              <w:bottom w:val="single" w:sz="4" w:space="0" w:color="auto"/>
              <w:right w:val="single" w:sz="4" w:space="0" w:color="auto"/>
            </w:tcBorders>
            <w:noWrap/>
            <w:vAlign w:val="center"/>
          </w:tcPr>
          <w:p w14:paraId="12606C2F" w14:textId="77777777" w:rsidR="004D20B2" w:rsidRPr="00C35CA8" w:rsidRDefault="004D20B2" w:rsidP="004D20B2">
            <w:pPr>
              <w:jc w:val="left"/>
              <w:rPr>
                <w:sz w:val="18"/>
                <w:szCs w:val="18"/>
              </w:rPr>
            </w:pPr>
            <w:r w:rsidRPr="00C35CA8">
              <w:rPr>
                <w:sz w:val="18"/>
                <w:szCs w:val="18"/>
              </w:rPr>
              <w:t>národná koordinačná kancelária</w:t>
            </w:r>
          </w:p>
        </w:tc>
      </w:tr>
      <w:tr w:rsidR="004D20B2" w:rsidRPr="00C35CA8" w14:paraId="26E3C5F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37987CD" w14:textId="77777777" w:rsidR="004D20B2" w:rsidRPr="00C35CA8" w:rsidRDefault="004D20B2" w:rsidP="004D20B2">
            <w:pPr>
              <w:jc w:val="left"/>
              <w:rPr>
                <w:sz w:val="18"/>
                <w:szCs w:val="18"/>
              </w:rPr>
            </w:pPr>
            <w:r w:rsidRPr="00C35CA8">
              <w:rPr>
                <w:sz w:val="18"/>
                <w:szCs w:val="18"/>
              </w:rPr>
              <w:t>NP</w:t>
            </w:r>
          </w:p>
        </w:tc>
        <w:tc>
          <w:tcPr>
            <w:tcW w:w="7229" w:type="dxa"/>
            <w:tcBorders>
              <w:top w:val="single" w:sz="4" w:space="0" w:color="auto"/>
              <w:left w:val="single" w:sz="4" w:space="0" w:color="auto"/>
              <w:bottom w:val="single" w:sz="4" w:space="0" w:color="auto"/>
              <w:right w:val="single" w:sz="4" w:space="0" w:color="auto"/>
            </w:tcBorders>
            <w:noWrap/>
            <w:vAlign w:val="center"/>
          </w:tcPr>
          <w:p w14:paraId="385B6FFB" w14:textId="77777777" w:rsidR="004D20B2" w:rsidRPr="00C35CA8" w:rsidRDefault="004D20B2" w:rsidP="004D20B2">
            <w:pPr>
              <w:jc w:val="left"/>
              <w:rPr>
                <w:sz w:val="18"/>
                <w:szCs w:val="18"/>
              </w:rPr>
            </w:pPr>
            <w:r w:rsidRPr="00C35CA8">
              <w:rPr>
                <w:sz w:val="18"/>
                <w:szCs w:val="18"/>
              </w:rPr>
              <w:t>národný projekt</w:t>
            </w:r>
          </w:p>
        </w:tc>
      </w:tr>
      <w:tr w:rsidR="004D20B2" w:rsidRPr="00C35CA8" w14:paraId="274DF2C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B2EE0D7" w14:textId="77777777" w:rsidR="004D20B2" w:rsidRPr="00C35CA8" w:rsidRDefault="004D20B2" w:rsidP="004D20B2">
            <w:pPr>
              <w:jc w:val="left"/>
              <w:rPr>
                <w:sz w:val="18"/>
                <w:szCs w:val="18"/>
              </w:rPr>
            </w:pPr>
            <w:r w:rsidRPr="00C35CA8">
              <w:rPr>
                <w:sz w:val="18"/>
                <w:szCs w:val="18"/>
              </w:rPr>
              <w:t>OECD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074437E" w14:textId="77777777" w:rsidR="004D20B2" w:rsidRPr="00C35CA8" w:rsidRDefault="004D20B2" w:rsidP="004D20B2">
            <w:pPr>
              <w:jc w:val="left"/>
              <w:rPr>
                <w:sz w:val="18"/>
                <w:szCs w:val="18"/>
              </w:rPr>
            </w:pPr>
            <w:r w:rsidRPr="00C35CA8">
              <w:rPr>
                <w:sz w:val="18"/>
                <w:szCs w:val="18"/>
              </w:rPr>
              <w:t>Organizácia pre ekonomickú spoluprácu a rozvoj</w:t>
            </w:r>
          </w:p>
        </w:tc>
      </w:tr>
      <w:tr w:rsidR="004D20B2" w:rsidRPr="00C35CA8" w14:paraId="52F41A7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46739AB" w14:textId="77777777" w:rsidR="004D20B2" w:rsidRPr="00C35CA8" w:rsidRDefault="004D20B2" w:rsidP="004D20B2">
            <w:pPr>
              <w:jc w:val="left"/>
              <w:rPr>
                <w:sz w:val="18"/>
                <w:szCs w:val="18"/>
              </w:rPr>
            </w:pPr>
            <w:r w:rsidRPr="00C35CA8">
              <w:rPr>
                <w:sz w:val="18"/>
                <w:szCs w:val="18"/>
              </w:rPr>
              <w:t>OP ĽZ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71C479D" w14:textId="1EB8D6AB" w:rsidR="004D20B2" w:rsidRPr="00C35CA8" w:rsidRDefault="004D20B2" w:rsidP="004D20B2">
            <w:pPr>
              <w:ind w:firstLine="0"/>
              <w:jc w:val="left"/>
              <w:rPr>
                <w:sz w:val="18"/>
                <w:szCs w:val="18"/>
              </w:rPr>
            </w:pPr>
            <w:r w:rsidRPr="00C35CA8">
              <w:rPr>
                <w:sz w:val="18"/>
                <w:szCs w:val="18"/>
              </w:rPr>
              <w:t>operačný program Ľudské zdroje</w:t>
            </w:r>
          </w:p>
        </w:tc>
      </w:tr>
      <w:tr w:rsidR="004D20B2" w:rsidRPr="00C35CA8" w14:paraId="63B0680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9A9200C" w14:textId="77777777" w:rsidR="004D20B2" w:rsidRPr="00C35CA8" w:rsidRDefault="004D20B2" w:rsidP="004D20B2">
            <w:pPr>
              <w:jc w:val="left"/>
              <w:rPr>
                <w:sz w:val="18"/>
                <w:szCs w:val="18"/>
              </w:rPr>
            </w:pPr>
            <w:r w:rsidRPr="00C35CA8">
              <w:rPr>
                <w:sz w:val="18"/>
                <w:szCs w:val="18"/>
              </w:rPr>
              <w:t>OPS</w:t>
            </w:r>
          </w:p>
        </w:tc>
        <w:tc>
          <w:tcPr>
            <w:tcW w:w="7229" w:type="dxa"/>
            <w:tcBorders>
              <w:top w:val="single" w:sz="4" w:space="0" w:color="auto"/>
              <w:left w:val="single" w:sz="4" w:space="0" w:color="auto"/>
              <w:bottom w:val="single" w:sz="4" w:space="0" w:color="auto"/>
              <w:right w:val="single" w:sz="4" w:space="0" w:color="auto"/>
            </w:tcBorders>
            <w:noWrap/>
            <w:vAlign w:val="center"/>
          </w:tcPr>
          <w:p w14:paraId="683F691D" w14:textId="77777777" w:rsidR="004D20B2" w:rsidRPr="00C35CA8" w:rsidRDefault="004D20B2" w:rsidP="004D20B2">
            <w:pPr>
              <w:jc w:val="left"/>
              <w:rPr>
                <w:sz w:val="18"/>
                <w:szCs w:val="18"/>
              </w:rPr>
            </w:pPr>
            <w:r w:rsidRPr="00C35CA8">
              <w:rPr>
                <w:sz w:val="18"/>
                <w:szCs w:val="18"/>
              </w:rPr>
              <w:t>odborné poradenské služby</w:t>
            </w:r>
          </w:p>
        </w:tc>
      </w:tr>
      <w:tr w:rsidR="004D20B2" w:rsidRPr="00C35CA8" w14:paraId="6D2F7D7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192F2D7" w14:textId="77777777" w:rsidR="004D20B2" w:rsidRPr="00C35CA8" w:rsidRDefault="004D20B2" w:rsidP="004D20B2">
            <w:pPr>
              <w:jc w:val="left"/>
              <w:rPr>
                <w:sz w:val="18"/>
                <w:szCs w:val="18"/>
              </w:rPr>
            </w:pPr>
            <w:r w:rsidRPr="00C35CA8">
              <w:rPr>
                <w:sz w:val="18"/>
                <w:szCs w:val="18"/>
              </w:rPr>
              <w:t>RO pre OP ĽZ</w:t>
            </w:r>
          </w:p>
        </w:tc>
        <w:tc>
          <w:tcPr>
            <w:tcW w:w="7229" w:type="dxa"/>
            <w:tcBorders>
              <w:top w:val="single" w:sz="4" w:space="0" w:color="auto"/>
              <w:left w:val="single" w:sz="4" w:space="0" w:color="auto"/>
              <w:bottom w:val="single" w:sz="4" w:space="0" w:color="auto"/>
              <w:right w:val="single" w:sz="4" w:space="0" w:color="auto"/>
            </w:tcBorders>
            <w:noWrap/>
            <w:vAlign w:val="center"/>
          </w:tcPr>
          <w:p w14:paraId="7D7ADAF9" w14:textId="77777777" w:rsidR="004D20B2" w:rsidRPr="00C35CA8" w:rsidRDefault="004D20B2" w:rsidP="004D20B2">
            <w:pPr>
              <w:jc w:val="left"/>
              <w:rPr>
                <w:sz w:val="18"/>
                <w:szCs w:val="18"/>
              </w:rPr>
            </w:pPr>
            <w:r w:rsidRPr="00C35CA8">
              <w:rPr>
                <w:sz w:val="18"/>
                <w:szCs w:val="18"/>
              </w:rPr>
              <w:t>riadiaci orgán pre OP ĽZ - M SR</w:t>
            </w:r>
          </w:p>
        </w:tc>
      </w:tr>
      <w:tr w:rsidR="004D20B2" w:rsidRPr="00C35CA8" w14:paraId="2646C5F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1EE1387" w14:textId="77777777" w:rsidR="004D20B2" w:rsidRPr="00C35CA8" w:rsidRDefault="004D20B2" w:rsidP="004D20B2">
            <w:pPr>
              <w:jc w:val="left"/>
              <w:rPr>
                <w:sz w:val="18"/>
                <w:szCs w:val="18"/>
              </w:rPr>
            </w:pPr>
            <w:r w:rsidRPr="00C35CA8">
              <w:rPr>
                <w:sz w:val="18"/>
                <w:szCs w:val="18"/>
              </w:rPr>
              <w:t>OZP</w:t>
            </w:r>
          </w:p>
        </w:tc>
        <w:tc>
          <w:tcPr>
            <w:tcW w:w="7229" w:type="dxa"/>
            <w:tcBorders>
              <w:top w:val="single" w:sz="4" w:space="0" w:color="auto"/>
              <w:left w:val="single" w:sz="4" w:space="0" w:color="auto"/>
              <w:bottom w:val="single" w:sz="4" w:space="0" w:color="auto"/>
              <w:right w:val="single" w:sz="4" w:space="0" w:color="auto"/>
            </w:tcBorders>
            <w:noWrap/>
            <w:vAlign w:val="center"/>
          </w:tcPr>
          <w:p w14:paraId="35700A45" w14:textId="77777777" w:rsidR="004D20B2" w:rsidRPr="00C35CA8" w:rsidRDefault="004D20B2" w:rsidP="004D20B2">
            <w:pPr>
              <w:jc w:val="left"/>
              <w:rPr>
                <w:sz w:val="18"/>
                <w:szCs w:val="18"/>
              </w:rPr>
            </w:pPr>
            <w:r w:rsidRPr="00C35CA8">
              <w:rPr>
                <w:sz w:val="18"/>
                <w:szCs w:val="18"/>
              </w:rPr>
              <w:t>občan so zdravotným postihnutím</w:t>
            </w:r>
          </w:p>
        </w:tc>
      </w:tr>
      <w:tr w:rsidR="004D20B2" w:rsidRPr="00C35CA8" w14:paraId="61C45B5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067DD2B" w14:textId="6DBB1F91" w:rsidR="004D20B2" w:rsidRPr="00C35CA8" w:rsidRDefault="004D20B2" w:rsidP="004D20B2">
            <w:pPr>
              <w:jc w:val="left"/>
              <w:rPr>
                <w:sz w:val="18"/>
                <w:szCs w:val="18"/>
              </w:rPr>
            </w:pPr>
            <w:r w:rsidRPr="00C35CA8">
              <w:rPr>
                <w:sz w:val="18"/>
                <w:szCs w:val="18"/>
              </w:rPr>
              <w:t>OZPSPTP</w:t>
            </w:r>
          </w:p>
        </w:tc>
        <w:tc>
          <w:tcPr>
            <w:tcW w:w="7229" w:type="dxa"/>
            <w:tcBorders>
              <w:top w:val="single" w:sz="4" w:space="0" w:color="auto"/>
              <w:left w:val="single" w:sz="4" w:space="0" w:color="auto"/>
              <w:bottom w:val="single" w:sz="4" w:space="0" w:color="auto"/>
              <w:right w:val="single" w:sz="4" w:space="0" w:color="auto"/>
            </w:tcBorders>
            <w:noWrap/>
            <w:vAlign w:val="center"/>
          </w:tcPr>
          <w:p w14:paraId="1B9C99C8" w14:textId="08438109" w:rsidR="004D20B2" w:rsidRPr="00C35CA8" w:rsidRDefault="004D20B2" w:rsidP="004D20B2">
            <w:pPr>
              <w:jc w:val="left"/>
              <w:rPr>
                <w:sz w:val="18"/>
                <w:szCs w:val="18"/>
              </w:rPr>
            </w:pPr>
            <w:r w:rsidRPr="00C35CA8">
              <w:rPr>
                <w:sz w:val="18"/>
                <w:szCs w:val="18"/>
              </w:rPr>
              <w:t>občan so zdravotným postihnutím so sťaženým prístupom na trh práce</w:t>
            </w:r>
          </w:p>
        </w:tc>
      </w:tr>
      <w:tr w:rsidR="004D20B2" w:rsidRPr="00C35CA8" w14:paraId="64FA670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4249655" w14:textId="77777777" w:rsidR="004D20B2" w:rsidRPr="00C35CA8" w:rsidRDefault="004D20B2" w:rsidP="004D20B2">
            <w:pPr>
              <w:jc w:val="left"/>
              <w:rPr>
                <w:sz w:val="18"/>
                <w:szCs w:val="18"/>
              </w:rPr>
            </w:pPr>
            <w:r w:rsidRPr="00C35CA8">
              <w:rPr>
                <w:sz w:val="18"/>
                <w:szCs w:val="18"/>
              </w:rPr>
              <w:lastRenderedPageBreak/>
              <w:t>p. b.</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AA7DDF3" w14:textId="77777777" w:rsidR="004D20B2" w:rsidRPr="00C35CA8" w:rsidRDefault="004D20B2" w:rsidP="004D20B2">
            <w:pPr>
              <w:jc w:val="left"/>
              <w:rPr>
                <w:sz w:val="18"/>
                <w:szCs w:val="18"/>
              </w:rPr>
            </w:pPr>
            <w:r w:rsidRPr="00C35CA8">
              <w:rPr>
                <w:sz w:val="18"/>
                <w:szCs w:val="18"/>
              </w:rPr>
              <w:t>percentuálny bod</w:t>
            </w:r>
          </w:p>
        </w:tc>
      </w:tr>
      <w:tr w:rsidR="004D20B2" w:rsidRPr="00C35CA8" w14:paraId="399C464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5504B44" w14:textId="77777777" w:rsidR="004D20B2" w:rsidRPr="00C35CA8" w:rsidRDefault="004D20B2" w:rsidP="004D20B2">
            <w:pPr>
              <w:jc w:val="left"/>
              <w:rPr>
                <w:sz w:val="18"/>
                <w:szCs w:val="18"/>
              </w:rPr>
            </w:pPr>
            <w:r w:rsidRPr="00C35CA8">
              <w:rPr>
                <w:sz w:val="18"/>
                <w:szCs w:val="18"/>
              </w:rPr>
              <w:t>PN</w:t>
            </w:r>
          </w:p>
        </w:tc>
        <w:tc>
          <w:tcPr>
            <w:tcW w:w="7229" w:type="dxa"/>
            <w:tcBorders>
              <w:top w:val="single" w:sz="4" w:space="0" w:color="auto"/>
              <w:left w:val="single" w:sz="4" w:space="0" w:color="auto"/>
              <w:bottom w:val="single" w:sz="4" w:space="0" w:color="auto"/>
              <w:right w:val="single" w:sz="4" w:space="0" w:color="auto"/>
            </w:tcBorders>
            <w:noWrap/>
            <w:vAlign w:val="center"/>
          </w:tcPr>
          <w:p w14:paraId="24645EF9" w14:textId="77777777" w:rsidR="004D20B2" w:rsidRPr="00C35CA8" w:rsidRDefault="004D20B2" w:rsidP="004D20B2">
            <w:pPr>
              <w:jc w:val="left"/>
              <w:rPr>
                <w:sz w:val="18"/>
                <w:szCs w:val="18"/>
              </w:rPr>
            </w:pPr>
            <w:r w:rsidRPr="00C35CA8">
              <w:rPr>
                <w:sz w:val="18"/>
                <w:szCs w:val="18"/>
              </w:rPr>
              <w:t>práceneschopnosť</w:t>
            </w:r>
          </w:p>
        </w:tc>
      </w:tr>
      <w:tr w:rsidR="004D20B2" w:rsidRPr="00C35CA8" w14:paraId="19A831E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B40169D" w14:textId="77777777" w:rsidR="004D20B2" w:rsidRPr="00C35CA8" w:rsidRDefault="004D20B2" w:rsidP="004D20B2">
            <w:pPr>
              <w:jc w:val="left"/>
              <w:rPr>
                <w:sz w:val="18"/>
                <w:szCs w:val="18"/>
              </w:rPr>
            </w:pPr>
            <w:r w:rsidRPr="00C35CA8">
              <w:rPr>
                <w:sz w:val="18"/>
                <w:szCs w:val="18"/>
              </w:rPr>
              <w:t>PM</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4B04733" w14:textId="77777777" w:rsidR="004D20B2" w:rsidRPr="00C35CA8" w:rsidRDefault="004D20B2" w:rsidP="004D20B2">
            <w:pPr>
              <w:jc w:val="left"/>
              <w:rPr>
                <w:sz w:val="18"/>
                <w:szCs w:val="18"/>
              </w:rPr>
            </w:pPr>
            <w:r w:rsidRPr="00C35CA8">
              <w:rPr>
                <w:sz w:val="18"/>
                <w:szCs w:val="18"/>
              </w:rPr>
              <w:t>pracovné miesto</w:t>
            </w:r>
          </w:p>
        </w:tc>
      </w:tr>
      <w:tr w:rsidR="004D20B2" w:rsidRPr="00C35CA8" w14:paraId="27F40AF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48FB54C" w14:textId="77777777" w:rsidR="004D20B2" w:rsidRPr="00C35CA8" w:rsidRDefault="004D20B2" w:rsidP="004D20B2">
            <w:pPr>
              <w:jc w:val="left"/>
              <w:rPr>
                <w:sz w:val="18"/>
                <w:szCs w:val="18"/>
              </w:rPr>
            </w:pPr>
            <w:r w:rsidRPr="00C35CA8">
              <w:rPr>
                <w:sz w:val="18"/>
                <w:szCs w:val="18"/>
              </w:rPr>
              <w:t>PO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82B15E6" w14:textId="77777777" w:rsidR="004D20B2" w:rsidRPr="00C35CA8" w:rsidRDefault="004D20B2" w:rsidP="004D20B2">
            <w:pPr>
              <w:jc w:val="left"/>
              <w:rPr>
                <w:sz w:val="18"/>
                <w:szCs w:val="18"/>
              </w:rPr>
            </w:pPr>
            <w:r w:rsidRPr="00C35CA8">
              <w:rPr>
                <w:sz w:val="18"/>
                <w:szCs w:val="18"/>
              </w:rPr>
              <w:t>právnická osoba</w:t>
            </w:r>
          </w:p>
        </w:tc>
      </w:tr>
      <w:tr w:rsidR="004D20B2" w:rsidRPr="00C35CA8" w14:paraId="609C0BF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855B405" w14:textId="5748CDA3" w:rsidR="004D20B2" w:rsidRPr="00C35CA8" w:rsidRDefault="004D20B2" w:rsidP="004D20B2">
            <w:pPr>
              <w:jc w:val="left"/>
              <w:rPr>
                <w:sz w:val="18"/>
                <w:szCs w:val="18"/>
              </w:rPr>
            </w:pPr>
            <w:r w:rsidRPr="00C35CA8">
              <w:rPr>
                <w:sz w:val="18"/>
                <w:szCs w:val="18"/>
              </w:rPr>
              <w:t>PS</w:t>
            </w:r>
          </w:p>
        </w:tc>
        <w:tc>
          <w:tcPr>
            <w:tcW w:w="7229" w:type="dxa"/>
            <w:tcBorders>
              <w:top w:val="single" w:sz="4" w:space="0" w:color="auto"/>
              <w:left w:val="single" w:sz="4" w:space="0" w:color="auto"/>
              <w:bottom w:val="single" w:sz="4" w:space="0" w:color="auto"/>
              <w:right w:val="single" w:sz="4" w:space="0" w:color="auto"/>
            </w:tcBorders>
            <w:noWrap/>
            <w:vAlign w:val="center"/>
          </w:tcPr>
          <w:p w14:paraId="6AE7FB2E" w14:textId="3E5FC328" w:rsidR="004D20B2" w:rsidRPr="00C35CA8" w:rsidRDefault="004D20B2" w:rsidP="004D20B2">
            <w:pPr>
              <w:jc w:val="left"/>
              <w:rPr>
                <w:sz w:val="18"/>
                <w:szCs w:val="18"/>
              </w:rPr>
            </w:pPr>
            <w:r w:rsidRPr="00C35CA8">
              <w:rPr>
                <w:sz w:val="18"/>
                <w:szCs w:val="18"/>
              </w:rPr>
              <w:t>Program Slovensko 2021 - 2027</w:t>
            </w:r>
          </w:p>
        </w:tc>
      </w:tr>
      <w:tr w:rsidR="004D20B2" w:rsidRPr="00C35CA8" w14:paraId="47B2F30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19B3C0F" w14:textId="454BFB2C" w:rsidR="004D20B2" w:rsidRPr="00C35CA8" w:rsidRDefault="004D20B2" w:rsidP="004D20B2">
            <w:pPr>
              <w:jc w:val="left"/>
              <w:rPr>
                <w:sz w:val="18"/>
                <w:szCs w:val="18"/>
              </w:rPr>
            </w:pPr>
            <w:r w:rsidRPr="00C35CA8">
              <w:rPr>
                <w:sz w:val="18"/>
                <w:szCs w:val="18"/>
              </w:rPr>
              <w:t>PPDUoZOPV</w:t>
            </w:r>
          </w:p>
        </w:tc>
        <w:tc>
          <w:tcPr>
            <w:tcW w:w="7229" w:type="dxa"/>
            <w:tcBorders>
              <w:top w:val="single" w:sz="4" w:space="0" w:color="auto"/>
              <w:left w:val="single" w:sz="4" w:space="0" w:color="auto"/>
              <w:bottom w:val="single" w:sz="4" w:space="0" w:color="auto"/>
              <w:right w:val="single" w:sz="4" w:space="0" w:color="auto"/>
            </w:tcBorders>
            <w:noWrap/>
            <w:vAlign w:val="center"/>
          </w:tcPr>
          <w:p w14:paraId="3B5BB170" w14:textId="599E8B35" w:rsidR="004D20B2" w:rsidRPr="00C35CA8" w:rsidRDefault="004D20B2" w:rsidP="004D20B2">
            <w:pPr>
              <w:jc w:val="left"/>
              <w:rPr>
                <w:sz w:val="18"/>
                <w:szCs w:val="18"/>
              </w:rPr>
            </w:pPr>
            <w:r w:rsidRPr="00C35CA8">
              <w:rPr>
                <w:sz w:val="18"/>
                <w:szCs w:val="18"/>
              </w:rPr>
              <w:t>priemerný podiel disponibilných UoZ na obyvateľstve v produktívnom veku</w:t>
            </w:r>
          </w:p>
        </w:tc>
      </w:tr>
      <w:tr w:rsidR="004D20B2" w:rsidRPr="00C35CA8" w14:paraId="1B53A39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D841776" w14:textId="77777777" w:rsidR="004D20B2" w:rsidRPr="00C35CA8" w:rsidRDefault="004D20B2" w:rsidP="004D20B2">
            <w:pPr>
              <w:jc w:val="left"/>
              <w:rPr>
                <w:sz w:val="18"/>
                <w:szCs w:val="18"/>
              </w:rPr>
            </w:pPr>
            <w:r w:rsidRPr="00C35CA8">
              <w:rPr>
                <w:sz w:val="18"/>
                <w:szCs w:val="18"/>
              </w:rPr>
              <w:t>projekt PZSŽ</w:t>
            </w:r>
          </w:p>
        </w:tc>
        <w:tc>
          <w:tcPr>
            <w:tcW w:w="7229" w:type="dxa"/>
            <w:tcBorders>
              <w:top w:val="single" w:sz="4" w:space="0" w:color="auto"/>
              <w:left w:val="single" w:sz="4" w:space="0" w:color="auto"/>
              <w:bottom w:val="single" w:sz="4" w:space="0" w:color="auto"/>
              <w:right w:val="single" w:sz="4" w:space="0" w:color="auto"/>
            </w:tcBorders>
            <w:noWrap/>
            <w:vAlign w:val="center"/>
          </w:tcPr>
          <w:p w14:paraId="2F84F910" w14:textId="77777777" w:rsidR="004D20B2" w:rsidRPr="00C35CA8" w:rsidRDefault="004D20B2" w:rsidP="004D20B2">
            <w:pPr>
              <w:jc w:val="left"/>
              <w:rPr>
                <w:sz w:val="18"/>
                <w:szCs w:val="18"/>
              </w:rPr>
            </w:pPr>
            <w:r w:rsidRPr="00C35CA8">
              <w:rPr>
                <w:sz w:val="18"/>
                <w:szCs w:val="18"/>
              </w:rPr>
              <w:t>projekt „Pracuj, zmeň svoj život“</w:t>
            </w:r>
          </w:p>
        </w:tc>
      </w:tr>
      <w:tr w:rsidR="004D20B2" w:rsidRPr="00C35CA8" w14:paraId="0D9FCCB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2B6D9D3" w14:textId="77777777" w:rsidR="004D20B2" w:rsidRPr="00C35CA8" w:rsidRDefault="004D20B2" w:rsidP="004D20B2">
            <w:pPr>
              <w:jc w:val="left"/>
              <w:rPr>
                <w:sz w:val="18"/>
                <w:szCs w:val="18"/>
              </w:rPr>
            </w:pPr>
            <w:r w:rsidRPr="00C35CA8">
              <w:rPr>
                <w:sz w:val="18"/>
                <w:szCs w:val="18"/>
              </w:rPr>
              <w:t>SHR</w:t>
            </w:r>
          </w:p>
        </w:tc>
        <w:tc>
          <w:tcPr>
            <w:tcW w:w="7229" w:type="dxa"/>
            <w:tcBorders>
              <w:top w:val="single" w:sz="4" w:space="0" w:color="auto"/>
              <w:left w:val="single" w:sz="4" w:space="0" w:color="auto"/>
              <w:bottom w:val="single" w:sz="4" w:space="0" w:color="auto"/>
              <w:right w:val="single" w:sz="4" w:space="0" w:color="auto"/>
            </w:tcBorders>
            <w:noWrap/>
            <w:vAlign w:val="center"/>
          </w:tcPr>
          <w:p w14:paraId="6BCF5FEC" w14:textId="77777777" w:rsidR="004D20B2" w:rsidRPr="00C35CA8" w:rsidRDefault="004D20B2" w:rsidP="004D20B2">
            <w:pPr>
              <w:jc w:val="left"/>
              <w:rPr>
                <w:sz w:val="18"/>
                <w:szCs w:val="18"/>
              </w:rPr>
            </w:pPr>
            <w:r w:rsidRPr="00C35CA8">
              <w:rPr>
                <w:sz w:val="18"/>
                <w:szCs w:val="18"/>
              </w:rPr>
              <w:t>súkromne hospodáriaci roľník</w:t>
            </w:r>
          </w:p>
        </w:tc>
      </w:tr>
      <w:tr w:rsidR="004D20B2" w:rsidRPr="00C35CA8" w14:paraId="1BA1F36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67D0BDA" w14:textId="77777777" w:rsidR="004D20B2" w:rsidRPr="00C35CA8" w:rsidRDefault="004D20B2" w:rsidP="004D20B2">
            <w:pPr>
              <w:jc w:val="left"/>
              <w:rPr>
                <w:sz w:val="18"/>
                <w:szCs w:val="18"/>
              </w:rPr>
            </w:pPr>
            <w:r w:rsidRPr="00C35CA8">
              <w:rPr>
                <w:sz w:val="18"/>
                <w:szCs w:val="18"/>
              </w:rPr>
              <w:t>SK NACE rev 2.</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63C8AB4" w14:textId="77777777" w:rsidR="004D20B2" w:rsidRPr="00C35CA8" w:rsidRDefault="004D20B2" w:rsidP="004D20B2">
            <w:pPr>
              <w:jc w:val="left"/>
              <w:rPr>
                <w:sz w:val="18"/>
                <w:szCs w:val="18"/>
              </w:rPr>
            </w:pPr>
            <w:r w:rsidRPr="00C35CA8">
              <w:rPr>
                <w:sz w:val="18"/>
                <w:szCs w:val="18"/>
              </w:rPr>
              <w:t>štatistická klasifikácia ekonomických činností</w:t>
            </w:r>
          </w:p>
        </w:tc>
      </w:tr>
      <w:tr w:rsidR="004D20B2" w:rsidRPr="00C35CA8" w14:paraId="7C6698E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2F04AD36" w14:textId="77777777" w:rsidR="004D20B2" w:rsidRPr="00C35CA8" w:rsidRDefault="004D20B2" w:rsidP="004D20B2">
            <w:pPr>
              <w:jc w:val="left"/>
              <w:rPr>
                <w:sz w:val="18"/>
                <w:szCs w:val="18"/>
              </w:rPr>
            </w:pPr>
            <w:r w:rsidRPr="00C35CA8">
              <w:rPr>
                <w:sz w:val="18"/>
                <w:szCs w:val="18"/>
              </w:rPr>
              <w:t>SOŠ</w:t>
            </w:r>
          </w:p>
        </w:tc>
        <w:tc>
          <w:tcPr>
            <w:tcW w:w="7229" w:type="dxa"/>
            <w:tcBorders>
              <w:top w:val="single" w:sz="4" w:space="0" w:color="auto"/>
              <w:left w:val="single" w:sz="4" w:space="0" w:color="auto"/>
              <w:bottom w:val="single" w:sz="4" w:space="0" w:color="auto"/>
              <w:right w:val="single" w:sz="4" w:space="0" w:color="auto"/>
            </w:tcBorders>
            <w:noWrap/>
            <w:vAlign w:val="center"/>
          </w:tcPr>
          <w:p w14:paraId="6175B9D2" w14:textId="77777777" w:rsidR="004D20B2" w:rsidRPr="00C35CA8" w:rsidRDefault="004D20B2" w:rsidP="004D20B2">
            <w:pPr>
              <w:jc w:val="left"/>
              <w:rPr>
                <w:sz w:val="18"/>
                <w:szCs w:val="18"/>
              </w:rPr>
            </w:pPr>
            <w:r w:rsidRPr="00C35CA8">
              <w:rPr>
                <w:sz w:val="18"/>
                <w:szCs w:val="18"/>
              </w:rPr>
              <w:t>stredná odborná škola</w:t>
            </w:r>
          </w:p>
        </w:tc>
      </w:tr>
      <w:tr w:rsidR="004D20B2" w:rsidRPr="00C35CA8" w14:paraId="579BC72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7041004" w14:textId="77777777" w:rsidR="004D20B2" w:rsidRPr="00C35CA8" w:rsidRDefault="004D20B2" w:rsidP="004D20B2">
            <w:pPr>
              <w:jc w:val="left"/>
              <w:rPr>
                <w:sz w:val="18"/>
                <w:szCs w:val="18"/>
              </w:rPr>
            </w:pPr>
            <w:r w:rsidRPr="00C35CA8">
              <w:rPr>
                <w:sz w:val="18"/>
                <w:szCs w:val="18"/>
              </w:rPr>
              <w:t>SP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1E70AF2" w14:textId="77777777" w:rsidR="004D20B2" w:rsidRPr="00C35CA8" w:rsidRDefault="004D20B2" w:rsidP="004D20B2">
            <w:pPr>
              <w:jc w:val="left"/>
              <w:rPr>
                <w:sz w:val="18"/>
                <w:szCs w:val="18"/>
              </w:rPr>
            </w:pPr>
            <w:r w:rsidRPr="00C35CA8">
              <w:rPr>
                <w:sz w:val="18"/>
                <w:szCs w:val="18"/>
              </w:rPr>
              <w:t>sociálny podnik</w:t>
            </w:r>
          </w:p>
        </w:tc>
      </w:tr>
      <w:tr w:rsidR="004D20B2" w:rsidRPr="00C35CA8" w14:paraId="189CC67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34B3FC" w14:textId="77777777" w:rsidR="004D20B2" w:rsidRPr="00C35CA8" w:rsidRDefault="004D20B2" w:rsidP="004D20B2">
            <w:pPr>
              <w:jc w:val="left"/>
              <w:rPr>
                <w:sz w:val="18"/>
                <w:szCs w:val="18"/>
              </w:rPr>
            </w:pPr>
            <w:r w:rsidRPr="00C35CA8">
              <w:rPr>
                <w:sz w:val="18"/>
                <w:szCs w:val="18"/>
              </w:rPr>
              <w:t>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6E98B96" w14:textId="77777777" w:rsidR="004D20B2" w:rsidRPr="00C35CA8" w:rsidRDefault="004D20B2" w:rsidP="004D20B2">
            <w:pPr>
              <w:jc w:val="left"/>
              <w:rPr>
                <w:sz w:val="18"/>
                <w:szCs w:val="18"/>
              </w:rPr>
            </w:pPr>
            <w:r w:rsidRPr="00C35CA8">
              <w:rPr>
                <w:sz w:val="18"/>
                <w:szCs w:val="18"/>
              </w:rPr>
              <w:t>Slovenská republika</w:t>
            </w:r>
          </w:p>
        </w:tc>
      </w:tr>
      <w:tr w:rsidR="004D20B2" w:rsidRPr="00C35CA8" w14:paraId="4A20E16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175CBCB" w14:textId="1CC94A41" w:rsidR="004D20B2" w:rsidRPr="00C35CA8" w:rsidRDefault="004D20B2" w:rsidP="004D20B2">
            <w:pPr>
              <w:jc w:val="left"/>
              <w:rPr>
                <w:sz w:val="18"/>
                <w:szCs w:val="18"/>
              </w:rPr>
            </w:pPr>
            <w:r w:rsidRPr="00C35CA8">
              <w:rPr>
                <w:sz w:val="18"/>
                <w:szCs w:val="18"/>
              </w:rPr>
              <w:t>s</w:t>
            </w:r>
            <w:r>
              <w:rPr>
                <w:sz w:val="18"/>
                <w:szCs w:val="18"/>
              </w:rPr>
              <w:t>.</w:t>
            </w:r>
            <w:r w:rsidRPr="00C35CA8">
              <w:rPr>
                <w:sz w:val="18"/>
                <w:szCs w:val="18"/>
              </w:rPr>
              <w:t> r.</w:t>
            </w:r>
            <w:r>
              <w:rPr>
                <w:sz w:val="18"/>
                <w:szCs w:val="18"/>
              </w:rPr>
              <w:t xml:space="preserve"> </w:t>
            </w:r>
            <w:r w:rsidRPr="00C35CA8">
              <w:rPr>
                <w:sz w:val="18"/>
                <w:szCs w:val="18"/>
              </w:rPr>
              <w:t>o.</w:t>
            </w:r>
          </w:p>
        </w:tc>
        <w:tc>
          <w:tcPr>
            <w:tcW w:w="7229" w:type="dxa"/>
            <w:tcBorders>
              <w:top w:val="single" w:sz="4" w:space="0" w:color="auto"/>
              <w:left w:val="single" w:sz="4" w:space="0" w:color="auto"/>
              <w:bottom w:val="single" w:sz="4" w:space="0" w:color="auto"/>
              <w:right w:val="single" w:sz="4" w:space="0" w:color="auto"/>
            </w:tcBorders>
            <w:noWrap/>
            <w:vAlign w:val="center"/>
          </w:tcPr>
          <w:p w14:paraId="2F18166B" w14:textId="77777777" w:rsidR="004D20B2" w:rsidRPr="00C35CA8" w:rsidRDefault="004D20B2" w:rsidP="004D20B2">
            <w:pPr>
              <w:jc w:val="left"/>
              <w:rPr>
                <w:sz w:val="18"/>
                <w:szCs w:val="18"/>
              </w:rPr>
            </w:pPr>
            <w:r w:rsidRPr="00C35CA8">
              <w:rPr>
                <w:sz w:val="18"/>
                <w:szCs w:val="18"/>
              </w:rPr>
              <w:t>spoločnosť s ručením obmedzeným</w:t>
            </w:r>
          </w:p>
        </w:tc>
      </w:tr>
      <w:tr w:rsidR="004D20B2" w:rsidRPr="00C35CA8" w14:paraId="3938961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92E7F7F" w14:textId="3787E967" w:rsidR="004D20B2" w:rsidRPr="00C35CA8" w:rsidRDefault="004D20B2" w:rsidP="004D20B2">
            <w:pPr>
              <w:jc w:val="left"/>
              <w:rPr>
                <w:sz w:val="18"/>
                <w:szCs w:val="18"/>
              </w:rPr>
            </w:pPr>
            <w:r>
              <w:rPr>
                <w:sz w:val="18"/>
                <w:szCs w:val="18"/>
              </w:rPr>
              <w:t>š. p.</w:t>
            </w:r>
          </w:p>
        </w:tc>
        <w:tc>
          <w:tcPr>
            <w:tcW w:w="7229" w:type="dxa"/>
            <w:tcBorders>
              <w:top w:val="single" w:sz="4" w:space="0" w:color="auto"/>
              <w:left w:val="single" w:sz="4" w:space="0" w:color="auto"/>
              <w:bottom w:val="single" w:sz="4" w:space="0" w:color="auto"/>
              <w:right w:val="single" w:sz="4" w:space="0" w:color="auto"/>
            </w:tcBorders>
            <w:noWrap/>
            <w:vAlign w:val="center"/>
          </w:tcPr>
          <w:p w14:paraId="17DDF625" w14:textId="11809E01" w:rsidR="004D20B2" w:rsidRPr="00C35CA8" w:rsidRDefault="004D20B2" w:rsidP="004D20B2">
            <w:pPr>
              <w:jc w:val="left"/>
              <w:rPr>
                <w:sz w:val="18"/>
                <w:szCs w:val="18"/>
              </w:rPr>
            </w:pPr>
            <w:r w:rsidRPr="009728D5">
              <w:rPr>
                <w:sz w:val="18"/>
                <w:szCs w:val="18"/>
              </w:rPr>
              <w:t>štátny podnik</w:t>
            </w:r>
          </w:p>
        </w:tc>
      </w:tr>
      <w:tr w:rsidR="004D20B2" w:rsidRPr="00C35CA8" w14:paraId="5410A0F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A73569F" w14:textId="57530F9E" w:rsidR="004D20B2" w:rsidRPr="00C35CA8" w:rsidRDefault="004D20B2" w:rsidP="004D20B2">
            <w:pPr>
              <w:ind w:firstLine="0"/>
              <w:jc w:val="left"/>
              <w:rPr>
                <w:sz w:val="18"/>
                <w:szCs w:val="18"/>
              </w:rPr>
            </w:pPr>
            <w:r w:rsidRPr="00C35CA8">
              <w:rPr>
                <w:sz w:val="18"/>
                <w:szCs w:val="18"/>
              </w:rPr>
              <w:t xml:space="preserve">ŠR </w:t>
            </w:r>
            <w:r>
              <w:rPr>
                <w:sz w:val="18"/>
                <w:szCs w:val="18"/>
              </w:rPr>
              <w:t>S</w:t>
            </w:r>
            <w:r w:rsidRPr="00C35CA8">
              <w:rPr>
                <w:sz w:val="18"/>
                <w:szCs w:val="18"/>
              </w:rPr>
              <w:t>R</w:t>
            </w:r>
          </w:p>
        </w:tc>
        <w:tc>
          <w:tcPr>
            <w:tcW w:w="7229" w:type="dxa"/>
            <w:tcBorders>
              <w:top w:val="single" w:sz="4" w:space="0" w:color="auto"/>
              <w:left w:val="single" w:sz="4" w:space="0" w:color="auto"/>
              <w:bottom w:val="single" w:sz="4" w:space="0" w:color="auto"/>
              <w:right w:val="single" w:sz="4" w:space="0" w:color="auto"/>
            </w:tcBorders>
            <w:noWrap/>
            <w:vAlign w:val="center"/>
          </w:tcPr>
          <w:p w14:paraId="65CF12C9" w14:textId="77777777" w:rsidR="004D20B2" w:rsidRPr="00C35CA8" w:rsidRDefault="004D20B2" w:rsidP="004D20B2">
            <w:pPr>
              <w:jc w:val="left"/>
              <w:rPr>
                <w:sz w:val="18"/>
                <w:szCs w:val="18"/>
              </w:rPr>
            </w:pPr>
            <w:r w:rsidRPr="00C35CA8">
              <w:rPr>
                <w:sz w:val="18"/>
                <w:szCs w:val="18"/>
              </w:rPr>
              <w:t>štátny rozpočet Slovenskej republiky</w:t>
            </w:r>
          </w:p>
        </w:tc>
      </w:tr>
      <w:tr w:rsidR="004D20B2" w:rsidRPr="00C35CA8" w14:paraId="39E59B6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CFC8F9B" w14:textId="77777777" w:rsidR="004D20B2" w:rsidRPr="00C35CA8" w:rsidRDefault="004D20B2" w:rsidP="004D20B2">
            <w:pPr>
              <w:jc w:val="left"/>
              <w:rPr>
                <w:sz w:val="18"/>
                <w:szCs w:val="18"/>
              </w:rPr>
            </w:pPr>
            <w:r w:rsidRPr="00C35CA8">
              <w:rPr>
                <w:sz w:val="18"/>
                <w:szCs w:val="18"/>
              </w:rPr>
              <w:t>ŠÚ SR</w:t>
            </w:r>
          </w:p>
        </w:tc>
        <w:tc>
          <w:tcPr>
            <w:tcW w:w="7229" w:type="dxa"/>
            <w:tcBorders>
              <w:top w:val="single" w:sz="4" w:space="0" w:color="auto"/>
              <w:left w:val="single" w:sz="4" w:space="0" w:color="auto"/>
              <w:bottom w:val="single" w:sz="4" w:space="0" w:color="auto"/>
              <w:right w:val="single" w:sz="4" w:space="0" w:color="auto"/>
            </w:tcBorders>
            <w:noWrap/>
            <w:vAlign w:val="center"/>
          </w:tcPr>
          <w:p w14:paraId="201DFFA8" w14:textId="77777777" w:rsidR="004D20B2" w:rsidRPr="00C35CA8" w:rsidRDefault="004D20B2" w:rsidP="004D20B2">
            <w:pPr>
              <w:jc w:val="left"/>
              <w:rPr>
                <w:sz w:val="18"/>
                <w:szCs w:val="18"/>
              </w:rPr>
            </w:pPr>
            <w:r w:rsidRPr="00C35CA8">
              <w:rPr>
                <w:sz w:val="18"/>
                <w:szCs w:val="18"/>
              </w:rPr>
              <w:t>Štatistický úrad Slovenskej republiky</w:t>
            </w:r>
          </w:p>
        </w:tc>
      </w:tr>
      <w:tr w:rsidR="004D20B2" w:rsidRPr="00C35CA8" w14:paraId="5EA44DD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887DAA5" w14:textId="77777777" w:rsidR="004D20B2" w:rsidRPr="00C35CA8" w:rsidRDefault="004D20B2" w:rsidP="004D20B2">
            <w:pPr>
              <w:jc w:val="left"/>
              <w:rPr>
                <w:sz w:val="18"/>
                <w:szCs w:val="18"/>
              </w:rPr>
            </w:pPr>
            <w:r w:rsidRPr="00C35CA8">
              <w:rPr>
                <w:sz w:val="18"/>
                <w:szCs w:val="18"/>
              </w:rPr>
              <w:t>SŠ</w:t>
            </w:r>
          </w:p>
        </w:tc>
        <w:tc>
          <w:tcPr>
            <w:tcW w:w="7229" w:type="dxa"/>
            <w:tcBorders>
              <w:top w:val="single" w:sz="4" w:space="0" w:color="auto"/>
              <w:left w:val="single" w:sz="4" w:space="0" w:color="auto"/>
              <w:bottom w:val="single" w:sz="4" w:space="0" w:color="auto"/>
              <w:right w:val="single" w:sz="4" w:space="0" w:color="auto"/>
            </w:tcBorders>
            <w:noWrap/>
            <w:vAlign w:val="center"/>
          </w:tcPr>
          <w:p w14:paraId="4EDBBB11" w14:textId="77777777" w:rsidR="004D20B2" w:rsidRPr="00C35CA8" w:rsidRDefault="004D20B2" w:rsidP="004D20B2">
            <w:pPr>
              <w:jc w:val="left"/>
              <w:rPr>
                <w:sz w:val="18"/>
                <w:szCs w:val="18"/>
              </w:rPr>
            </w:pPr>
            <w:r w:rsidRPr="00C35CA8">
              <w:rPr>
                <w:sz w:val="18"/>
                <w:szCs w:val="18"/>
              </w:rPr>
              <w:t>stredná škola</w:t>
            </w:r>
          </w:p>
        </w:tc>
      </w:tr>
      <w:tr w:rsidR="004D20B2" w:rsidRPr="00C35CA8" w14:paraId="177BF13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04A588A" w14:textId="77777777" w:rsidR="004D20B2" w:rsidRPr="00C35CA8" w:rsidRDefault="004D20B2" w:rsidP="004D20B2">
            <w:pPr>
              <w:jc w:val="left"/>
              <w:rPr>
                <w:sz w:val="18"/>
                <w:szCs w:val="18"/>
              </w:rPr>
            </w:pPr>
            <w:r w:rsidRPr="00C35CA8">
              <w:rPr>
                <w:sz w:val="18"/>
                <w:szCs w:val="18"/>
              </w:rPr>
              <w:t>SZ</w:t>
            </w:r>
          </w:p>
        </w:tc>
        <w:tc>
          <w:tcPr>
            <w:tcW w:w="7229" w:type="dxa"/>
            <w:tcBorders>
              <w:top w:val="single" w:sz="4" w:space="0" w:color="auto"/>
              <w:left w:val="single" w:sz="4" w:space="0" w:color="auto"/>
              <w:bottom w:val="single" w:sz="4" w:space="0" w:color="auto"/>
              <w:right w:val="single" w:sz="4" w:space="0" w:color="auto"/>
            </w:tcBorders>
            <w:noWrap/>
            <w:vAlign w:val="center"/>
          </w:tcPr>
          <w:p w14:paraId="1F338B83" w14:textId="77777777" w:rsidR="004D20B2" w:rsidRPr="00C35CA8" w:rsidRDefault="004D20B2" w:rsidP="004D20B2">
            <w:pPr>
              <w:jc w:val="left"/>
              <w:rPr>
                <w:sz w:val="18"/>
                <w:szCs w:val="18"/>
              </w:rPr>
            </w:pPr>
            <w:r w:rsidRPr="00C35CA8">
              <w:rPr>
                <w:sz w:val="18"/>
                <w:szCs w:val="18"/>
              </w:rPr>
              <w:t>služby zamestnanosti</w:t>
            </w:r>
          </w:p>
        </w:tc>
      </w:tr>
      <w:tr w:rsidR="004D20B2" w:rsidRPr="00C35CA8" w14:paraId="223E86C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8E18F8B" w14:textId="77777777" w:rsidR="004D20B2" w:rsidRPr="00C35CA8" w:rsidRDefault="004D20B2" w:rsidP="004D20B2">
            <w:pPr>
              <w:jc w:val="left"/>
              <w:rPr>
                <w:sz w:val="18"/>
                <w:szCs w:val="18"/>
              </w:rPr>
            </w:pPr>
            <w:r w:rsidRPr="00C35CA8">
              <w:rPr>
                <w:sz w:val="18"/>
                <w:szCs w:val="18"/>
              </w:rPr>
              <w:t>SZČ</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04C82B0" w14:textId="77777777" w:rsidR="004D20B2" w:rsidRPr="00C35CA8" w:rsidRDefault="004D20B2" w:rsidP="004D20B2">
            <w:pPr>
              <w:jc w:val="left"/>
              <w:rPr>
                <w:sz w:val="18"/>
                <w:szCs w:val="18"/>
              </w:rPr>
            </w:pPr>
            <w:r w:rsidRPr="00C35CA8">
              <w:rPr>
                <w:sz w:val="18"/>
                <w:szCs w:val="18"/>
              </w:rPr>
              <w:t>samostatná zárobková činnosť</w:t>
            </w:r>
          </w:p>
        </w:tc>
      </w:tr>
      <w:tr w:rsidR="004D20B2" w:rsidRPr="00C35CA8" w14:paraId="529589F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3C68A1D" w14:textId="77777777" w:rsidR="004D20B2" w:rsidRPr="00C35CA8" w:rsidRDefault="004D20B2" w:rsidP="004D20B2">
            <w:pPr>
              <w:jc w:val="left"/>
              <w:rPr>
                <w:sz w:val="18"/>
                <w:szCs w:val="18"/>
              </w:rPr>
            </w:pPr>
            <w:r w:rsidRPr="00C35CA8">
              <w:rPr>
                <w:sz w:val="18"/>
                <w:szCs w:val="18"/>
              </w:rPr>
              <w:t>SZČO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2AD6F5A" w14:textId="77777777" w:rsidR="004D20B2" w:rsidRPr="00C35CA8" w:rsidRDefault="004D20B2" w:rsidP="004D20B2">
            <w:pPr>
              <w:jc w:val="left"/>
              <w:rPr>
                <w:sz w:val="18"/>
                <w:szCs w:val="18"/>
              </w:rPr>
            </w:pPr>
            <w:r w:rsidRPr="00C35CA8">
              <w:rPr>
                <w:sz w:val="18"/>
                <w:szCs w:val="18"/>
              </w:rPr>
              <w:t>samostatne zárobkovo činná osoba</w:t>
            </w:r>
          </w:p>
        </w:tc>
      </w:tr>
      <w:tr w:rsidR="004D20B2" w:rsidRPr="00C35CA8" w14:paraId="1E6A263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DDB94E4" w14:textId="77777777" w:rsidR="004D20B2" w:rsidRPr="00C35CA8" w:rsidRDefault="004D20B2" w:rsidP="004D20B2">
            <w:pPr>
              <w:jc w:val="left"/>
              <w:rPr>
                <w:sz w:val="18"/>
                <w:szCs w:val="18"/>
              </w:rPr>
            </w:pPr>
            <w:r w:rsidRPr="00C35CA8">
              <w:rPr>
                <w:sz w:val="18"/>
                <w:szCs w:val="18"/>
              </w:rPr>
              <w:t>SZÚ</w:t>
            </w:r>
          </w:p>
        </w:tc>
        <w:tc>
          <w:tcPr>
            <w:tcW w:w="7229" w:type="dxa"/>
            <w:tcBorders>
              <w:top w:val="single" w:sz="4" w:space="0" w:color="auto"/>
              <w:left w:val="single" w:sz="4" w:space="0" w:color="auto"/>
              <w:bottom w:val="single" w:sz="4" w:space="0" w:color="auto"/>
              <w:right w:val="single" w:sz="4" w:space="0" w:color="auto"/>
            </w:tcBorders>
            <w:noWrap/>
            <w:vAlign w:val="center"/>
          </w:tcPr>
          <w:p w14:paraId="7BEBC178" w14:textId="77777777" w:rsidR="004D20B2" w:rsidRPr="00C35CA8" w:rsidRDefault="004D20B2" w:rsidP="004D20B2">
            <w:pPr>
              <w:spacing w:after="0"/>
              <w:ind w:firstLine="0"/>
              <w:jc w:val="left"/>
              <w:rPr>
                <w:sz w:val="18"/>
                <w:szCs w:val="18"/>
              </w:rPr>
            </w:pPr>
            <w:r w:rsidRPr="00C35CA8">
              <w:rPr>
                <w:sz w:val="18"/>
                <w:szCs w:val="18"/>
              </w:rPr>
              <w:t>sprostredkovanie zamestnania za úhradu</w:t>
            </w:r>
          </w:p>
        </w:tc>
      </w:tr>
      <w:tr w:rsidR="004D20B2" w:rsidRPr="00C35CA8" w14:paraId="7CABFFA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948A4C8" w14:textId="77777777" w:rsidR="004D20B2" w:rsidRPr="00C35CA8" w:rsidRDefault="004D20B2" w:rsidP="004D20B2">
            <w:pPr>
              <w:jc w:val="left"/>
              <w:rPr>
                <w:sz w:val="18"/>
                <w:szCs w:val="18"/>
              </w:rPr>
            </w:pPr>
            <w:r w:rsidRPr="00C35CA8">
              <w:rPr>
                <w:sz w:val="18"/>
                <w:szCs w:val="18"/>
              </w:rPr>
              <w:t>TMS</w:t>
            </w:r>
          </w:p>
        </w:tc>
        <w:tc>
          <w:tcPr>
            <w:tcW w:w="7229" w:type="dxa"/>
            <w:tcBorders>
              <w:top w:val="single" w:sz="4" w:space="0" w:color="auto"/>
              <w:left w:val="single" w:sz="4" w:space="0" w:color="auto"/>
              <w:bottom w:val="single" w:sz="4" w:space="0" w:color="auto"/>
              <w:right w:val="single" w:sz="4" w:space="0" w:color="auto"/>
            </w:tcBorders>
            <w:noWrap/>
            <w:vAlign w:val="center"/>
          </w:tcPr>
          <w:p w14:paraId="22E66B38" w14:textId="77777777" w:rsidR="004D20B2" w:rsidRPr="00C35CA8" w:rsidRDefault="004D20B2" w:rsidP="004D20B2">
            <w:pPr>
              <w:jc w:val="left"/>
              <w:rPr>
                <w:sz w:val="18"/>
                <w:szCs w:val="18"/>
              </w:rPr>
            </w:pPr>
            <w:r w:rsidRPr="00C35CA8">
              <w:rPr>
                <w:sz w:val="18"/>
                <w:szCs w:val="18"/>
              </w:rPr>
              <w:t>Targeted Mobility Scheme – finančná podpora mobility</w:t>
            </w:r>
          </w:p>
        </w:tc>
      </w:tr>
      <w:tr w:rsidR="004D20B2" w:rsidRPr="00C35CA8" w14:paraId="6AA015B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D7BD8B3" w14:textId="77777777" w:rsidR="004D20B2" w:rsidRPr="00C35CA8" w:rsidRDefault="004D20B2" w:rsidP="004D20B2">
            <w:pPr>
              <w:jc w:val="left"/>
              <w:rPr>
                <w:sz w:val="18"/>
                <w:szCs w:val="18"/>
              </w:rPr>
            </w:pPr>
            <w:r w:rsidRPr="00C35CA8">
              <w:rPr>
                <w:sz w:val="18"/>
                <w:szCs w:val="18"/>
              </w:rPr>
              <w:t>TP</w:t>
            </w:r>
          </w:p>
        </w:tc>
        <w:tc>
          <w:tcPr>
            <w:tcW w:w="7229" w:type="dxa"/>
            <w:tcBorders>
              <w:top w:val="single" w:sz="4" w:space="0" w:color="auto"/>
              <w:left w:val="single" w:sz="4" w:space="0" w:color="auto"/>
              <w:bottom w:val="single" w:sz="4" w:space="0" w:color="auto"/>
              <w:right w:val="single" w:sz="4" w:space="0" w:color="auto"/>
            </w:tcBorders>
            <w:noWrap/>
            <w:vAlign w:val="center"/>
          </w:tcPr>
          <w:p w14:paraId="433530DB" w14:textId="77777777" w:rsidR="004D20B2" w:rsidRPr="00C35CA8" w:rsidRDefault="004D20B2" w:rsidP="004D20B2">
            <w:pPr>
              <w:jc w:val="left"/>
              <w:rPr>
                <w:sz w:val="18"/>
                <w:szCs w:val="18"/>
              </w:rPr>
            </w:pPr>
            <w:r w:rsidRPr="00C35CA8">
              <w:rPr>
                <w:sz w:val="18"/>
                <w:szCs w:val="18"/>
              </w:rPr>
              <w:t>trh práce</w:t>
            </w:r>
          </w:p>
        </w:tc>
      </w:tr>
      <w:tr w:rsidR="004D20B2" w:rsidRPr="00C35CA8" w14:paraId="631FA52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A6D738F" w14:textId="77777777" w:rsidR="004D20B2" w:rsidRPr="00C35CA8" w:rsidRDefault="004D20B2" w:rsidP="004D20B2">
            <w:pPr>
              <w:jc w:val="left"/>
              <w:rPr>
                <w:sz w:val="18"/>
                <w:szCs w:val="18"/>
              </w:rPr>
            </w:pPr>
            <w:r w:rsidRPr="00C35CA8">
              <w:rPr>
                <w:sz w:val="18"/>
                <w:szCs w:val="18"/>
              </w:rPr>
              <w:t>UoZ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3F6EE44" w14:textId="77777777" w:rsidR="004D20B2" w:rsidRPr="00C35CA8" w:rsidRDefault="004D20B2" w:rsidP="004D20B2">
            <w:pPr>
              <w:jc w:val="left"/>
              <w:rPr>
                <w:sz w:val="18"/>
                <w:szCs w:val="18"/>
              </w:rPr>
            </w:pPr>
            <w:r w:rsidRPr="00C35CA8">
              <w:rPr>
                <w:sz w:val="18"/>
                <w:szCs w:val="18"/>
              </w:rPr>
              <w:t>uchádzač o zamestnanie</w:t>
            </w:r>
          </w:p>
        </w:tc>
      </w:tr>
      <w:tr w:rsidR="004D20B2" w:rsidRPr="00C35CA8" w14:paraId="258D897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010C6ED" w14:textId="5C9674C0" w:rsidR="004D20B2" w:rsidRPr="00C35CA8" w:rsidRDefault="00534004" w:rsidP="004D20B2">
            <w:pPr>
              <w:jc w:val="left"/>
              <w:rPr>
                <w:sz w:val="18"/>
                <w:szCs w:val="18"/>
              </w:rPr>
            </w:pPr>
            <w:r>
              <w:rPr>
                <w:sz w:val="18"/>
                <w:szCs w:val="18"/>
              </w:rPr>
              <w:t>ú</w:t>
            </w:r>
            <w:r w:rsidR="004D20B2" w:rsidRPr="00C35CA8">
              <w:rPr>
                <w:sz w:val="18"/>
                <w:szCs w:val="18"/>
              </w:rPr>
              <w:t>rad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EAC5D8C" w14:textId="77777777" w:rsidR="004D20B2" w:rsidRPr="00C35CA8" w:rsidRDefault="004D20B2" w:rsidP="004D20B2">
            <w:pPr>
              <w:jc w:val="left"/>
              <w:rPr>
                <w:sz w:val="18"/>
                <w:szCs w:val="18"/>
              </w:rPr>
            </w:pPr>
            <w:r w:rsidRPr="00C35CA8">
              <w:rPr>
                <w:sz w:val="18"/>
                <w:szCs w:val="18"/>
              </w:rPr>
              <w:t>úrad práce, sociálnych vecí a rodiny</w:t>
            </w:r>
          </w:p>
        </w:tc>
      </w:tr>
      <w:tr w:rsidR="004D20B2" w:rsidRPr="00C35CA8" w14:paraId="1931915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1DF909E" w14:textId="51677344" w:rsidR="004D20B2" w:rsidRPr="00C35CA8" w:rsidRDefault="00534004" w:rsidP="004D20B2">
            <w:pPr>
              <w:jc w:val="left"/>
              <w:rPr>
                <w:sz w:val="18"/>
                <w:szCs w:val="18"/>
              </w:rPr>
            </w:pPr>
            <w:r>
              <w:rPr>
                <w:sz w:val="18"/>
                <w:szCs w:val="18"/>
              </w:rPr>
              <w:t>ú</w:t>
            </w:r>
            <w:r w:rsidR="004D20B2" w:rsidRPr="00C35CA8">
              <w:rPr>
                <w:sz w:val="18"/>
                <w:szCs w:val="18"/>
              </w:rPr>
              <w:t>stredie</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8BBD6F0" w14:textId="77777777" w:rsidR="004D20B2" w:rsidRPr="00C35CA8" w:rsidRDefault="004D20B2" w:rsidP="004D20B2">
            <w:pPr>
              <w:jc w:val="left"/>
              <w:rPr>
                <w:sz w:val="18"/>
                <w:szCs w:val="18"/>
              </w:rPr>
            </w:pPr>
            <w:r w:rsidRPr="00C35CA8">
              <w:rPr>
                <w:sz w:val="18"/>
                <w:szCs w:val="18"/>
              </w:rPr>
              <w:t>Ústredie práce, sociálnych vecí a rodiny</w:t>
            </w:r>
          </w:p>
        </w:tc>
      </w:tr>
      <w:tr w:rsidR="004D20B2" w:rsidRPr="00C35CA8" w14:paraId="28E5350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DA1ED35" w14:textId="77777777" w:rsidR="004D20B2" w:rsidRPr="00C35CA8" w:rsidRDefault="004D20B2" w:rsidP="004D20B2">
            <w:pPr>
              <w:jc w:val="left"/>
              <w:rPr>
                <w:sz w:val="18"/>
                <w:szCs w:val="18"/>
              </w:rPr>
            </w:pPr>
            <w:r w:rsidRPr="00C35CA8">
              <w:rPr>
                <w:sz w:val="18"/>
                <w:szCs w:val="18"/>
              </w:rPr>
              <w:t>VK</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815D6FA" w14:textId="77777777" w:rsidR="004D20B2" w:rsidRPr="00C35CA8" w:rsidRDefault="004D20B2" w:rsidP="004D20B2">
            <w:pPr>
              <w:jc w:val="left"/>
              <w:rPr>
                <w:sz w:val="18"/>
                <w:szCs w:val="18"/>
              </w:rPr>
            </w:pPr>
            <w:r w:rsidRPr="00C35CA8">
              <w:rPr>
                <w:sz w:val="18"/>
                <w:szCs w:val="18"/>
              </w:rPr>
              <w:t>výberové konanie</w:t>
            </w:r>
          </w:p>
        </w:tc>
      </w:tr>
      <w:tr w:rsidR="004D20B2" w:rsidRPr="00C35CA8" w14:paraId="6B37221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6DEE80C" w14:textId="29A16DE7" w:rsidR="004D20B2" w:rsidRPr="00C35CA8" w:rsidRDefault="004D20B2" w:rsidP="004D20B2">
            <w:pPr>
              <w:jc w:val="left"/>
              <w:rPr>
                <w:sz w:val="18"/>
                <w:szCs w:val="18"/>
              </w:rPr>
            </w:pPr>
            <w:r>
              <w:rPr>
                <w:sz w:val="18"/>
                <w:szCs w:val="18"/>
              </w:rPr>
              <w:t>v. o. s.</w:t>
            </w:r>
          </w:p>
        </w:tc>
        <w:tc>
          <w:tcPr>
            <w:tcW w:w="7229" w:type="dxa"/>
            <w:tcBorders>
              <w:top w:val="single" w:sz="4" w:space="0" w:color="auto"/>
              <w:left w:val="single" w:sz="4" w:space="0" w:color="auto"/>
              <w:bottom w:val="single" w:sz="4" w:space="0" w:color="auto"/>
              <w:right w:val="single" w:sz="4" w:space="0" w:color="auto"/>
            </w:tcBorders>
            <w:noWrap/>
            <w:vAlign w:val="center"/>
          </w:tcPr>
          <w:p w14:paraId="7078F40A" w14:textId="310206B8" w:rsidR="004D20B2" w:rsidRPr="00C35CA8" w:rsidRDefault="004D20B2" w:rsidP="004D20B2">
            <w:pPr>
              <w:jc w:val="left"/>
              <w:rPr>
                <w:sz w:val="18"/>
                <w:szCs w:val="18"/>
              </w:rPr>
            </w:pPr>
            <w:r w:rsidRPr="004D20B2">
              <w:rPr>
                <w:sz w:val="18"/>
                <w:szCs w:val="18"/>
              </w:rPr>
              <w:t>verejná obchodná spoločnosť</w:t>
            </w:r>
          </w:p>
        </w:tc>
      </w:tr>
      <w:tr w:rsidR="004D20B2" w:rsidRPr="00C35CA8" w14:paraId="3005F4C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C2FF8D9" w14:textId="77777777" w:rsidR="004D20B2" w:rsidRPr="00C35CA8" w:rsidRDefault="004D20B2" w:rsidP="004D20B2">
            <w:pPr>
              <w:jc w:val="left"/>
              <w:rPr>
                <w:sz w:val="18"/>
                <w:szCs w:val="18"/>
              </w:rPr>
            </w:pPr>
            <w:r w:rsidRPr="00C35CA8">
              <w:rPr>
                <w:sz w:val="18"/>
                <w:szCs w:val="18"/>
              </w:rPr>
              <w:t>VPM</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76A9C95" w14:textId="77777777" w:rsidR="004D20B2" w:rsidRPr="00C35CA8" w:rsidRDefault="004D20B2" w:rsidP="004D20B2">
            <w:pPr>
              <w:jc w:val="left"/>
              <w:rPr>
                <w:sz w:val="18"/>
                <w:szCs w:val="18"/>
              </w:rPr>
            </w:pPr>
            <w:r w:rsidRPr="00C35CA8">
              <w:rPr>
                <w:sz w:val="18"/>
                <w:szCs w:val="18"/>
              </w:rPr>
              <w:t>voľné pracovné miesto</w:t>
            </w:r>
          </w:p>
        </w:tc>
      </w:tr>
      <w:tr w:rsidR="004D20B2" w:rsidRPr="00C35CA8" w14:paraId="3CB4661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F8CE277" w14:textId="77777777" w:rsidR="004D20B2" w:rsidRPr="00C35CA8" w:rsidRDefault="004D20B2" w:rsidP="004D20B2">
            <w:pPr>
              <w:jc w:val="left"/>
              <w:rPr>
                <w:sz w:val="18"/>
                <w:szCs w:val="18"/>
              </w:rPr>
            </w:pPr>
            <w:r w:rsidRPr="00C35CA8">
              <w:rPr>
                <w:sz w:val="18"/>
                <w:szCs w:val="18"/>
              </w:rPr>
              <w:t>VSZ</w:t>
            </w:r>
          </w:p>
        </w:tc>
        <w:tc>
          <w:tcPr>
            <w:tcW w:w="7229" w:type="dxa"/>
            <w:tcBorders>
              <w:top w:val="single" w:sz="4" w:space="0" w:color="auto"/>
              <w:left w:val="single" w:sz="4" w:space="0" w:color="auto"/>
              <w:bottom w:val="single" w:sz="4" w:space="0" w:color="auto"/>
              <w:right w:val="single" w:sz="4" w:space="0" w:color="auto"/>
            </w:tcBorders>
            <w:noWrap/>
            <w:vAlign w:val="center"/>
          </w:tcPr>
          <w:p w14:paraId="0AD8DD74" w14:textId="5327BBA7" w:rsidR="004D20B2" w:rsidRPr="00C35CA8" w:rsidRDefault="004D20B2" w:rsidP="004D20B2">
            <w:pPr>
              <w:jc w:val="left"/>
              <w:rPr>
                <w:sz w:val="18"/>
                <w:szCs w:val="18"/>
              </w:rPr>
            </w:pPr>
            <w:r>
              <w:rPr>
                <w:sz w:val="18"/>
                <w:szCs w:val="18"/>
              </w:rPr>
              <w:t>v</w:t>
            </w:r>
            <w:r w:rsidRPr="00C35CA8">
              <w:rPr>
                <w:sz w:val="18"/>
                <w:szCs w:val="18"/>
              </w:rPr>
              <w:t>erejné služby zamestnanosti</w:t>
            </w:r>
          </w:p>
        </w:tc>
      </w:tr>
      <w:tr w:rsidR="004D20B2" w:rsidRPr="00C35CA8" w14:paraId="1DA7D90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FBE1823" w14:textId="77777777" w:rsidR="004D20B2" w:rsidRPr="00C35CA8" w:rsidRDefault="004D20B2" w:rsidP="004D20B2">
            <w:pPr>
              <w:jc w:val="left"/>
              <w:rPr>
                <w:sz w:val="18"/>
                <w:szCs w:val="18"/>
              </w:rPr>
            </w:pPr>
            <w:r w:rsidRPr="00C35CA8">
              <w:rPr>
                <w:sz w:val="18"/>
                <w:szCs w:val="18"/>
              </w:rPr>
              <w:t>VŠ</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AB0D9FE" w14:textId="77777777" w:rsidR="004D20B2" w:rsidRPr="00C35CA8" w:rsidRDefault="004D20B2" w:rsidP="004D20B2">
            <w:pPr>
              <w:jc w:val="left"/>
              <w:rPr>
                <w:sz w:val="18"/>
                <w:szCs w:val="18"/>
              </w:rPr>
            </w:pPr>
            <w:r w:rsidRPr="00C35CA8">
              <w:rPr>
                <w:sz w:val="18"/>
                <w:szCs w:val="18"/>
              </w:rPr>
              <w:t>vysoká škola</w:t>
            </w:r>
          </w:p>
        </w:tc>
      </w:tr>
      <w:tr w:rsidR="004D20B2" w:rsidRPr="00C35CA8" w14:paraId="4DCE055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B3E2076" w14:textId="77777777" w:rsidR="004D20B2" w:rsidRPr="00C35CA8" w:rsidRDefault="004D20B2" w:rsidP="004D20B2">
            <w:pPr>
              <w:jc w:val="left"/>
              <w:rPr>
                <w:sz w:val="18"/>
                <w:szCs w:val="18"/>
              </w:rPr>
            </w:pPr>
            <w:r w:rsidRPr="00C35CA8">
              <w:rPr>
                <w:sz w:val="18"/>
                <w:szCs w:val="18"/>
              </w:rPr>
              <w:t>VzPrTP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97021D1" w14:textId="77777777" w:rsidR="004D20B2" w:rsidRPr="00C35CA8" w:rsidRDefault="004D20B2" w:rsidP="004D20B2">
            <w:pPr>
              <w:jc w:val="left"/>
              <w:rPr>
                <w:sz w:val="18"/>
                <w:szCs w:val="18"/>
              </w:rPr>
            </w:pPr>
            <w:r w:rsidRPr="00C35CA8">
              <w:rPr>
                <w:sz w:val="18"/>
                <w:szCs w:val="18"/>
              </w:rPr>
              <w:t>vzdelávanie a príprava pre trh práce</w:t>
            </w:r>
          </w:p>
        </w:tc>
      </w:tr>
      <w:tr w:rsidR="004D20B2" w:rsidRPr="00C35CA8" w14:paraId="1C98F78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3AF160B" w14:textId="77777777" w:rsidR="004D20B2" w:rsidRPr="00C35CA8" w:rsidRDefault="004D20B2" w:rsidP="004D20B2">
            <w:pPr>
              <w:jc w:val="left"/>
              <w:rPr>
                <w:sz w:val="18"/>
                <w:szCs w:val="18"/>
              </w:rPr>
            </w:pPr>
            <w:r w:rsidRPr="00C35CA8">
              <w:rPr>
                <w:sz w:val="18"/>
                <w:szCs w:val="18"/>
              </w:rPr>
              <w:t>Z. 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EED9C7C" w14:textId="5C755B12" w:rsidR="004D20B2" w:rsidRPr="00C35CA8" w:rsidRDefault="004D20B2" w:rsidP="004D20B2">
            <w:pPr>
              <w:jc w:val="left"/>
              <w:rPr>
                <w:sz w:val="18"/>
                <w:szCs w:val="18"/>
              </w:rPr>
            </w:pPr>
            <w:r>
              <w:rPr>
                <w:sz w:val="18"/>
                <w:szCs w:val="18"/>
              </w:rPr>
              <w:t>Z</w:t>
            </w:r>
            <w:r w:rsidRPr="00C35CA8">
              <w:rPr>
                <w:sz w:val="18"/>
                <w:szCs w:val="18"/>
              </w:rPr>
              <w:t>bierka zákonov</w:t>
            </w:r>
          </w:p>
        </w:tc>
      </w:tr>
      <w:tr w:rsidR="004D20B2" w:rsidRPr="00C35CA8" w14:paraId="3A913A5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35C852E" w14:textId="77777777" w:rsidR="004D20B2" w:rsidRPr="00C35CA8" w:rsidRDefault="004D20B2" w:rsidP="004D20B2">
            <w:pPr>
              <w:jc w:val="left"/>
              <w:rPr>
                <w:sz w:val="18"/>
                <w:szCs w:val="18"/>
              </w:rPr>
            </w:pPr>
            <w:r w:rsidRPr="00C35CA8">
              <w:rPr>
                <w:sz w:val="18"/>
                <w:szCs w:val="18"/>
              </w:rPr>
              <w:t>Zákonník práce</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F6E03B5" w14:textId="77777777" w:rsidR="004D20B2" w:rsidRPr="00C35CA8" w:rsidRDefault="004D20B2" w:rsidP="004D20B2">
            <w:pPr>
              <w:jc w:val="left"/>
              <w:rPr>
                <w:sz w:val="18"/>
                <w:szCs w:val="18"/>
              </w:rPr>
            </w:pPr>
            <w:r w:rsidRPr="00C35CA8">
              <w:rPr>
                <w:sz w:val="18"/>
                <w:szCs w:val="18"/>
              </w:rPr>
              <w:t>zákon č. 311/2001 Z. z. - Zákonník práce</w:t>
            </w:r>
          </w:p>
        </w:tc>
      </w:tr>
      <w:tr w:rsidR="004D20B2" w:rsidRPr="00C35CA8" w14:paraId="4A4BCFA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07780DA" w14:textId="73DFB3B5" w:rsidR="004D20B2" w:rsidRPr="00C35CA8" w:rsidRDefault="004D20B2" w:rsidP="004D20B2">
            <w:pPr>
              <w:ind w:left="-5" w:firstLine="0"/>
              <w:jc w:val="left"/>
              <w:rPr>
                <w:sz w:val="18"/>
                <w:szCs w:val="18"/>
              </w:rPr>
            </w:pPr>
            <w:r>
              <w:rPr>
                <w:sz w:val="18"/>
                <w:szCs w:val="18"/>
              </w:rPr>
              <w:t>z</w:t>
            </w:r>
            <w:r w:rsidRPr="00C35CA8">
              <w:rPr>
                <w:sz w:val="18"/>
                <w:szCs w:val="18"/>
              </w:rPr>
              <w:t>ákon o službách zamestnanosti/ zákon</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3973151" w14:textId="77777777" w:rsidR="004D20B2" w:rsidRPr="00C35CA8" w:rsidRDefault="004D20B2" w:rsidP="004D20B2">
            <w:pPr>
              <w:jc w:val="left"/>
              <w:rPr>
                <w:sz w:val="18"/>
                <w:szCs w:val="18"/>
              </w:rPr>
            </w:pPr>
            <w:r w:rsidRPr="00C35CA8">
              <w:rPr>
                <w:sz w:val="18"/>
                <w:szCs w:val="18"/>
              </w:rPr>
              <w:t>zákon č. 5/2004 Z. z. o službách zamestnanosti a o z mene a doplnení niektorých zákonov v znení neskorších predpisov</w:t>
            </w:r>
          </w:p>
        </w:tc>
      </w:tr>
      <w:tr w:rsidR="004D20B2" w:rsidRPr="00C35CA8" w14:paraId="3A06981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6E29545" w14:textId="280D344D" w:rsidR="004D20B2" w:rsidRPr="00C35CA8" w:rsidRDefault="004D20B2" w:rsidP="004D20B2">
            <w:pPr>
              <w:jc w:val="left"/>
              <w:rPr>
                <w:sz w:val="18"/>
                <w:szCs w:val="18"/>
              </w:rPr>
            </w:pPr>
            <w:r>
              <w:rPr>
                <w:sz w:val="18"/>
                <w:szCs w:val="18"/>
              </w:rPr>
              <w:t>zákon o sociálnej ekonomike</w:t>
            </w:r>
          </w:p>
        </w:tc>
        <w:tc>
          <w:tcPr>
            <w:tcW w:w="7229" w:type="dxa"/>
            <w:tcBorders>
              <w:top w:val="single" w:sz="4" w:space="0" w:color="auto"/>
              <w:left w:val="single" w:sz="4" w:space="0" w:color="auto"/>
              <w:bottom w:val="single" w:sz="4" w:space="0" w:color="auto"/>
              <w:right w:val="single" w:sz="4" w:space="0" w:color="auto"/>
            </w:tcBorders>
            <w:noWrap/>
            <w:vAlign w:val="center"/>
          </w:tcPr>
          <w:p w14:paraId="3D85331C" w14:textId="77FA97B6" w:rsidR="004D20B2" w:rsidRPr="00C35CA8" w:rsidRDefault="004D20B2" w:rsidP="004D20B2">
            <w:pPr>
              <w:jc w:val="left"/>
              <w:rPr>
                <w:sz w:val="18"/>
                <w:szCs w:val="18"/>
              </w:rPr>
            </w:pPr>
            <w:r w:rsidRPr="009728D5">
              <w:rPr>
                <w:sz w:val="18"/>
                <w:szCs w:val="18"/>
              </w:rPr>
              <w:t>zákon č. 112/2018 Z. z. o sociálnej ekonomike a sociálnych podnikoch a o zmene a doplnení niektorých zákonov v znení neskorších predpisov</w:t>
            </w:r>
          </w:p>
        </w:tc>
      </w:tr>
      <w:tr w:rsidR="004D20B2" w:rsidRPr="00C35CA8" w14:paraId="6747EEF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0DDE089" w14:textId="1CCAABEA" w:rsidR="004D20B2" w:rsidRPr="00C35CA8" w:rsidRDefault="004D20B2" w:rsidP="004D20B2">
            <w:pPr>
              <w:jc w:val="left"/>
              <w:rPr>
                <w:sz w:val="18"/>
                <w:szCs w:val="18"/>
              </w:rPr>
            </w:pPr>
            <w:r>
              <w:rPr>
                <w:sz w:val="18"/>
                <w:szCs w:val="18"/>
              </w:rPr>
              <w:t>zákon</w:t>
            </w:r>
            <w:r w:rsidRPr="009728D5">
              <w:rPr>
                <w:sz w:val="18"/>
                <w:szCs w:val="18"/>
              </w:rPr>
              <w:t xml:space="preserve"> o štátnej pomoci</w:t>
            </w:r>
          </w:p>
        </w:tc>
        <w:tc>
          <w:tcPr>
            <w:tcW w:w="7229" w:type="dxa"/>
            <w:tcBorders>
              <w:top w:val="single" w:sz="4" w:space="0" w:color="auto"/>
              <w:left w:val="single" w:sz="4" w:space="0" w:color="auto"/>
              <w:bottom w:val="single" w:sz="4" w:space="0" w:color="auto"/>
              <w:right w:val="single" w:sz="4" w:space="0" w:color="auto"/>
            </w:tcBorders>
            <w:noWrap/>
            <w:vAlign w:val="center"/>
          </w:tcPr>
          <w:p w14:paraId="3AFBC1D5" w14:textId="5B49A86E" w:rsidR="004D20B2" w:rsidRPr="00C35CA8" w:rsidRDefault="004D20B2" w:rsidP="004D20B2">
            <w:pPr>
              <w:jc w:val="left"/>
              <w:rPr>
                <w:sz w:val="18"/>
                <w:szCs w:val="18"/>
              </w:rPr>
            </w:pPr>
            <w:r>
              <w:rPr>
                <w:sz w:val="18"/>
                <w:szCs w:val="18"/>
              </w:rPr>
              <w:t>zákon</w:t>
            </w:r>
            <w:r w:rsidRPr="009728D5">
              <w:rPr>
                <w:sz w:val="18"/>
                <w:szCs w:val="18"/>
              </w:rPr>
              <w:t xml:space="preserve"> č. 358/2015 Z. z. o úprave niektorých vzťahov v oblasti štátnej pomoci a minimálnej pomoci a o zmene a doplnení niekto</w:t>
            </w:r>
            <w:r>
              <w:rPr>
                <w:sz w:val="18"/>
                <w:szCs w:val="18"/>
              </w:rPr>
              <w:t>rých zákonov (zákon</w:t>
            </w:r>
            <w:r w:rsidRPr="009728D5">
              <w:rPr>
                <w:sz w:val="18"/>
                <w:szCs w:val="18"/>
              </w:rPr>
              <w:t xml:space="preserve"> o štátnej pomoci).</w:t>
            </w:r>
          </w:p>
        </w:tc>
      </w:tr>
      <w:tr w:rsidR="004D20B2" w:rsidRPr="00C35CA8" w14:paraId="1E66BAD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A9F5EE3" w14:textId="2CAD4C40" w:rsidR="004D20B2" w:rsidRPr="00C35CA8" w:rsidRDefault="004D20B2" w:rsidP="004D20B2">
            <w:pPr>
              <w:jc w:val="left"/>
              <w:rPr>
                <w:sz w:val="18"/>
                <w:szCs w:val="18"/>
              </w:rPr>
            </w:pPr>
            <w:r w:rsidRPr="009728D5">
              <w:rPr>
                <w:sz w:val="18"/>
                <w:szCs w:val="18"/>
              </w:rPr>
              <w:t>zákon o podpore v čase skrátenej práce</w:t>
            </w:r>
          </w:p>
        </w:tc>
        <w:tc>
          <w:tcPr>
            <w:tcW w:w="7229" w:type="dxa"/>
            <w:tcBorders>
              <w:top w:val="single" w:sz="4" w:space="0" w:color="auto"/>
              <w:left w:val="single" w:sz="4" w:space="0" w:color="auto"/>
              <w:bottom w:val="single" w:sz="4" w:space="0" w:color="auto"/>
              <w:right w:val="single" w:sz="4" w:space="0" w:color="auto"/>
            </w:tcBorders>
            <w:noWrap/>
            <w:vAlign w:val="center"/>
          </w:tcPr>
          <w:p w14:paraId="6F07EEF2" w14:textId="40E864BD" w:rsidR="004D20B2" w:rsidRPr="00C35CA8" w:rsidRDefault="004D20B2" w:rsidP="004D20B2">
            <w:pPr>
              <w:jc w:val="left"/>
              <w:rPr>
                <w:sz w:val="18"/>
                <w:szCs w:val="18"/>
              </w:rPr>
            </w:pPr>
            <w:r>
              <w:rPr>
                <w:sz w:val="18"/>
                <w:szCs w:val="18"/>
              </w:rPr>
              <w:t>z</w:t>
            </w:r>
            <w:r w:rsidRPr="009728D5">
              <w:rPr>
                <w:sz w:val="18"/>
                <w:szCs w:val="18"/>
              </w:rPr>
              <w:t>ákon č. 215/2021 Z. z. o podpore v čase skrátenej práce a o zmene a doplnení niektorých zákonov v znení neskorších predpisov.</w:t>
            </w:r>
          </w:p>
        </w:tc>
      </w:tr>
      <w:tr w:rsidR="004D20B2" w:rsidRPr="00C35CA8" w14:paraId="532FDD8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96A5B10" w14:textId="77777777" w:rsidR="004D20B2" w:rsidRPr="00C35CA8" w:rsidRDefault="004D20B2" w:rsidP="004D20B2">
            <w:pPr>
              <w:jc w:val="left"/>
              <w:rPr>
                <w:sz w:val="18"/>
                <w:szCs w:val="18"/>
              </w:rPr>
            </w:pPr>
            <w:r w:rsidRPr="00C35CA8">
              <w:rPr>
                <w:sz w:val="18"/>
                <w:szCs w:val="18"/>
              </w:rPr>
              <w:t>ZAZ</w:t>
            </w:r>
          </w:p>
        </w:tc>
        <w:tc>
          <w:tcPr>
            <w:tcW w:w="7229" w:type="dxa"/>
            <w:tcBorders>
              <w:top w:val="single" w:sz="4" w:space="0" w:color="auto"/>
              <w:left w:val="single" w:sz="4" w:space="0" w:color="auto"/>
              <w:bottom w:val="single" w:sz="4" w:space="0" w:color="auto"/>
              <w:right w:val="single" w:sz="4" w:space="0" w:color="auto"/>
            </w:tcBorders>
            <w:noWrap/>
            <w:vAlign w:val="center"/>
          </w:tcPr>
          <w:p w14:paraId="60345864" w14:textId="77777777" w:rsidR="004D20B2" w:rsidRPr="00C35CA8" w:rsidRDefault="004D20B2" w:rsidP="004D20B2">
            <w:pPr>
              <w:jc w:val="left"/>
              <w:rPr>
                <w:sz w:val="18"/>
                <w:szCs w:val="18"/>
              </w:rPr>
            </w:pPr>
            <w:r w:rsidRPr="00C35CA8">
              <w:rPr>
                <w:sz w:val="18"/>
                <w:szCs w:val="18"/>
              </w:rPr>
              <w:t>zvýšená aktivita k zamestnaniu</w:t>
            </w:r>
          </w:p>
        </w:tc>
      </w:tr>
      <w:tr w:rsidR="004D20B2" w:rsidRPr="00C35CA8" w14:paraId="64BB142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E525EC7" w14:textId="77777777" w:rsidR="004D20B2" w:rsidRPr="00C35CA8" w:rsidRDefault="004D20B2" w:rsidP="004D20B2">
            <w:pPr>
              <w:jc w:val="left"/>
              <w:rPr>
                <w:sz w:val="18"/>
                <w:szCs w:val="18"/>
              </w:rPr>
            </w:pPr>
            <w:r w:rsidRPr="00C35CA8">
              <w:rPr>
                <w:sz w:val="18"/>
                <w:szCs w:val="18"/>
              </w:rPr>
              <w:t>ZoZ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90AF738" w14:textId="77777777" w:rsidR="004D20B2" w:rsidRPr="00C35CA8" w:rsidRDefault="004D20B2" w:rsidP="004D20B2">
            <w:pPr>
              <w:jc w:val="left"/>
              <w:rPr>
                <w:sz w:val="18"/>
                <w:szCs w:val="18"/>
              </w:rPr>
            </w:pPr>
            <w:r w:rsidRPr="00C35CA8">
              <w:rPr>
                <w:sz w:val="18"/>
                <w:szCs w:val="18"/>
              </w:rPr>
              <w:t>záujemca o zamestnanie</w:t>
            </w:r>
          </w:p>
        </w:tc>
      </w:tr>
      <w:tr w:rsidR="004D20B2" w:rsidRPr="00C35CA8" w14:paraId="198E9A9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8012330" w14:textId="77777777" w:rsidR="004D20B2" w:rsidRPr="00C35CA8" w:rsidRDefault="004D20B2" w:rsidP="004D20B2">
            <w:pPr>
              <w:jc w:val="left"/>
              <w:rPr>
                <w:sz w:val="18"/>
                <w:szCs w:val="18"/>
              </w:rPr>
            </w:pPr>
            <w:r w:rsidRPr="00C35CA8">
              <w:rPr>
                <w:sz w:val="18"/>
                <w:szCs w:val="18"/>
              </w:rPr>
              <w:t>ZUoZ</w:t>
            </w:r>
          </w:p>
        </w:tc>
        <w:tc>
          <w:tcPr>
            <w:tcW w:w="7229" w:type="dxa"/>
            <w:tcBorders>
              <w:top w:val="single" w:sz="4" w:space="0" w:color="auto"/>
              <w:left w:val="single" w:sz="4" w:space="0" w:color="auto"/>
              <w:bottom w:val="single" w:sz="4" w:space="0" w:color="auto"/>
              <w:right w:val="single" w:sz="4" w:space="0" w:color="auto"/>
            </w:tcBorders>
            <w:noWrap/>
            <w:vAlign w:val="center"/>
          </w:tcPr>
          <w:p w14:paraId="5EAFCE6A" w14:textId="77777777" w:rsidR="004D20B2" w:rsidRPr="00C35CA8" w:rsidRDefault="004D20B2" w:rsidP="004D20B2">
            <w:pPr>
              <w:jc w:val="left"/>
              <w:rPr>
                <w:sz w:val="18"/>
                <w:szCs w:val="18"/>
              </w:rPr>
            </w:pPr>
            <w:r w:rsidRPr="00C35CA8">
              <w:rPr>
                <w:sz w:val="18"/>
                <w:szCs w:val="18"/>
              </w:rPr>
              <w:t>znevýhodnený uchádzač o zamestnanie</w:t>
            </w:r>
          </w:p>
        </w:tc>
      </w:tr>
      <w:tr w:rsidR="004D20B2" w:rsidRPr="00C35CA8" w14:paraId="6E7115A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CD63C8" w14:textId="77777777" w:rsidR="004D20B2" w:rsidRPr="00C35CA8" w:rsidRDefault="004D20B2" w:rsidP="004D20B2">
            <w:pPr>
              <w:jc w:val="left"/>
              <w:rPr>
                <w:sz w:val="18"/>
                <w:szCs w:val="18"/>
              </w:rPr>
            </w:pPr>
            <w:r w:rsidRPr="00C35CA8">
              <w:rPr>
                <w:sz w:val="18"/>
                <w:szCs w:val="18"/>
              </w:rPr>
              <w:t>ZP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879A9B9" w14:textId="77777777" w:rsidR="004D20B2" w:rsidRPr="00C35CA8" w:rsidRDefault="004D20B2" w:rsidP="004D20B2">
            <w:pPr>
              <w:jc w:val="left"/>
              <w:rPr>
                <w:sz w:val="18"/>
                <w:szCs w:val="18"/>
              </w:rPr>
            </w:pPr>
            <w:r w:rsidRPr="00C35CA8">
              <w:rPr>
                <w:sz w:val="18"/>
                <w:szCs w:val="18"/>
              </w:rPr>
              <w:t>zdravotné postihnutie</w:t>
            </w:r>
          </w:p>
        </w:tc>
      </w:tr>
      <w:tr w:rsidR="004D20B2" w:rsidRPr="00C35CA8" w14:paraId="355EE79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358231A" w14:textId="77777777" w:rsidR="004D20B2" w:rsidRPr="00C35CA8" w:rsidRDefault="004D20B2" w:rsidP="004D20B2">
            <w:pPr>
              <w:jc w:val="left"/>
              <w:rPr>
                <w:sz w:val="18"/>
                <w:szCs w:val="18"/>
              </w:rPr>
            </w:pPr>
            <w:r w:rsidRPr="00C35CA8">
              <w:rPr>
                <w:sz w:val="18"/>
                <w:szCs w:val="18"/>
              </w:rPr>
              <w:t>ZŠ</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7474CEC" w14:textId="77777777" w:rsidR="004D20B2" w:rsidRPr="00C35CA8" w:rsidRDefault="004D20B2" w:rsidP="004D20B2">
            <w:pPr>
              <w:jc w:val="left"/>
              <w:rPr>
                <w:sz w:val="18"/>
                <w:szCs w:val="18"/>
              </w:rPr>
            </w:pPr>
            <w:r w:rsidRPr="00C35CA8">
              <w:rPr>
                <w:sz w:val="18"/>
                <w:szCs w:val="18"/>
              </w:rPr>
              <w:t>základná škola</w:t>
            </w:r>
          </w:p>
        </w:tc>
      </w:tr>
      <w:bookmarkEnd w:id="1"/>
    </w:tbl>
    <w:p w14:paraId="14E6FD8C" w14:textId="77777777" w:rsidR="00013CB3" w:rsidRPr="00C35CA8" w:rsidRDefault="00013CB3" w:rsidP="00AA7E7B">
      <w:pPr>
        <w:ind w:firstLine="0"/>
        <w:jc w:val="left"/>
        <w:rPr>
          <w:sz w:val="18"/>
          <w:szCs w:val="18"/>
        </w:rPr>
      </w:pPr>
    </w:p>
    <w:p w14:paraId="7C99A318" w14:textId="77777777" w:rsidR="00607F78" w:rsidRPr="00C35CA8" w:rsidRDefault="00607F78" w:rsidP="00AA7E7B">
      <w:pPr>
        <w:ind w:firstLine="0"/>
        <w:jc w:val="left"/>
        <w:rPr>
          <w:sz w:val="18"/>
          <w:szCs w:val="18"/>
        </w:rPr>
      </w:pPr>
    </w:p>
    <w:p w14:paraId="2D12DB9D" w14:textId="77777777" w:rsidR="00607F78" w:rsidRPr="00C35CA8" w:rsidRDefault="00607F78" w:rsidP="00AA7E7B">
      <w:pPr>
        <w:ind w:firstLine="0"/>
        <w:jc w:val="left"/>
        <w:rPr>
          <w:sz w:val="18"/>
          <w:szCs w:val="18"/>
        </w:rPr>
      </w:pPr>
    </w:p>
    <w:p w14:paraId="477FCE4E" w14:textId="77777777" w:rsidR="00607F78" w:rsidRPr="00C35CA8" w:rsidRDefault="00607F78" w:rsidP="00AA7E7B">
      <w:pPr>
        <w:ind w:firstLine="0"/>
        <w:jc w:val="left"/>
        <w:rPr>
          <w:sz w:val="18"/>
          <w:szCs w:val="18"/>
        </w:rPr>
      </w:pPr>
    </w:p>
    <w:p w14:paraId="0D1A6FFD" w14:textId="77777777" w:rsidR="00607F78" w:rsidRPr="00C35CA8" w:rsidRDefault="00607F78" w:rsidP="00AA7E7B">
      <w:pPr>
        <w:ind w:firstLine="0"/>
        <w:jc w:val="left"/>
        <w:rPr>
          <w:sz w:val="18"/>
          <w:szCs w:val="18"/>
        </w:rPr>
      </w:pPr>
    </w:p>
    <w:p w14:paraId="4A46F4BB" w14:textId="163CF290" w:rsidR="00607F78" w:rsidRDefault="00607F78" w:rsidP="00AA7E7B">
      <w:pPr>
        <w:ind w:firstLine="0"/>
        <w:jc w:val="left"/>
        <w:rPr>
          <w:sz w:val="18"/>
          <w:szCs w:val="18"/>
        </w:rPr>
      </w:pPr>
    </w:p>
    <w:p w14:paraId="3B32438C" w14:textId="449AB49C" w:rsidR="002C0596" w:rsidRDefault="002C0596" w:rsidP="00AA7E7B">
      <w:pPr>
        <w:ind w:firstLine="0"/>
        <w:jc w:val="left"/>
        <w:rPr>
          <w:sz w:val="18"/>
          <w:szCs w:val="18"/>
        </w:rPr>
      </w:pPr>
    </w:p>
    <w:p w14:paraId="7E0F901F" w14:textId="668195B7" w:rsidR="00415C24" w:rsidRDefault="00415C24" w:rsidP="00AA7E7B">
      <w:pPr>
        <w:ind w:firstLine="0"/>
        <w:jc w:val="left"/>
        <w:rPr>
          <w:sz w:val="18"/>
          <w:szCs w:val="18"/>
        </w:rPr>
      </w:pPr>
    </w:p>
    <w:p w14:paraId="1459739C" w14:textId="1C310170" w:rsidR="00415C24" w:rsidRDefault="00415C24" w:rsidP="00AA7E7B">
      <w:pPr>
        <w:ind w:firstLine="0"/>
        <w:jc w:val="left"/>
        <w:rPr>
          <w:sz w:val="18"/>
          <w:szCs w:val="18"/>
        </w:rPr>
      </w:pPr>
    </w:p>
    <w:p w14:paraId="1F10D9EA" w14:textId="77777777" w:rsidR="00415C24" w:rsidRDefault="00415C24" w:rsidP="00AA7E7B">
      <w:pPr>
        <w:ind w:firstLine="0"/>
        <w:jc w:val="left"/>
        <w:rPr>
          <w:sz w:val="18"/>
          <w:szCs w:val="18"/>
        </w:rPr>
      </w:pPr>
    </w:p>
    <w:p w14:paraId="3C2F489F" w14:textId="77777777" w:rsidR="002C0596" w:rsidRPr="00C35CA8" w:rsidRDefault="002C0596" w:rsidP="00AA7E7B">
      <w:pPr>
        <w:ind w:firstLine="0"/>
        <w:jc w:val="left"/>
        <w:rPr>
          <w:sz w:val="18"/>
          <w:szCs w:val="18"/>
        </w:rPr>
      </w:pPr>
    </w:p>
    <w:p w14:paraId="033454AB" w14:textId="3F02DCF0" w:rsidR="00CD13E6" w:rsidRDefault="00CD13E6" w:rsidP="0062585F">
      <w:pPr>
        <w:pStyle w:val="Nadpis1"/>
        <w:ind w:left="567" w:hanging="567"/>
      </w:pPr>
      <w:bookmarkStart w:id="4" w:name="_Toc199230805"/>
      <w:r w:rsidRPr="0062585F">
        <w:lastRenderedPageBreak/>
        <w:t>Slovenská ekonomika v roku 2024</w:t>
      </w:r>
      <w:bookmarkEnd w:id="4"/>
    </w:p>
    <w:p w14:paraId="683FF819" w14:textId="4002CDA3" w:rsidR="00256431" w:rsidRDefault="00256431" w:rsidP="00256431">
      <w:pPr>
        <w:spacing w:before="120" w:after="120"/>
        <w:ind w:hanging="6"/>
      </w:pPr>
      <w:r>
        <w:t xml:space="preserve">Slovenská ekonomika sa počas roka 2024 udržala v solídnom raste. Hrubý domáci produkt (HDP) Slovenska stúpol v roku 2024 podľa predbežných dát o 2,1 %. Rok predtým rast ekonomiky dosiahol 1,6 %. Rast HDP podporil najmä domáci dopyt, a to konečná spotreba domácností a verejnej správy. Naopak, výkon ekonomiky pribrzdil pokles investičnej činnosti. Ministerstvo financií SR predpokladá, </w:t>
      </w:r>
      <w:r w:rsidR="00CB08C4">
        <w:t>že rast ekonomiky v tomto roku 2025</w:t>
      </w:r>
      <w:r>
        <w:t xml:space="preserve"> mierne oslabí na 1,9 % v dôsledku narastajúcej neistoty ohľadom vývoja globálnej ekonomiky a stagnácie nemeckej ekonomiky. Na strane druhej,  ekonomiku by mali podporiť o</w:t>
      </w:r>
      <w:r w:rsidR="00CB08C4">
        <w:t xml:space="preserve">čakávané investície </w:t>
      </w:r>
      <w:r>
        <w:t xml:space="preserve">z Plánu obnovy a odolnosti SR. Reálne príjmy stúpnu, avšak domácnosti ich budú míňať opatrnejšie a spotrebu bude navyše tlmiť aj konsolidácia verejných financií. </w:t>
      </w:r>
    </w:p>
    <w:p w14:paraId="177ED945" w14:textId="77777777" w:rsidR="00667558" w:rsidRDefault="00667558" w:rsidP="00256431">
      <w:pPr>
        <w:spacing w:before="120" w:after="0"/>
        <w:ind w:hanging="6"/>
      </w:pPr>
      <w:r>
        <w:rPr>
          <w:noProof/>
        </w:rPr>
        <w:drawing>
          <wp:inline distT="0" distB="0" distL="0" distR="0" wp14:anchorId="5FF5A6DF" wp14:editId="7A1039A8">
            <wp:extent cx="5850890" cy="4390390"/>
            <wp:effectExtent l="0" t="0" r="635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4390390"/>
                    </a:xfrm>
                    <a:prstGeom prst="rect">
                      <a:avLst/>
                    </a:prstGeom>
                  </pic:spPr>
                </pic:pic>
              </a:graphicData>
            </a:graphic>
          </wp:inline>
        </w:drawing>
      </w:r>
      <w:r>
        <w:t xml:space="preserve"> </w:t>
      </w:r>
    </w:p>
    <w:p w14:paraId="791DCA18" w14:textId="5C49D50A" w:rsidR="00256431" w:rsidRDefault="00256431" w:rsidP="00256431">
      <w:pPr>
        <w:spacing w:before="120" w:after="0"/>
        <w:ind w:hanging="6"/>
      </w:pPr>
      <w:r>
        <w:t>Trh práce by mal naďalej zostať stabilný a miera nezamestnanosti by mala klesnúť na nové minimum (5,2 %). Nižšie čerpanie zdrojov EÚ môže viesť k nižšej tvorbe kapitálu. Navyše, pribúdajú signály rastúceho protekcionizmu vo svetovom obchode. Zavedenie ciel medzi USA a na druhej strane EÚ a Čínou môže v krajnom prípade znížiť slovenský HDP o 0,5 % ročne.</w:t>
      </w:r>
    </w:p>
    <w:p w14:paraId="06DEF3F5" w14:textId="681B0FF8" w:rsidR="00256431" w:rsidRDefault="00256431" w:rsidP="00256431">
      <w:pPr>
        <w:spacing w:before="120" w:after="0"/>
        <w:ind w:hanging="6"/>
      </w:pPr>
      <w:r>
        <w:t xml:space="preserve">Priemysel zostáva pod tlakom, prepadol do pásma recesie, v ktorom sa nachádza už 32 mesiacov. To sa odráža aj na stagnácií industriálne orientovaných ekonomík partnerov Slovenska. Nemecko aj celá </w:t>
      </w:r>
      <w:r w:rsidR="009418BA">
        <w:t>eur</w:t>
      </w:r>
      <w:r>
        <w:t xml:space="preserve">ozóna čelia masívnemu poklesu objednávok, porovnateľnému s predchádzajúcimi krízami. PMI New Export Orders signalizuje recesiu 34 mesiacov v rade, čo je rekord. Vyhliadky zhoršuje predpoklad obchodných vojen. Najhoršie je na tom výroba áut a strojov. Autám sa               v </w:t>
      </w:r>
      <w:r w:rsidR="009418BA">
        <w:t>Eur</w:t>
      </w:r>
      <w:r>
        <w:t xml:space="preserve">ópe nedarí, problémom čelí pre nás nosný automobilový priemysel. Západné automobilky strácajú trhové podiely v Ázii. VW plánuje zatvárať niektoré závody a prepúšťať zamestnancov v Nemecku. Registrácie áut v posledných dvoch rokoch sú približne o 17 % nižšie ako bol priemer medzi rokmi 2000 až 2019. Slabý výkon Nemecka vplyvom štrukturálnych problémov znižuje výhľad celej </w:t>
      </w:r>
      <w:r w:rsidR="009418BA">
        <w:t>eur</w:t>
      </w:r>
      <w:r>
        <w:t>ozóny.</w:t>
      </w:r>
    </w:p>
    <w:p w14:paraId="03B9ACD7" w14:textId="77777777" w:rsidR="00667558" w:rsidRDefault="00667558" w:rsidP="00256431">
      <w:pPr>
        <w:spacing w:before="120" w:after="0"/>
        <w:ind w:hanging="6"/>
      </w:pPr>
    </w:p>
    <w:p w14:paraId="3241AD96" w14:textId="4AB1027F" w:rsidR="00256431" w:rsidRDefault="00256431" w:rsidP="00256431">
      <w:pPr>
        <w:spacing w:before="120" w:after="0"/>
        <w:ind w:hanging="6"/>
      </w:pPr>
      <w:r>
        <w:lastRenderedPageBreak/>
        <w:t>K oživeniu ekonomiky SR na konci roka 2024 pravdepodobne prispel nábeh novej výroby               v Stellantise po úprave výrobných liniek. Predzásobenie pre vyššiu očakávanú DPH od 1. 1. 2025 zrýchlilo spotrebu domácností – výrazne rástli nákupy áut, stavebníctvo potiahla výstavba budov. V 1. Q. 2025 sa očakáva korekcia silného záveru roka 2024.</w:t>
      </w:r>
    </w:p>
    <w:p w14:paraId="02A08029" w14:textId="1CAD1415" w:rsidR="00256431" w:rsidRDefault="00256431" w:rsidP="00256431">
      <w:pPr>
        <w:spacing w:before="120" w:after="0"/>
        <w:ind w:hanging="6"/>
      </w:pPr>
      <w:r>
        <w:t>Inflácia za rok 2024 dosiahla najradikálnejšie medziročné spomalenie. Priemerná hodnota inflácie v súhrne za rok 2024 dosiahla 2,8 %. 15. januára 2025 to oznámil Štatistický úrad s tým, že po dvoch rokoch extrémne vysokých dvojciferných hodnôt sa inflácia dostala pod 3 %. Rast spotrebiteľských cien počas roka 2024 ovplyvnili najmä potraviny, ale ich zdražovanie neprekročilo 3 %, kým v roku 2023 to bolo až vyše 17 %. Ceny bývania a energií vzrástli len veľmi nepatrne, o 0,5 %, a pozitívne sa podpísali pod zníženie inflácie. V predchádzajúcom roku 2023 zaznamenali ešte rast o vyše 9 %. Zdražovanie počas roka 2024 sa dotýkalo najmä rôznych služieb napr. stravovacích či dopravných, ako aj alkoholických nápojov s tabakom.</w:t>
      </w:r>
    </w:p>
    <w:p w14:paraId="019E37E1" w14:textId="51098FE3" w:rsidR="00F34031" w:rsidRDefault="00F34031" w:rsidP="00A87B3D">
      <w:pPr>
        <w:tabs>
          <w:tab w:val="right" w:leader="dot" w:pos="8931"/>
        </w:tabs>
        <w:spacing w:before="120" w:after="120"/>
        <w:ind w:firstLine="0"/>
        <w:jc w:val="center"/>
      </w:pPr>
      <w:r>
        <w:rPr>
          <w:noProof/>
        </w:rPr>
        <w:drawing>
          <wp:inline distT="0" distB="0" distL="0" distR="0" wp14:anchorId="009FFEE3" wp14:editId="0E12EBDF">
            <wp:extent cx="3261719" cy="2257012"/>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1719" cy="2257012"/>
                    </a:xfrm>
                    <a:prstGeom prst="rect">
                      <a:avLst/>
                    </a:prstGeom>
                  </pic:spPr>
                </pic:pic>
              </a:graphicData>
            </a:graphic>
          </wp:inline>
        </w:drawing>
      </w:r>
    </w:p>
    <w:p w14:paraId="6A62BCCE" w14:textId="69DA6FCC" w:rsidR="005C7E4F" w:rsidRPr="00360774" w:rsidRDefault="00360774" w:rsidP="00360774">
      <w:pPr>
        <w:tabs>
          <w:tab w:val="right" w:leader="dot" w:pos="8931"/>
        </w:tabs>
        <w:spacing w:before="120" w:after="120"/>
        <w:ind w:firstLine="0"/>
        <w:jc w:val="right"/>
        <w:rPr>
          <w:i/>
          <w:sz w:val="20"/>
          <w:szCs w:val="20"/>
        </w:rPr>
      </w:pPr>
      <w:r>
        <w:rPr>
          <w:i/>
          <w:sz w:val="20"/>
          <w:szCs w:val="20"/>
        </w:rPr>
        <w:t xml:space="preserve">                             </w:t>
      </w:r>
      <w:r w:rsidR="005C7E4F" w:rsidRPr="00360774">
        <w:rPr>
          <w:i/>
          <w:sz w:val="20"/>
          <w:szCs w:val="20"/>
        </w:rPr>
        <w:t>Zdroj: Štatistický úrad</w:t>
      </w:r>
      <w:r>
        <w:rPr>
          <w:i/>
          <w:sz w:val="20"/>
          <w:szCs w:val="20"/>
        </w:rPr>
        <w:t xml:space="preserve"> /</w:t>
      </w:r>
      <w:r w:rsidR="005C7E4F" w:rsidRPr="00360774">
        <w:rPr>
          <w:i/>
          <w:sz w:val="20"/>
          <w:szCs w:val="20"/>
        </w:rPr>
        <w:t xml:space="preserve"> Finančný Kompas.sk</w:t>
      </w:r>
    </w:p>
    <w:p w14:paraId="4795EA4B" w14:textId="77B09BD6" w:rsidR="00F34031" w:rsidRDefault="00F34031" w:rsidP="00F34031">
      <w:pPr>
        <w:tabs>
          <w:tab w:val="right" w:leader="dot" w:pos="8931"/>
        </w:tabs>
        <w:spacing w:before="120" w:after="120"/>
        <w:ind w:firstLine="0"/>
      </w:pPr>
      <w:r>
        <w:t>Zamestnanosť</w:t>
      </w:r>
      <w:r w:rsidR="00F4582C">
        <w:t>,</w:t>
      </w:r>
      <w:r>
        <w:t xml:space="preserve"> v súlade  s očakávaním </w:t>
      </w:r>
      <w:r w:rsidR="008E3691">
        <w:t>v roku 2024</w:t>
      </w:r>
      <w:r w:rsidR="00F4582C">
        <w:t>,</w:t>
      </w:r>
      <w:r w:rsidR="008E3691">
        <w:t xml:space="preserve"> </w:t>
      </w:r>
      <w:r>
        <w:t xml:space="preserve">stagnovala. Pokles zamestnanosti sa podľa očakávaní zastavil, prepad v priemysle </w:t>
      </w:r>
      <w:r w:rsidR="00F4582C">
        <w:t>však pokračoval. Naďalej klesá kategória „</w:t>
      </w:r>
      <w:r>
        <w:t>zamestnanci</w:t>
      </w:r>
      <w:r w:rsidR="00F4582C">
        <w:t>“</w:t>
      </w:r>
      <w:r>
        <w:t xml:space="preserve">, </w:t>
      </w:r>
      <w:r w:rsidR="008E3691">
        <w:t xml:space="preserve">ako </w:t>
      </w:r>
      <w:r>
        <w:t>menej daňovo</w:t>
      </w:r>
      <w:r w:rsidR="00984249">
        <w:t xml:space="preserve"> prínosní</w:t>
      </w:r>
      <w:r w:rsidR="008E3691">
        <w:t xml:space="preserve">, naopak, stúpajú </w:t>
      </w:r>
      <w:r w:rsidR="00F4582C">
        <w:t>samostatne zárobkovo činné osoby (</w:t>
      </w:r>
      <w:r w:rsidR="008E3691">
        <w:t>SZČO</w:t>
      </w:r>
      <w:r w:rsidR="00F4582C">
        <w:t>)</w:t>
      </w:r>
      <w:r>
        <w:t>.</w:t>
      </w:r>
    </w:p>
    <w:p w14:paraId="4A3F0C30" w14:textId="6CFEDC45" w:rsidR="00F34031" w:rsidRDefault="00F34031" w:rsidP="00A87B3D">
      <w:pPr>
        <w:tabs>
          <w:tab w:val="right" w:leader="dot" w:pos="8931"/>
        </w:tabs>
        <w:spacing w:before="120" w:after="120"/>
        <w:ind w:firstLine="0"/>
        <w:jc w:val="center"/>
      </w:pPr>
      <w:r>
        <w:rPr>
          <w:noProof/>
        </w:rPr>
        <w:drawing>
          <wp:inline distT="0" distB="0" distL="0" distR="0" wp14:anchorId="085529CC" wp14:editId="5695BB83">
            <wp:extent cx="3165989" cy="2202511"/>
            <wp:effectExtent l="0" t="0" r="0" b="762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5989" cy="2202511"/>
                    </a:xfrm>
                    <a:prstGeom prst="rect">
                      <a:avLst/>
                    </a:prstGeom>
                  </pic:spPr>
                </pic:pic>
              </a:graphicData>
            </a:graphic>
          </wp:inline>
        </w:drawing>
      </w:r>
    </w:p>
    <w:p w14:paraId="2A727573" w14:textId="0BC29114" w:rsidR="005C7E4F" w:rsidRPr="00360774" w:rsidRDefault="005C7E4F" w:rsidP="005C7E4F">
      <w:pPr>
        <w:tabs>
          <w:tab w:val="right" w:leader="dot" w:pos="8931"/>
        </w:tabs>
        <w:spacing w:before="120" w:after="120"/>
        <w:ind w:firstLine="0"/>
        <w:jc w:val="right"/>
        <w:rPr>
          <w:i/>
          <w:sz w:val="20"/>
          <w:szCs w:val="20"/>
        </w:rPr>
      </w:pPr>
      <w:r w:rsidRPr="00360774">
        <w:rPr>
          <w:i/>
          <w:sz w:val="20"/>
          <w:szCs w:val="20"/>
        </w:rPr>
        <w:t xml:space="preserve">Zdroj: Štatistický úrad </w:t>
      </w:r>
      <w:r w:rsidR="005332D9">
        <w:rPr>
          <w:i/>
          <w:sz w:val="20"/>
          <w:szCs w:val="20"/>
        </w:rPr>
        <w:t>/</w:t>
      </w:r>
      <w:r w:rsidRPr="00360774">
        <w:rPr>
          <w:i/>
          <w:sz w:val="20"/>
          <w:szCs w:val="20"/>
        </w:rPr>
        <w:t xml:space="preserve"> Finančný Kompas.sk</w:t>
      </w:r>
    </w:p>
    <w:p w14:paraId="5A3238B1" w14:textId="2B6CFC94" w:rsidR="00F34031" w:rsidRDefault="00F34031" w:rsidP="00F34031">
      <w:pPr>
        <w:tabs>
          <w:tab w:val="right" w:leader="dot" w:pos="8931"/>
        </w:tabs>
        <w:spacing w:before="120" w:after="120"/>
        <w:ind w:firstLine="0"/>
      </w:pPr>
      <w:r>
        <w:t>Trh práce zrýchli</w:t>
      </w:r>
      <w:r w:rsidR="00984249">
        <w:t>l</w:t>
      </w:r>
      <w:r>
        <w:t xml:space="preserve"> s poklesom odchodov do predčasného </w:t>
      </w:r>
      <w:r w:rsidR="00F4582C" w:rsidRPr="00F4582C">
        <w:t>starobného dôchodku (PSD</w:t>
      </w:r>
      <w:r w:rsidR="00F4582C">
        <w:t>)</w:t>
      </w:r>
      <w:r>
        <w:t xml:space="preserve">. Miera participácie na trhu práce je stále na maxime, poklesla však u aktívnych </w:t>
      </w:r>
      <w:r w:rsidR="00F4582C">
        <w:t xml:space="preserve">osôb </w:t>
      </w:r>
      <w:r>
        <w:t>nad 60 rokov pre odchody</w:t>
      </w:r>
      <w:r w:rsidR="007F427B">
        <w:t xml:space="preserve"> </w:t>
      </w:r>
      <w:r>
        <w:t>do</w:t>
      </w:r>
      <w:r w:rsidR="00F4582C">
        <w:t xml:space="preserve"> </w:t>
      </w:r>
      <w:r>
        <w:t>PSD</w:t>
      </w:r>
      <w:r w:rsidR="007F427B">
        <w:t xml:space="preserve">. </w:t>
      </w:r>
      <w:r w:rsidR="00F4582C">
        <w:t>Ďalšia vlna</w:t>
      </w:r>
      <w:r>
        <w:t xml:space="preserve"> odchodov do PSD </w:t>
      </w:r>
      <w:r w:rsidR="00984249">
        <w:t xml:space="preserve">sa očakáva </w:t>
      </w:r>
      <w:r>
        <w:t>1</w:t>
      </w:r>
      <w:r w:rsidR="007F427B">
        <w:t>.</w:t>
      </w:r>
      <w:r w:rsidR="00984249">
        <w:t xml:space="preserve"> </w:t>
      </w:r>
      <w:r>
        <w:t>Q</w:t>
      </w:r>
      <w:r w:rsidR="00984249">
        <w:t>.</w:t>
      </w:r>
      <w:r w:rsidR="007F427B">
        <w:t xml:space="preserve"> </w:t>
      </w:r>
      <w:r>
        <w:t>2025, bude však výrazne nižšia než v</w:t>
      </w:r>
      <w:r w:rsidR="007F427B">
        <w:t> </w:t>
      </w:r>
      <w:r>
        <w:t>roku</w:t>
      </w:r>
      <w:r w:rsidR="007F427B">
        <w:t xml:space="preserve"> 2024.</w:t>
      </w:r>
    </w:p>
    <w:p w14:paraId="11662EA3" w14:textId="5433E8CA" w:rsidR="008E3691" w:rsidRDefault="008E3691" w:rsidP="00A87B3D">
      <w:pPr>
        <w:tabs>
          <w:tab w:val="right" w:leader="dot" w:pos="8931"/>
        </w:tabs>
        <w:spacing w:before="120" w:after="120"/>
        <w:ind w:firstLine="0"/>
        <w:jc w:val="center"/>
      </w:pPr>
      <w:r>
        <w:rPr>
          <w:noProof/>
        </w:rPr>
        <w:lastRenderedPageBreak/>
        <w:drawing>
          <wp:inline distT="0" distB="0" distL="0" distR="0" wp14:anchorId="66767D06" wp14:editId="56C0C2F9">
            <wp:extent cx="3167588" cy="2297927"/>
            <wp:effectExtent l="0" t="0" r="635" b="952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7588" cy="2297927"/>
                    </a:xfrm>
                    <a:prstGeom prst="rect">
                      <a:avLst/>
                    </a:prstGeom>
                  </pic:spPr>
                </pic:pic>
              </a:graphicData>
            </a:graphic>
          </wp:inline>
        </w:drawing>
      </w:r>
    </w:p>
    <w:p w14:paraId="73CC3223" w14:textId="2857C1BE" w:rsidR="005C7E4F" w:rsidRPr="00360774" w:rsidRDefault="005C7E4F" w:rsidP="005C7E4F">
      <w:pPr>
        <w:tabs>
          <w:tab w:val="right" w:leader="dot" w:pos="8931"/>
        </w:tabs>
        <w:spacing w:before="120" w:after="120"/>
        <w:ind w:firstLine="0"/>
        <w:jc w:val="right"/>
        <w:rPr>
          <w:i/>
          <w:sz w:val="20"/>
          <w:szCs w:val="20"/>
        </w:rPr>
      </w:pPr>
      <w:r w:rsidRPr="00360774">
        <w:rPr>
          <w:i/>
          <w:sz w:val="20"/>
          <w:szCs w:val="20"/>
        </w:rPr>
        <w:t xml:space="preserve">Zdroj: Štatistický úrad </w:t>
      </w:r>
      <w:r w:rsidR="005332D9">
        <w:rPr>
          <w:i/>
          <w:sz w:val="20"/>
          <w:szCs w:val="20"/>
        </w:rPr>
        <w:t>/</w:t>
      </w:r>
      <w:r w:rsidRPr="00360774">
        <w:rPr>
          <w:i/>
          <w:sz w:val="20"/>
          <w:szCs w:val="20"/>
        </w:rPr>
        <w:t xml:space="preserve"> Finančný Kompas.sk</w:t>
      </w:r>
    </w:p>
    <w:p w14:paraId="5B9876EF" w14:textId="5402732C" w:rsidR="00F34031" w:rsidRDefault="007F427B" w:rsidP="007F427B">
      <w:pPr>
        <w:tabs>
          <w:tab w:val="right" w:leader="dot" w:pos="8931"/>
        </w:tabs>
        <w:spacing w:before="120" w:after="120"/>
        <w:ind w:firstLine="0"/>
      </w:pPr>
      <w:r>
        <w:t xml:space="preserve">Výpadok predčasných dôchodcov tlmia cudzinci. Nižšie dynamiky odrážajú zmeny v domácom a zahraničnom dopyte. Návrat odchodov do PSD na „normálne“ úrovne spolu s  kulmináciou čerpania zdrojov z </w:t>
      </w:r>
      <w:r w:rsidR="00FF2727" w:rsidRPr="00FF2727">
        <w:t>Plánu obnovy a</w:t>
      </w:r>
      <w:r w:rsidR="00C25B92">
        <w:t> </w:t>
      </w:r>
      <w:r w:rsidR="00FF2727" w:rsidRPr="00FF2727">
        <w:t>odolnosti</w:t>
      </w:r>
      <w:r w:rsidR="00C25B92">
        <w:t>,</w:t>
      </w:r>
      <w:r w:rsidR="00FF2727" w:rsidRPr="00FF2727">
        <w:t xml:space="preserve"> </w:t>
      </w:r>
      <w:r w:rsidR="00FF2727">
        <w:t xml:space="preserve"> ako i z </w:t>
      </w:r>
      <w:r w:rsidR="009418BA">
        <w:t>eur</w:t>
      </w:r>
      <w:r w:rsidR="00FF2727">
        <w:t>ópskych štrukturálnych fondov</w:t>
      </w:r>
      <w:r w:rsidR="00C25B92">
        <w:t>,</w:t>
      </w:r>
      <w:r w:rsidR="00FF2727">
        <w:t xml:space="preserve"> </w:t>
      </w:r>
      <w:r>
        <w:t>potiahne rast zamestnanosti v</w:t>
      </w:r>
      <w:r w:rsidR="00984249">
        <w:t> </w:t>
      </w:r>
      <w:r>
        <w:t>roku</w:t>
      </w:r>
      <w:r w:rsidR="00984249">
        <w:t xml:space="preserve"> 2025</w:t>
      </w:r>
      <w:r>
        <w:t xml:space="preserve">. V nasledovných rokoch </w:t>
      </w:r>
      <w:r w:rsidR="00984249">
        <w:t>bude</w:t>
      </w:r>
      <w:r>
        <w:t xml:space="preserve"> zamestnanosť</w:t>
      </w:r>
      <w:r w:rsidR="00984249">
        <w:t xml:space="preserve"> </w:t>
      </w:r>
      <w:r>
        <w:t>ťahaná predovšetkým n</w:t>
      </w:r>
      <w:r w:rsidR="008E3691">
        <w:t>árastom zamestnávania cudzincov,</w:t>
      </w:r>
      <w:r w:rsidR="00FF2727">
        <w:t xml:space="preserve"> keďže</w:t>
      </w:r>
      <w:r w:rsidR="008E3691" w:rsidRPr="008E3691">
        <w:t xml:space="preserve"> </w:t>
      </w:r>
      <w:r w:rsidR="008E3691">
        <w:t>pracovnú silu musíme dovážať.</w:t>
      </w:r>
    </w:p>
    <w:p w14:paraId="5680AA82" w14:textId="5AFAE937" w:rsidR="00F34031" w:rsidRDefault="008E3691" w:rsidP="00A87B3D">
      <w:pPr>
        <w:tabs>
          <w:tab w:val="right" w:leader="dot" w:pos="8931"/>
        </w:tabs>
        <w:spacing w:before="120" w:after="120"/>
        <w:ind w:firstLine="0"/>
        <w:jc w:val="center"/>
      </w:pPr>
      <w:r>
        <w:rPr>
          <w:noProof/>
        </w:rPr>
        <w:drawing>
          <wp:inline distT="0" distB="0" distL="0" distR="0" wp14:anchorId="66D1C835" wp14:editId="13AC2FFB">
            <wp:extent cx="3030488" cy="2244512"/>
            <wp:effectExtent l="0" t="0" r="0" b="381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1965" cy="2253013"/>
                    </a:xfrm>
                    <a:prstGeom prst="rect">
                      <a:avLst/>
                    </a:prstGeom>
                  </pic:spPr>
                </pic:pic>
              </a:graphicData>
            </a:graphic>
          </wp:inline>
        </w:drawing>
      </w:r>
    </w:p>
    <w:p w14:paraId="23BD7083" w14:textId="6EFC1CC6" w:rsidR="005C7E4F" w:rsidRPr="00360774" w:rsidRDefault="005C7E4F" w:rsidP="005C7E4F">
      <w:pPr>
        <w:tabs>
          <w:tab w:val="right" w:leader="dot" w:pos="8931"/>
        </w:tabs>
        <w:spacing w:before="120" w:after="120"/>
        <w:ind w:firstLine="0"/>
        <w:jc w:val="right"/>
        <w:rPr>
          <w:i/>
          <w:sz w:val="20"/>
          <w:szCs w:val="20"/>
        </w:rPr>
      </w:pPr>
      <w:r w:rsidRPr="00360774">
        <w:rPr>
          <w:i/>
          <w:sz w:val="20"/>
          <w:szCs w:val="20"/>
        </w:rPr>
        <w:t xml:space="preserve">Zdroj: Štatistický úrad </w:t>
      </w:r>
      <w:r w:rsidR="005332D9">
        <w:rPr>
          <w:i/>
          <w:sz w:val="20"/>
          <w:szCs w:val="20"/>
        </w:rPr>
        <w:t>/</w:t>
      </w:r>
      <w:r w:rsidRPr="00360774">
        <w:rPr>
          <w:i/>
          <w:sz w:val="20"/>
          <w:szCs w:val="20"/>
        </w:rPr>
        <w:t xml:space="preserve"> Finančný Kompas.sk</w:t>
      </w:r>
    </w:p>
    <w:p w14:paraId="654EDCD6" w14:textId="7E40AEA7" w:rsidR="00F34031" w:rsidRDefault="002558E9" w:rsidP="002558E9">
      <w:pPr>
        <w:tabs>
          <w:tab w:val="right" w:leader="dot" w:pos="8931"/>
        </w:tabs>
        <w:spacing w:before="120" w:after="120"/>
        <w:ind w:firstLine="0"/>
      </w:pPr>
      <w:r>
        <w:t>Výraznejšiemu poklesu nezamestnanosti bráni zlá štruktúra uchádzačov o</w:t>
      </w:r>
      <w:r w:rsidR="00984249">
        <w:t> </w:t>
      </w:r>
      <w:r>
        <w:t>zamestnanie</w:t>
      </w:r>
      <w:r w:rsidR="00984249">
        <w:t xml:space="preserve"> (UoZ)</w:t>
      </w:r>
      <w:r>
        <w:t>.</w:t>
      </w:r>
      <w:r w:rsidRPr="002558E9">
        <w:t xml:space="preserve"> </w:t>
      </w:r>
      <w:r>
        <w:t xml:space="preserve">Miera nezamestnanosti </w:t>
      </w:r>
      <w:r w:rsidR="00984249">
        <w:t>podľa výberových zisťovaní</w:t>
      </w:r>
      <w:r w:rsidR="008E3691">
        <w:t xml:space="preserve"> pracovných síl</w:t>
      </w:r>
      <w:r w:rsidR="00984249">
        <w:t xml:space="preserve"> </w:t>
      </w:r>
      <w:r w:rsidR="008E3691">
        <w:t>bude stagnovať.</w:t>
      </w:r>
    </w:p>
    <w:p w14:paraId="707EB2CB" w14:textId="6F90336C" w:rsidR="002558E9" w:rsidRDefault="002558E9" w:rsidP="00A87B3D">
      <w:pPr>
        <w:tabs>
          <w:tab w:val="right" w:leader="dot" w:pos="8931"/>
        </w:tabs>
        <w:spacing w:before="120" w:after="120"/>
        <w:ind w:firstLine="0"/>
        <w:jc w:val="center"/>
      </w:pPr>
      <w:r>
        <w:rPr>
          <w:noProof/>
        </w:rPr>
        <w:drawing>
          <wp:inline distT="0" distB="0" distL="0" distR="0" wp14:anchorId="0A119BD7" wp14:editId="0EC5E6B4">
            <wp:extent cx="3025885" cy="2305525"/>
            <wp:effectExtent l="0" t="0" r="3175"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796" cy="2316124"/>
                    </a:xfrm>
                    <a:prstGeom prst="rect">
                      <a:avLst/>
                    </a:prstGeom>
                  </pic:spPr>
                </pic:pic>
              </a:graphicData>
            </a:graphic>
          </wp:inline>
        </w:drawing>
      </w:r>
    </w:p>
    <w:p w14:paraId="5F341C03" w14:textId="518DF300" w:rsidR="005C7E4F" w:rsidRPr="00360774" w:rsidRDefault="005C7E4F" w:rsidP="005C7E4F">
      <w:pPr>
        <w:tabs>
          <w:tab w:val="right" w:leader="dot" w:pos="8931"/>
        </w:tabs>
        <w:spacing w:before="120" w:after="120"/>
        <w:ind w:firstLine="0"/>
        <w:jc w:val="right"/>
        <w:rPr>
          <w:i/>
          <w:sz w:val="20"/>
          <w:szCs w:val="20"/>
        </w:rPr>
      </w:pPr>
      <w:r w:rsidRPr="00360774">
        <w:rPr>
          <w:i/>
          <w:sz w:val="20"/>
          <w:szCs w:val="20"/>
        </w:rPr>
        <w:t xml:space="preserve">Zdroj: Štatistický úrad </w:t>
      </w:r>
      <w:r w:rsidR="005332D9">
        <w:rPr>
          <w:i/>
          <w:sz w:val="20"/>
          <w:szCs w:val="20"/>
        </w:rPr>
        <w:t>/</w:t>
      </w:r>
      <w:r w:rsidRPr="00360774">
        <w:rPr>
          <w:i/>
          <w:sz w:val="20"/>
          <w:szCs w:val="20"/>
        </w:rPr>
        <w:t xml:space="preserve"> Finančný Kompas.sk</w:t>
      </w:r>
    </w:p>
    <w:p w14:paraId="7472FA78" w14:textId="61E20620" w:rsidR="00F34031" w:rsidRDefault="002558E9" w:rsidP="002558E9">
      <w:pPr>
        <w:tabs>
          <w:tab w:val="right" w:leader="dot" w:pos="8931"/>
        </w:tabs>
        <w:spacing w:before="120" w:after="120"/>
        <w:ind w:firstLine="0"/>
      </w:pPr>
      <w:r>
        <w:lastRenderedPageBreak/>
        <w:t xml:space="preserve">Rast miezd spomaľuje s infláciou aj produktivitou. Rast priemernej mzdy </w:t>
      </w:r>
      <w:r w:rsidR="00FF2727">
        <w:t>v hospodárstve SR spomalil,</w:t>
      </w:r>
      <w:r>
        <w:t xml:space="preserve"> viac v 3. Q. 2024, než sa očakávalo. Mzdy spomalili naprieč všetkými sektormi, najviac však v nízko kvalifikovaných službách.</w:t>
      </w:r>
    </w:p>
    <w:p w14:paraId="3BCA9995" w14:textId="5C39E616" w:rsidR="00817605" w:rsidRDefault="005C7E4F" w:rsidP="005C7E4F">
      <w:pPr>
        <w:tabs>
          <w:tab w:val="right" w:leader="dot" w:pos="8931"/>
        </w:tabs>
        <w:spacing w:before="120" w:after="120"/>
        <w:ind w:firstLine="0"/>
        <w:jc w:val="center"/>
      </w:pPr>
      <w:r>
        <w:rPr>
          <w:noProof/>
        </w:rPr>
        <w:drawing>
          <wp:inline distT="0" distB="0" distL="0" distR="0" wp14:anchorId="197482C9" wp14:editId="613C09F6">
            <wp:extent cx="4482155" cy="2814761"/>
            <wp:effectExtent l="0" t="0" r="0" b="508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0982" cy="2845424"/>
                    </a:xfrm>
                    <a:prstGeom prst="rect">
                      <a:avLst/>
                    </a:prstGeom>
                    <a:noFill/>
                  </pic:spPr>
                </pic:pic>
              </a:graphicData>
            </a:graphic>
          </wp:inline>
        </w:drawing>
      </w:r>
    </w:p>
    <w:p w14:paraId="57EBE6E9" w14:textId="3EF23EF1" w:rsidR="00817605" w:rsidRPr="00360774" w:rsidRDefault="005C7E4F" w:rsidP="005C7E4F">
      <w:pPr>
        <w:tabs>
          <w:tab w:val="right" w:leader="dot" w:pos="8931"/>
        </w:tabs>
        <w:spacing w:before="120" w:after="120"/>
        <w:ind w:firstLine="0"/>
        <w:jc w:val="right"/>
        <w:rPr>
          <w:i/>
          <w:sz w:val="20"/>
          <w:szCs w:val="20"/>
        </w:rPr>
      </w:pPr>
      <w:r w:rsidRPr="00360774">
        <w:rPr>
          <w:i/>
          <w:sz w:val="20"/>
          <w:szCs w:val="20"/>
        </w:rPr>
        <w:t>Zdroj: Štatistický úr</w:t>
      </w:r>
      <w:r w:rsidR="005332D9">
        <w:rPr>
          <w:i/>
          <w:sz w:val="20"/>
          <w:szCs w:val="20"/>
        </w:rPr>
        <w:t>ad /</w:t>
      </w:r>
      <w:r w:rsidRPr="00360774">
        <w:rPr>
          <w:i/>
          <w:sz w:val="20"/>
          <w:szCs w:val="20"/>
        </w:rPr>
        <w:t xml:space="preserve"> Finančný Kompas.sk</w:t>
      </w:r>
    </w:p>
    <w:p w14:paraId="4C1EF1C2" w14:textId="27E6AF9D" w:rsidR="00817605" w:rsidRPr="005C7E4F" w:rsidRDefault="00817605" w:rsidP="005C7E4F">
      <w:pPr>
        <w:tabs>
          <w:tab w:val="right" w:leader="dot" w:pos="8931"/>
        </w:tabs>
        <w:spacing w:before="120" w:after="120"/>
        <w:ind w:firstLine="0"/>
        <w:jc w:val="center"/>
        <w:rPr>
          <w:b/>
        </w:rPr>
      </w:pPr>
      <w:r w:rsidRPr="005C7E4F">
        <w:rPr>
          <w:b/>
        </w:rPr>
        <w:t>Vývoj priemernej mzdy</w:t>
      </w:r>
    </w:p>
    <w:p w14:paraId="0B2F3D4D" w14:textId="21642E4F" w:rsidR="00817605" w:rsidRDefault="005C7E4F" w:rsidP="002558E9">
      <w:pPr>
        <w:tabs>
          <w:tab w:val="right" w:leader="dot" w:pos="8931"/>
        </w:tabs>
        <w:spacing w:before="120" w:after="120"/>
        <w:ind w:firstLine="0"/>
      </w:pPr>
      <w:r>
        <w:rPr>
          <w:noProof/>
        </w:rPr>
        <w:drawing>
          <wp:inline distT="0" distB="0" distL="0" distR="0" wp14:anchorId="1B5163FE" wp14:editId="534B84BF">
            <wp:extent cx="5850716" cy="3045349"/>
            <wp:effectExtent l="0" t="0" r="0" b="317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6544" cy="3053587"/>
                    </a:xfrm>
                    <a:prstGeom prst="rect">
                      <a:avLst/>
                    </a:prstGeom>
                  </pic:spPr>
                </pic:pic>
              </a:graphicData>
            </a:graphic>
          </wp:inline>
        </w:drawing>
      </w:r>
    </w:p>
    <w:p w14:paraId="3BE086A9" w14:textId="77777777" w:rsidR="005332D9" w:rsidRPr="00360774" w:rsidRDefault="005332D9" w:rsidP="005332D9">
      <w:pPr>
        <w:tabs>
          <w:tab w:val="right" w:leader="dot" w:pos="8931"/>
        </w:tabs>
        <w:spacing w:before="120" w:after="120"/>
        <w:ind w:firstLine="0"/>
        <w:jc w:val="right"/>
        <w:rPr>
          <w:i/>
          <w:sz w:val="20"/>
          <w:szCs w:val="20"/>
        </w:rPr>
      </w:pPr>
      <w:r w:rsidRPr="00360774">
        <w:rPr>
          <w:i/>
          <w:sz w:val="20"/>
          <w:szCs w:val="20"/>
        </w:rPr>
        <w:t>Zdroj: Štatistický úr</w:t>
      </w:r>
      <w:r>
        <w:rPr>
          <w:i/>
          <w:sz w:val="20"/>
          <w:szCs w:val="20"/>
        </w:rPr>
        <w:t>ad /</w:t>
      </w:r>
      <w:r w:rsidRPr="00360774">
        <w:rPr>
          <w:i/>
          <w:sz w:val="20"/>
          <w:szCs w:val="20"/>
        </w:rPr>
        <w:t xml:space="preserve"> Finančný Kompas.sk</w:t>
      </w:r>
    </w:p>
    <w:p w14:paraId="3684C797" w14:textId="12CC9C4F" w:rsidR="00F34031" w:rsidRDefault="00181483" w:rsidP="00181483">
      <w:pPr>
        <w:tabs>
          <w:tab w:val="right" w:leader="dot" w:pos="8931"/>
        </w:tabs>
        <w:spacing w:before="120" w:after="120"/>
        <w:ind w:firstLine="0"/>
      </w:pPr>
      <w:r>
        <w:t>Inflačná kríza zvýšila zisky firiem, ktoré pred pandémiou rástli pomalšie než mzdové výdavky</w:t>
      </w:r>
      <w:r w:rsidR="00FF2727">
        <w:t>.</w:t>
      </w:r>
      <w:r>
        <w:t xml:space="preserve"> V</w:t>
      </w:r>
      <w:r w:rsidR="008E3691">
        <w:t> </w:t>
      </w:r>
      <w:r>
        <w:t>roku</w:t>
      </w:r>
      <w:r w:rsidR="008E3691">
        <w:t xml:space="preserve"> 2024</w:t>
      </w:r>
      <w:r>
        <w:t xml:space="preserve"> sa situácia obrátila a kompenzácie znovu rastú rýchlejšie než zisky</w:t>
      </w:r>
      <w:r w:rsidR="008E3691">
        <w:t>.</w:t>
      </w:r>
      <w:r>
        <w:t xml:space="preserve"> Re</w:t>
      </w:r>
      <w:r w:rsidR="00C25B92">
        <w:t>álna mzda dobehne svoju stratu</w:t>
      </w:r>
      <w:r w:rsidR="008F240C">
        <w:t xml:space="preserve"> asi až v </w:t>
      </w:r>
      <w:r>
        <w:t>3.</w:t>
      </w:r>
      <w:r w:rsidR="008E3691">
        <w:t xml:space="preserve"> </w:t>
      </w:r>
      <w:r>
        <w:t>Q. 2025. Mzdy porastú v súlade s produktivitou.</w:t>
      </w:r>
    </w:p>
    <w:p w14:paraId="27ED5B98" w14:textId="3856C95F" w:rsidR="006602D6" w:rsidRPr="00C35CA8" w:rsidRDefault="00FB68DA" w:rsidP="00F34031">
      <w:pPr>
        <w:tabs>
          <w:tab w:val="right" w:leader="dot" w:pos="8931"/>
        </w:tabs>
        <w:spacing w:before="120" w:after="120"/>
        <w:ind w:firstLine="0"/>
        <w:rPr>
          <w:i/>
        </w:rPr>
      </w:pPr>
      <w:r w:rsidRPr="00C35CA8">
        <w:t>Slovenská republika bude v blízkej budúcnosti čeliť na trhu práce dvom hlavným výzva</w:t>
      </w:r>
      <w:r w:rsidR="00D218F0" w:rsidRPr="00C35CA8">
        <w:t>m</w:t>
      </w:r>
      <w:r w:rsidRPr="00C35CA8">
        <w:t xml:space="preserve">, a to demografickým zmenám a nedostatku pracovníkov. Demografické zmeny a starnutie populácie sa prejavia v rastúcom počte ľudí odkázaných na dlhodobú starostlivosť a služby zdravotníctva. Ani jeden z týchto sektorov nie je pripravený na dlhodobé poskytovanie potrebných služieb. Druhým faktorom demografických zmien je v blízkej budúcnosti klesajúci počet ľudí                        v ekonomicky aktívnom veku. </w:t>
      </w:r>
    </w:p>
    <w:p w14:paraId="2975E36E" w14:textId="2D5964E5" w:rsidR="0075660E" w:rsidRDefault="00FB68DA" w:rsidP="0075660E">
      <w:pPr>
        <w:tabs>
          <w:tab w:val="right" w:leader="dot" w:pos="8931"/>
        </w:tabs>
        <w:spacing w:before="120" w:after="120"/>
        <w:ind w:firstLine="0"/>
      </w:pPr>
      <w:r w:rsidRPr="00C35CA8">
        <w:lastRenderedPageBreak/>
        <w:t xml:space="preserve">Dôsledkom </w:t>
      </w:r>
      <w:r w:rsidR="00772DE6" w:rsidRPr="00C35CA8">
        <w:t xml:space="preserve">naznačeného vývoja na </w:t>
      </w:r>
      <w:r w:rsidR="005C2670" w:rsidRPr="00C35CA8">
        <w:t>pracovnom</w:t>
      </w:r>
      <w:r w:rsidR="00772DE6" w:rsidRPr="00C35CA8">
        <w:t xml:space="preserve"> trhu </w:t>
      </w:r>
      <w:r w:rsidRPr="00C35CA8">
        <w:t xml:space="preserve">bude, že bude nutné zapájať do zamestnanosti osoby najviac vzdialené od trhu práce, najmä dlhodobo nezamestnaných, ľudí </w:t>
      </w:r>
      <w:r w:rsidR="00900B86" w:rsidRPr="00C35CA8">
        <w:t xml:space="preserve">         </w:t>
      </w:r>
      <w:r w:rsidRPr="00C35CA8">
        <w:t>z rómskych osád, bývajúcich v najmenej rozvinutých okresoch a zdravotne postihnutých.</w:t>
      </w:r>
    </w:p>
    <w:p w14:paraId="2AA2B859" w14:textId="78B6BCED" w:rsidR="0075660E" w:rsidRDefault="0075660E" w:rsidP="0075660E">
      <w:pPr>
        <w:tabs>
          <w:tab w:val="right" w:leader="dot" w:pos="8931"/>
        </w:tabs>
        <w:spacing w:before="120" w:after="120"/>
        <w:ind w:firstLine="0"/>
      </w:pPr>
      <w:r>
        <w:t>Ďalším faktorom je energetická kríza, ktorá môže pretrvávať, ak sa nepodarí stabilizovať náklady na energie, ktoré sme kupo</w:t>
      </w:r>
      <w:r w:rsidR="008F240C">
        <w:t xml:space="preserve">vali podstatne lacnejšie z Ruskej federácie. Inflácia </w:t>
      </w:r>
      <w:r>
        <w:t>môže byť vyššia</w:t>
      </w:r>
      <w:r w:rsidR="008F240C">
        <w:t xml:space="preserve"> ako sa predpokladá</w:t>
      </w:r>
      <w:r>
        <w:t>, ak dôjde k ďalším šokom v cenách surovín alebo služieb, čo by následne oslabilo kúpnu silu slovenských domácností a vyvolalo potrebu ďalších kompenzácií zo strany vlády. Rast úrokových sadzieb by zvýšil náklady na obsluhu verejného dlhu a úverov, čo by negatívne ovplyvnilo podniky aj domácnosti.</w:t>
      </w:r>
    </w:p>
    <w:p w14:paraId="163E5154" w14:textId="511800A1" w:rsidR="0075660E" w:rsidRDefault="0075660E" w:rsidP="0075660E">
      <w:pPr>
        <w:tabs>
          <w:tab w:val="right" w:leader="dot" w:pos="8931"/>
        </w:tabs>
        <w:spacing w:before="120" w:after="120"/>
        <w:ind w:firstLine="0"/>
      </w:pPr>
      <w:r>
        <w:t xml:space="preserve">Naopak, pozitívny vplyv </w:t>
      </w:r>
      <w:r w:rsidR="008B4A32">
        <w:t xml:space="preserve">na rok 2025 </w:t>
      </w:r>
      <w:r>
        <w:t xml:space="preserve">bude mať opakované zníženie úrokových sadzieb </w:t>
      </w:r>
      <w:r w:rsidR="008B4A32">
        <w:t>E</w:t>
      </w:r>
      <w:r>
        <w:t xml:space="preserve">CB, ktoré vedie k výraznému povzbudeniu ekonomického rastu znižovaním nákladov na úvery pre podniky aj domácnosti, čo viac povzbudí investície aj spotrebu v </w:t>
      </w:r>
      <w:r w:rsidR="009418BA">
        <w:t>eur</w:t>
      </w:r>
      <w:r>
        <w:t>ozóne.</w:t>
      </w:r>
    </w:p>
    <w:p w14:paraId="46741210" w14:textId="211F0B49" w:rsidR="007A5213" w:rsidRDefault="0075660E" w:rsidP="007A5213">
      <w:pPr>
        <w:tabs>
          <w:tab w:val="right" w:leader="dot" w:pos="8931"/>
        </w:tabs>
        <w:spacing w:before="120" w:after="0"/>
        <w:ind w:firstLine="0"/>
      </w:pPr>
      <w:r w:rsidRPr="008F240C">
        <w:t xml:space="preserve">Ekonomická situácia v „ťahúňoch" EÚ, najmä Nemecku, ktoré je lídrom </w:t>
      </w:r>
      <w:r w:rsidR="009418BA">
        <w:t>eur</w:t>
      </w:r>
      <w:r w:rsidRPr="008F240C">
        <w:t xml:space="preserve">ópskej ekonomiky, je významným rizikom – slabý ekonomický a hospodársky rast v dôsledku zelených </w:t>
      </w:r>
      <w:r w:rsidR="00FC33F6">
        <w:t xml:space="preserve">                           </w:t>
      </w:r>
      <w:r w:rsidRPr="008F240C">
        <w:t xml:space="preserve">a migračných politík negatívne ovplyvní celú </w:t>
      </w:r>
      <w:r w:rsidR="009418BA">
        <w:t>eur</w:t>
      </w:r>
      <w:r w:rsidRPr="008F240C">
        <w:t>ozónu, vrátane Slovenska. Geopolitické riziká, najmä pokračujúci konflikt na Ukrajine, predstavujú významnú hrozbu, a to nielen pre bezpečnosť, ale aj pre ceny energií, stabilitu dodávok plynu a ropy ako aj stabilitu dodávateľských</w:t>
      </w:r>
      <w:r w:rsidR="007A5213">
        <w:t xml:space="preserve"> reťazcov</w:t>
      </w:r>
      <w:r w:rsidRPr="008F240C">
        <w:t>.</w:t>
      </w:r>
    </w:p>
    <w:p w14:paraId="4AC7C479" w14:textId="252CE5AE" w:rsidR="002E451A" w:rsidRDefault="002E451A" w:rsidP="007A5213">
      <w:pPr>
        <w:tabs>
          <w:tab w:val="right" w:leader="dot" w:pos="8931"/>
        </w:tabs>
        <w:spacing w:before="120" w:after="0"/>
        <w:ind w:firstLine="0"/>
      </w:pPr>
      <w:r>
        <w:rPr>
          <w:noProof/>
        </w:rPr>
        <w:drawing>
          <wp:inline distT="0" distB="0" distL="0" distR="0" wp14:anchorId="1C3B40D6" wp14:editId="1382A32A">
            <wp:extent cx="5836285" cy="3522345"/>
            <wp:effectExtent l="0" t="0" r="0" b="190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6285" cy="3522345"/>
                    </a:xfrm>
                    <a:prstGeom prst="rect">
                      <a:avLst/>
                    </a:prstGeom>
                    <a:noFill/>
                    <a:ln>
                      <a:noFill/>
                    </a:ln>
                  </pic:spPr>
                </pic:pic>
              </a:graphicData>
            </a:graphic>
          </wp:inline>
        </w:drawing>
      </w:r>
    </w:p>
    <w:p w14:paraId="68F67CDB" w14:textId="77777777" w:rsidR="002E451A" w:rsidRPr="00360774" w:rsidRDefault="002E451A" w:rsidP="002E451A">
      <w:pPr>
        <w:tabs>
          <w:tab w:val="right" w:leader="dot" w:pos="8931"/>
        </w:tabs>
        <w:spacing w:before="120" w:after="120"/>
        <w:ind w:firstLine="0"/>
        <w:jc w:val="right"/>
        <w:rPr>
          <w:i/>
          <w:sz w:val="20"/>
          <w:szCs w:val="20"/>
        </w:rPr>
      </w:pPr>
      <w:r w:rsidRPr="00360774">
        <w:rPr>
          <w:i/>
          <w:sz w:val="20"/>
          <w:szCs w:val="20"/>
        </w:rPr>
        <w:t>Zdroj: Štatistický úrad  Finančný Kompas.sk</w:t>
      </w:r>
    </w:p>
    <w:p w14:paraId="004FA536" w14:textId="6BACAD25" w:rsidR="00817605" w:rsidRDefault="0075660E" w:rsidP="00817605">
      <w:pPr>
        <w:tabs>
          <w:tab w:val="right" w:leader="dot" w:pos="8931"/>
        </w:tabs>
        <w:spacing w:before="120" w:after="120"/>
        <w:ind w:firstLine="0"/>
        <w:rPr>
          <w:b/>
        </w:rPr>
      </w:pPr>
      <w:r>
        <w:t xml:space="preserve">Rok 2024 priniesol po obrovskom zadlžovaní verejných financií prvú vlnu konsolidačných opatrením s dôrazom na udržanie sociálnych štandardov, stabilizáciu ekonomiky a zmierňovanie dopadov inflácie a energetickej krízy. </w:t>
      </w:r>
      <w:r w:rsidR="00B214D8" w:rsidRPr="00B214D8">
        <w:t xml:space="preserve">Slovenská ekonomika zažila najlepší </w:t>
      </w:r>
      <w:r w:rsidR="00B214D8">
        <w:t>„</w:t>
      </w:r>
      <w:r w:rsidR="00B214D8" w:rsidRPr="00B214D8">
        <w:t>vojnový rok</w:t>
      </w:r>
      <w:r w:rsidR="00B214D8">
        <w:t>“</w:t>
      </w:r>
      <w:r w:rsidR="00B214D8" w:rsidRPr="00B214D8">
        <w:t>.</w:t>
      </w:r>
      <w:r w:rsidR="00B214D8">
        <w:t xml:space="preserve"> </w:t>
      </w:r>
      <w:r>
        <w:t>Zavedené opatrenia, ako plnohodnotný 13. dôchodok</w:t>
      </w:r>
      <w:r w:rsidR="00B214D8">
        <w:t xml:space="preserve">, štátna pomoc, najmä mladým rodinám, s hypotekárnymi úvermi </w:t>
      </w:r>
      <w:r w:rsidR="00B214D8" w:rsidRPr="00B214D8">
        <w:t xml:space="preserve">na bývanie z dôvodu zvýšenia úrokovej sadzby </w:t>
      </w:r>
      <w:r>
        <w:t>a energetická pomoc domácnostiam, posilnili kúpnu silu domácností a posilnili sociálnu udržateľnosť a súdržnosť.</w:t>
      </w:r>
      <w:r w:rsidR="00A87B3D" w:rsidRPr="00A87B3D">
        <w:t xml:space="preserve"> </w:t>
      </w:r>
    </w:p>
    <w:p w14:paraId="36ADC446" w14:textId="0E51AE4D" w:rsidR="00817605" w:rsidRDefault="00817605" w:rsidP="00A87B3D">
      <w:pPr>
        <w:tabs>
          <w:tab w:val="right" w:leader="dot" w:pos="8931"/>
        </w:tabs>
        <w:spacing w:before="120" w:after="120"/>
        <w:ind w:firstLine="0"/>
        <w:jc w:val="center"/>
        <w:rPr>
          <w:b/>
        </w:rPr>
      </w:pPr>
    </w:p>
    <w:p w14:paraId="6E9874A5" w14:textId="5AD173A1" w:rsidR="00667558" w:rsidRDefault="00667558" w:rsidP="00A87B3D">
      <w:pPr>
        <w:tabs>
          <w:tab w:val="right" w:leader="dot" w:pos="8931"/>
        </w:tabs>
        <w:spacing w:before="120" w:after="120"/>
        <w:ind w:firstLine="0"/>
        <w:jc w:val="center"/>
        <w:rPr>
          <w:b/>
        </w:rPr>
      </w:pPr>
    </w:p>
    <w:p w14:paraId="304DC107" w14:textId="77777777" w:rsidR="00F9637F" w:rsidRDefault="00F9637F" w:rsidP="00A87B3D">
      <w:pPr>
        <w:tabs>
          <w:tab w:val="right" w:leader="dot" w:pos="8931"/>
        </w:tabs>
        <w:spacing w:before="120" w:after="120"/>
        <w:ind w:firstLine="0"/>
        <w:jc w:val="center"/>
        <w:rPr>
          <w:b/>
        </w:rPr>
      </w:pPr>
    </w:p>
    <w:p w14:paraId="06577781" w14:textId="77777777" w:rsidR="00667558" w:rsidRDefault="00667558" w:rsidP="00A87B3D">
      <w:pPr>
        <w:tabs>
          <w:tab w:val="right" w:leader="dot" w:pos="8931"/>
        </w:tabs>
        <w:spacing w:before="120" w:after="120"/>
        <w:ind w:firstLine="0"/>
        <w:jc w:val="center"/>
        <w:rPr>
          <w:b/>
        </w:rPr>
      </w:pPr>
    </w:p>
    <w:p w14:paraId="03E52377" w14:textId="0CC1E341" w:rsidR="00A87B3D" w:rsidRPr="00A87B3D" w:rsidRDefault="005332D9" w:rsidP="00A87B3D">
      <w:pPr>
        <w:tabs>
          <w:tab w:val="right" w:leader="dot" w:pos="8931"/>
        </w:tabs>
        <w:spacing w:before="120" w:after="120"/>
        <w:ind w:firstLine="0"/>
        <w:jc w:val="center"/>
        <w:rPr>
          <w:b/>
        </w:rPr>
      </w:pPr>
      <w:r>
        <w:rPr>
          <w:noProof/>
        </w:rPr>
        <w:lastRenderedPageBreak/>
        <w:drawing>
          <wp:anchor distT="0" distB="0" distL="114300" distR="114300" simplePos="0" relativeHeight="252606976" behindDoc="0" locked="0" layoutInCell="1" allowOverlap="1" wp14:anchorId="10786E91" wp14:editId="03FC7756">
            <wp:simplePos x="0" y="0"/>
            <wp:positionH relativeFrom="column">
              <wp:posOffset>-65544</wp:posOffset>
            </wp:positionH>
            <wp:positionV relativeFrom="paragraph">
              <wp:posOffset>204967</wp:posOffset>
            </wp:positionV>
            <wp:extent cx="5907819" cy="3291169"/>
            <wp:effectExtent l="0" t="0" r="0" b="5080"/>
            <wp:wrapNone/>
            <wp:docPr id="470" name="Obrázo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11135" cy="3293016"/>
                    </a:xfrm>
                    <a:prstGeom prst="rect">
                      <a:avLst/>
                    </a:prstGeom>
                  </pic:spPr>
                </pic:pic>
              </a:graphicData>
            </a:graphic>
            <wp14:sizeRelH relativeFrom="margin">
              <wp14:pctWidth>0</wp14:pctWidth>
            </wp14:sizeRelH>
            <wp14:sizeRelV relativeFrom="margin">
              <wp14:pctHeight>0</wp14:pctHeight>
            </wp14:sizeRelV>
          </wp:anchor>
        </w:drawing>
      </w:r>
      <w:r w:rsidR="00A87B3D" w:rsidRPr="00A87B3D">
        <w:rPr>
          <w:b/>
        </w:rPr>
        <w:t>INDEX PROSPERITY 2024</w:t>
      </w:r>
    </w:p>
    <w:p w14:paraId="22C21252" w14:textId="15DBF3B2" w:rsidR="00A87B3D" w:rsidRDefault="00A87B3D" w:rsidP="00F66651">
      <w:pPr>
        <w:tabs>
          <w:tab w:val="right" w:leader="dot" w:pos="8931"/>
        </w:tabs>
        <w:spacing w:before="120" w:after="120"/>
        <w:ind w:firstLine="0"/>
      </w:pPr>
    </w:p>
    <w:p w14:paraId="22260096" w14:textId="563DD6B4" w:rsidR="005332D9" w:rsidRDefault="005332D9" w:rsidP="00F66651">
      <w:pPr>
        <w:tabs>
          <w:tab w:val="right" w:leader="dot" w:pos="8931"/>
        </w:tabs>
        <w:spacing w:before="120" w:after="120"/>
        <w:ind w:firstLine="0"/>
      </w:pPr>
    </w:p>
    <w:p w14:paraId="0FAF0CD7" w14:textId="6E7584FA" w:rsidR="005332D9" w:rsidRDefault="005332D9" w:rsidP="00F66651">
      <w:pPr>
        <w:tabs>
          <w:tab w:val="right" w:leader="dot" w:pos="8931"/>
        </w:tabs>
        <w:spacing w:before="120" w:after="120"/>
        <w:ind w:firstLine="0"/>
      </w:pPr>
    </w:p>
    <w:p w14:paraId="37717212" w14:textId="223FA981" w:rsidR="005332D9" w:rsidRDefault="005332D9" w:rsidP="00F66651">
      <w:pPr>
        <w:tabs>
          <w:tab w:val="right" w:leader="dot" w:pos="8931"/>
        </w:tabs>
        <w:spacing w:before="120" w:after="120"/>
        <w:ind w:firstLine="0"/>
      </w:pPr>
    </w:p>
    <w:p w14:paraId="5E888687" w14:textId="76FBB607" w:rsidR="005332D9" w:rsidRDefault="005332D9" w:rsidP="00F66651">
      <w:pPr>
        <w:tabs>
          <w:tab w:val="right" w:leader="dot" w:pos="8931"/>
        </w:tabs>
        <w:spacing w:before="120" w:after="120"/>
        <w:ind w:firstLine="0"/>
      </w:pPr>
    </w:p>
    <w:p w14:paraId="6FCCF860" w14:textId="7D7B220B" w:rsidR="005332D9" w:rsidRDefault="005332D9" w:rsidP="00F66651">
      <w:pPr>
        <w:tabs>
          <w:tab w:val="right" w:leader="dot" w:pos="8931"/>
        </w:tabs>
        <w:spacing w:before="120" w:after="120"/>
        <w:ind w:firstLine="0"/>
      </w:pPr>
    </w:p>
    <w:p w14:paraId="55175401" w14:textId="6B881751" w:rsidR="005332D9" w:rsidRDefault="005332D9" w:rsidP="00F66651">
      <w:pPr>
        <w:tabs>
          <w:tab w:val="right" w:leader="dot" w:pos="8931"/>
        </w:tabs>
        <w:spacing w:before="120" w:after="120"/>
        <w:ind w:firstLine="0"/>
      </w:pPr>
    </w:p>
    <w:p w14:paraId="3F74C4F7" w14:textId="0B768DA9" w:rsidR="005332D9" w:rsidRDefault="005332D9" w:rsidP="00F66651">
      <w:pPr>
        <w:tabs>
          <w:tab w:val="right" w:leader="dot" w:pos="8931"/>
        </w:tabs>
        <w:spacing w:before="120" w:after="120"/>
        <w:ind w:firstLine="0"/>
      </w:pPr>
    </w:p>
    <w:p w14:paraId="523369E1" w14:textId="0AB30AEB" w:rsidR="005332D9" w:rsidRDefault="005332D9" w:rsidP="00F66651">
      <w:pPr>
        <w:tabs>
          <w:tab w:val="right" w:leader="dot" w:pos="8931"/>
        </w:tabs>
        <w:spacing w:before="120" w:after="120"/>
        <w:ind w:firstLine="0"/>
      </w:pPr>
    </w:p>
    <w:p w14:paraId="50550D18" w14:textId="03B5DD1B" w:rsidR="005332D9" w:rsidRDefault="005332D9" w:rsidP="00F66651">
      <w:pPr>
        <w:tabs>
          <w:tab w:val="right" w:leader="dot" w:pos="8931"/>
        </w:tabs>
        <w:spacing w:before="120" w:after="120"/>
        <w:ind w:firstLine="0"/>
      </w:pPr>
    </w:p>
    <w:p w14:paraId="33579CEA" w14:textId="78533411" w:rsidR="005332D9" w:rsidRDefault="005332D9" w:rsidP="00F66651">
      <w:pPr>
        <w:tabs>
          <w:tab w:val="right" w:leader="dot" w:pos="8931"/>
        </w:tabs>
        <w:spacing w:before="120" w:after="120"/>
        <w:ind w:firstLine="0"/>
      </w:pPr>
    </w:p>
    <w:p w14:paraId="54995B82" w14:textId="3D901B47" w:rsidR="005332D9" w:rsidRDefault="005332D9" w:rsidP="00F66651">
      <w:pPr>
        <w:tabs>
          <w:tab w:val="right" w:leader="dot" w:pos="8931"/>
        </w:tabs>
        <w:spacing w:before="120" w:after="120"/>
        <w:ind w:firstLine="0"/>
      </w:pPr>
    </w:p>
    <w:p w14:paraId="664061EE" w14:textId="34343CAC" w:rsidR="005332D9" w:rsidRDefault="005332D9" w:rsidP="00F66651">
      <w:pPr>
        <w:tabs>
          <w:tab w:val="right" w:leader="dot" w:pos="8931"/>
        </w:tabs>
        <w:spacing w:before="120" w:after="120"/>
        <w:ind w:firstLine="0"/>
      </w:pPr>
    </w:p>
    <w:p w14:paraId="5C499B16" w14:textId="5C927011" w:rsidR="005332D9" w:rsidRPr="005332D9" w:rsidRDefault="005332D9" w:rsidP="005332D9">
      <w:pPr>
        <w:tabs>
          <w:tab w:val="right" w:leader="dot" w:pos="8931"/>
        </w:tabs>
        <w:spacing w:before="120" w:after="120"/>
        <w:ind w:firstLine="0"/>
        <w:jc w:val="right"/>
        <w:rPr>
          <w:i/>
          <w:sz w:val="20"/>
          <w:szCs w:val="20"/>
        </w:rPr>
      </w:pPr>
      <w:r w:rsidRPr="00360774">
        <w:rPr>
          <w:i/>
          <w:sz w:val="20"/>
          <w:szCs w:val="20"/>
        </w:rPr>
        <w:t>Zdroj:</w:t>
      </w:r>
      <w:r w:rsidRPr="005332D9">
        <w:rPr>
          <w:i/>
          <w:sz w:val="20"/>
          <w:szCs w:val="20"/>
        </w:rPr>
        <w:t xml:space="preserve"> ePráca Online</w:t>
      </w:r>
    </w:p>
    <w:p w14:paraId="478E3C8F" w14:textId="3DB50DBA" w:rsidR="005332D9" w:rsidRDefault="005332D9" w:rsidP="00F66651">
      <w:pPr>
        <w:tabs>
          <w:tab w:val="right" w:leader="dot" w:pos="8931"/>
        </w:tabs>
        <w:spacing w:before="120" w:after="120"/>
        <w:ind w:firstLine="0"/>
      </w:pPr>
    </w:p>
    <w:p w14:paraId="225305F7" w14:textId="7809689B" w:rsidR="00CD13E6" w:rsidRPr="0062585F" w:rsidRDefault="005332D9" w:rsidP="005332D9">
      <w:pPr>
        <w:pStyle w:val="Nadpis1"/>
        <w:tabs>
          <w:tab w:val="clear" w:pos="454"/>
          <w:tab w:val="clear" w:pos="567"/>
        </w:tabs>
        <w:ind w:left="284" w:hanging="284"/>
        <w:jc w:val="both"/>
      </w:pPr>
      <w:bookmarkStart w:id="5" w:name="_Toc199230806"/>
      <w:r>
        <w:t xml:space="preserve">AKTÍVNA POLITIKA TRHU PRÁCE - </w:t>
      </w:r>
      <w:r w:rsidR="00CD13E6" w:rsidRPr="0062585F">
        <w:t>NÁSTROJ ZNIŽOVANIA NEROVNOVÁHY NA TRHU PRÁCE</w:t>
      </w:r>
      <w:bookmarkEnd w:id="5"/>
    </w:p>
    <w:p w14:paraId="26A19208" w14:textId="18D3CBCA" w:rsidR="008F240C" w:rsidRPr="00C35CA8" w:rsidRDefault="008F240C" w:rsidP="008F240C">
      <w:pPr>
        <w:tabs>
          <w:tab w:val="right" w:leader="dot" w:pos="8931"/>
        </w:tabs>
        <w:spacing w:before="120" w:after="120"/>
        <w:ind w:firstLine="0"/>
      </w:pPr>
      <w:r w:rsidRPr="00C35CA8">
        <w:t xml:space="preserve">Strategické priority rozvoja zamestnanosti v SR 2030 predstavujú širší tematický rámec pre ďalšie stratégie v oblasti aktívnej politiky trhu práce v programovom období 2021 – 2027. Z nich prvou je </w:t>
      </w:r>
      <w:r w:rsidRPr="00C35CA8">
        <w:rPr>
          <w:i/>
        </w:rPr>
        <w:t xml:space="preserve">„Akčný plán na ďalšie posilnenie integrácie dlhodobo nezamestnaných na trh práce </w:t>
      </w:r>
      <w:r>
        <w:rPr>
          <w:i/>
        </w:rPr>
        <w:t xml:space="preserve">       </w:t>
      </w:r>
      <w:r w:rsidRPr="00C35CA8">
        <w:rPr>
          <w:i/>
        </w:rPr>
        <w:t>v Slovenskej republike s výhľadom do roku 2030“</w:t>
      </w:r>
      <w:r w:rsidRPr="00C35CA8">
        <w:t xml:space="preserve">, ktorý predstavuje reakciu Slovenskej republiky na odporúčanie Rady EÚ z 15. februára 2016, týkajúce sa integrácie dlhodobo nezamestnaných do trhu práce a tiež reakciu na špecifické odporúčania Rady EÚ pre Slovensko        </w:t>
      </w:r>
      <w:r>
        <w:t xml:space="preserve">                              </w:t>
      </w:r>
      <w:r w:rsidRPr="00C35CA8">
        <w:t xml:space="preserve">z predchádzajúcich rokov. Druhou stratégiou je </w:t>
      </w:r>
      <w:r w:rsidRPr="00C35CA8">
        <w:rPr>
          <w:i/>
        </w:rPr>
        <w:t xml:space="preserve">„Národný plán posilnenia Záruky pre mladých ľudí v Slovenskej republike s výhľadom do roku 2030“ </w:t>
      </w:r>
      <w:r w:rsidRPr="00C35CA8">
        <w:t xml:space="preserve">vypracovaný na základe odporúčania Rady (EÚ) z 30. </w:t>
      </w:r>
      <w:r>
        <w:t xml:space="preserve">10. </w:t>
      </w:r>
      <w:r w:rsidRPr="00C35CA8">
        <w:t>2020 o moste k pracovným miestam – posilnení Záruky pre mladých ľudí, a ktorým sa nahrádza odporúčanie Rady (EÚ) z 22. apríla 2013 o zavedení záruky pre mladých ľudí (2020/C 372/01).</w:t>
      </w:r>
    </w:p>
    <w:p w14:paraId="1F6C078A" w14:textId="7D59252D" w:rsidR="008F240C" w:rsidRDefault="008F240C" w:rsidP="008F240C">
      <w:pPr>
        <w:tabs>
          <w:tab w:val="right" w:leader="dot" w:pos="8931"/>
        </w:tabs>
        <w:spacing w:before="120" w:after="120"/>
        <w:ind w:firstLine="0"/>
      </w:pPr>
      <w:r w:rsidRPr="00C35CA8">
        <w:t xml:space="preserve">S odkazom na </w:t>
      </w:r>
      <w:r w:rsidRPr="00FF2727">
        <w:t>Plán obnovy a odolnosti SR</w:t>
      </w:r>
      <w:r w:rsidRPr="00C35CA8">
        <w:t xml:space="preserve"> uvádzame, že skutočná pomoc trhu práce, ekonomike a jej dlhodobý </w:t>
      </w:r>
      <w:r>
        <w:t>vývoj</w:t>
      </w:r>
      <w:r w:rsidRPr="00C35CA8">
        <w:t xml:space="preserve"> budú závisieť od toho, aké štrukturálne zmeny Slovenská republika, spolu s investíciami, vykoná. Prostredníctvom </w:t>
      </w:r>
      <w:r w:rsidRPr="0075660E">
        <w:t>Plánu obnovy a odolnosti</w:t>
      </w:r>
      <w:r w:rsidRPr="00C35CA8">
        <w:t xml:space="preserve"> sa Slovensko zaviazalo, že do roku 2026 príjme ďalšie</w:t>
      </w:r>
      <w:r>
        <w:t xml:space="preserve"> refor</w:t>
      </w:r>
      <w:r w:rsidRPr="00C35CA8">
        <w:t xml:space="preserve">my, ktoré zvýšia kvalitu života v rôznych oblastiach, vrátane opatrení, ktoré dlhodobo odporúča </w:t>
      </w:r>
      <w:r w:rsidR="009418BA">
        <w:t>Eur</w:t>
      </w:r>
      <w:r w:rsidRPr="00C35CA8">
        <w:t xml:space="preserve">ópska komisia. Reformy, ako aj investície podľa </w:t>
      </w:r>
      <w:r w:rsidRPr="0075660E">
        <w:t>Plánu obnovy a odolnosti</w:t>
      </w:r>
      <w:r w:rsidRPr="00C35CA8">
        <w:rPr>
          <w:i/>
        </w:rPr>
        <w:t>,</w:t>
      </w:r>
      <w:r w:rsidRPr="00C35CA8">
        <w:t xml:space="preserve"> sú zabezpečované od roku 2021</w:t>
      </w:r>
      <w:r>
        <w:t xml:space="preserve"> </w:t>
      </w:r>
      <w:r w:rsidRPr="00C35CA8">
        <w:t>do roku 2026 a</w:t>
      </w:r>
      <w:r>
        <w:t> </w:t>
      </w:r>
      <w:r w:rsidRPr="00C35CA8">
        <w:t>M</w:t>
      </w:r>
      <w:r>
        <w:t xml:space="preserve">inisterstvo </w:t>
      </w:r>
      <w:r w:rsidRPr="00C35CA8">
        <w:t>PSVR SR predpokladá ich výrazný sekundárny vplyv na rozvoj zamestnanosti a zlepšenie situácie na trhu práce v Slovenskej republike.</w:t>
      </w:r>
    </w:p>
    <w:p w14:paraId="52F2DC01" w14:textId="33E29C37" w:rsidR="007B444F" w:rsidRPr="00C35CA8" w:rsidRDefault="007B444F" w:rsidP="00AA7E7B">
      <w:pPr>
        <w:tabs>
          <w:tab w:val="right" w:leader="dot" w:pos="8931"/>
        </w:tabs>
        <w:spacing w:after="0"/>
        <w:ind w:firstLine="0"/>
      </w:pPr>
      <w:r w:rsidRPr="00C35CA8">
        <w:t xml:space="preserve">Aj </w:t>
      </w:r>
      <w:r w:rsidR="00AF195E" w:rsidRPr="00C35CA8">
        <w:t>v roku 20</w:t>
      </w:r>
      <w:r w:rsidR="008B4A32">
        <w:t>24</w:t>
      </w:r>
      <w:r w:rsidRPr="00C35CA8">
        <w:t xml:space="preserve"> sa </w:t>
      </w:r>
      <w:r w:rsidR="008B4A32">
        <w:t>aktívne opatrenia na trhu práce (</w:t>
      </w:r>
      <w:r w:rsidRPr="00C35CA8">
        <w:t>A</w:t>
      </w:r>
      <w:r w:rsidR="00EE14C6" w:rsidRPr="00C35CA8">
        <w:t>O</w:t>
      </w:r>
      <w:r w:rsidRPr="00C35CA8">
        <w:t>TP</w:t>
      </w:r>
      <w:r w:rsidR="008B4A32">
        <w:t>)</w:t>
      </w:r>
      <w:r w:rsidRPr="00C35CA8">
        <w:t xml:space="preserve"> realizoval</w:t>
      </w:r>
      <w:r w:rsidR="00EE14C6" w:rsidRPr="00C35CA8">
        <w:t>i</w:t>
      </w:r>
      <w:r w:rsidR="00AF195E" w:rsidRPr="00C35CA8">
        <w:t xml:space="preserve"> predovšetkým prostr</w:t>
      </w:r>
      <w:r w:rsidRPr="00C35CA8">
        <w:t xml:space="preserve">edníctvom </w:t>
      </w:r>
      <w:r w:rsidR="000B7755" w:rsidRPr="00C35CA8">
        <w:t>programov a</w:t>
      </w:r>
      <w:r w:rsidR="009F4F63" w:rsidRPr="00C35CA8">
        <w:t> </w:t>
      </w:r>
      <w:r w:rsidR="000B7755" w:rsidRPr="00C35CA8">
        <w:t>projektov</w:t>
      </w:r>
      <w:r w:rsidR="009F4F63" w:rsidRPr="00C35CA8">
        <w:t xml:space="preserve">, financovaných zo zdrojov </w:t>
      </w:r>
      <w:r w:rsidR="009418BA">
        <w:t>Eur</w:t>
      </w:r>
      <w:r w:rsidR="004205DA" w:rsidRPr="00C35CA8">
        <w:t xml:space="preserve">ópskeho sociálneho fondu </w:t>
      </w:r>
      <w:r w:rsidR="00FC33F6">
        <w:t>(</w:t>
      </w:r>
      <w:r w:rsidR="009F4F63" w:rsidRPr="00C35CA8">
        <w:t>ESF</w:t>
      </w:r>
      <w:r w:rsidR="00900B86" w:rsidRPr="00C35CA8">
        <w:t xml:space="preserve">), </w:t>
      </w:r>
      <w:r w:rsidR="00BF1CB7" w:rsidRPr="00C35CA8">
        <w:t xml:space="preserve">spolufinancovaných </w:t>
      </w:r>
      <w:r w:rsidR="009F4F63" w:rsidRPr="00C35CA8">
        <w:t>zo</w:t>
      </w:r>
      <w:r w:rsidR="00621363" w:rsidRPr="00C35CA8">
        <w:t xml:space="preserve"> štátneho rozpočtu </w:t>
      </w:r>
      <w:r w:rsidR="004205DA" w:rsidRPr="00C35CA8">
        <w:t xml:space="preserve">Slovenskej republiky </w:t>
      </w:r>
      <w:r w:rsidR="00621363" w:rsidRPr="00C35CA8">
        <w:t>(</w:t>
      </w:r>
      <w:r w:rsidR="005B42B6" w:rsidRPr="00C35CA8">
        <w:t>ŠR</w:t>
      </w:r>
      <w:r w:rsidR="00FC33F6">
        <w:t xml:space="preserve"> SR</w:t>
      </w:r>
      <w:r w:rsidR="00621363" w:rsidRPr="00C35CA8">
        <w:t>)</w:t>
      </w:r>
      <w:r w:rsidR="00C17024">
        <w:t xml:space="preserve"> v</w:t>
      </w:r>
      <w:r w:rsidR="008F240C">
        <w:t> </w:t>
      </w:r>
      <w:r w:rsidR="00C17024">
        <w:t>r</w:t>
      </w:r>
      <w:r w:rsidR="008F240C">
        <w:t>ámci operačného</w:t>
      </w:r>
      <w:r w:rsidR="0061305E" w:rsidRPr="00C35CA8">
        <w:t xml:space="preserve"> program</w:t>
      </w:r>
      <w:r w:rsidR="008F240C">
        <w:t>u</w:t>
      </w:r>
      <w:r w:rsidR="0061305E" w:rsidRPr="00C35CA8">
        <w:t xml:space="preserve"> S</w:t>
      </w:r>
      <w:r w:rsidR="00900B86" w:rsidRPr="00C35CA8">
        <w:t>lovensko 2021</w:t>
      </w:r>
      <w:r w:rsidR="00014D4D" w:rsidRPr="00C35CA8">
        <w:t xml:space="preserve"> </w:t>
      </w:r>
      <w:r w:rsidR="008F240C">
        <w:t>–</w:t>
      </w:r>
      <w:r w:rsidR="00014D4D" w:rsidRPr="00C35CA8">
        <w:t xml:space="preserve"> </w:t>
      </w:r>
      <w:r w:rsidR="008F240C">
        <w:t>2027.</w:t>
      </w:r>
    </w:p>
    <w:p w14:paraId="73097956" w14:textId="6525EAE4" w:rsidR="00772DE6" w:rsidRPr="00C35CA8" w:rsidRDefault="00772DE6" w:rsidP="00772DE6">
      <w:pPr>
        <w:tabs>
          <w:tab w:val="right" w:leader="dot" w:pos="8931"/>
        </w:tabs>
        <w:spacing w:before="120" w:after="120"/>
        <w:ind w:firstLine="0"/>
      </w:pPr>
      <w:r w:rsidRPr="00C35CA8">
        <w:t xml:space="preserve">Úlohou aktívnej politiky trhu práce v hodnotenom období bolo predovšetkým vytvárať priestor pre uľahčenie prechodu a skrátenie doby prechodu občanov z nezamestnanosti do pracovného procesu, resp. samostatnej zárobkovej činnosti (ďalej aj „SZČ“) a prostredníctvom špecifických </w:t>
      </w:r>
      <w:r w:rsidRPr="00C35CA8">
        <w:lastRenderedPageBreak/>
        <w:t xml:space="preserve">programov udržiavať a zvyšovať schopnosť ľudí pracovať a nájsť si miesto na trhu práce (ďalej aj „TP“). APTP  sa realizuje cez opatrenia, programy, projekty a aktivity, ktoré uchádzačom o zamestnanie (ďalej aj „UoZ“) uľahčujú prístup na TP, aj prostredníctvom aktívnych opatrení trhu práce (ďalej aj „AOTP“), najmä znevýhodneným UoZ. AOTP napomáhajú aj rozvoju podnikania a SZČ, podporujú rast odborných spôsobilostí UoZ, záujemcov o zamestnanie (ďalej len „ZoZ“), ako aj zamestnancov, podporujú vytváranie nových pracovných miest (ďalej aj „PM“) a udržiavanie existujúcich PM a zamestnancov na týchto podporovaných PM, a tiež podporujú investorov. Právny rámec tvorí zákon č. 5/2004 Z. z. o službách zamestnanosti a o zmene a doplnení niektorých zákonov v znení neskorších predpisov (ďalej len „zákon o službách zamestnanosti“). </w:t>
      </w:r>
      <w:r w:rsidR="00E76732">
        <w:t>P</w:t>
      </w:r>
      <w:r w:rsidR="00407916" w:rsidRPr="00C35CA8">
        <w:t>ribudol aj zákon č. 112/2018 Z. z.</w:t>
      </w:r>
      <w:r w:rsidR="00733C40">
        <w:t xml:space="preserve"> o</w:t>
      </w:r>
      <w:r w:rsidR="00407916" w:rsidRPr="00C35CA8">
        <w:t xml:space="preserve"> sociálnej ekonomike a sociálnych podnikoch a o zmene a doplnení niektorých zákonov (ďalej len „zákon o soci</w:t>
      </w:r>
      <w:r w:rsidR="00BD5E2C" w:rsidRPr="00C35CA8">
        <w:t>álnej ekonomike“), v rámci ktor</w:t>
      </w:r>
      <w:r w:rsidR="00407916" w:rsidRPr="00C35CA8">
        <w:t xml:space="preserve">ého </w:t>
      </w:r>
      <w:r w:rsidR="00BD5E2C" w:rsidRPr="00C35CA8">
        <w:t xml:space="preserve">príspevky </w:t>
      </w:r>
      <w:r w:rsidR="00733C40" w:rsidRPr="00C35CA8">
        <w:t xml:space="preserve">poskytované </w:t>
      </w:r>
      <w:r w:rsidR="00BD5E2C" w:rsidRPr="00C35CA8">
        <w:t>podľa § 19</w:t>
      </w:r>
      <w:r w:rsidR="00407916" w:rsidRPr="00C35CA8">
        <w:t>a </w:t>
      </w:r>
      <w:r w:rsidR="00BD5E2C" w:rsidRPr="00C35CA8">
        <w:t xml:space="preserve">- umiestňovací príspevok a § 19b – vyrovnávací príspevok </w:t>
      </w:r>
      <w:r w:rsidR="00407916" w:rsidRPr="00C35CA8">
        <w:t>sa považujú za aktívne opatrenia na trhu práce (§19c</w:t>
      </w:r>
      <w:r w:rsidR="00BD5E2C" w:rsidRPr="00C35CA8">
        <w:t xml:space="preserve"> ods. 6 tohto zákona).</w:t>
      </w:r>
      <w:r w:rsidR="00407916" w:rsidRPr="00C35CA8">
        <w:t xml:space="preserve"> </w:t>
      </w:r>
    </w:p>
    <w:p w14:paraId="65B7AC2C" w14:textId="06196A01" w:rsidR="00ED640B" w:rsidRPr="0048789F" w:rsidRDefault="00E76732" w:rsidP="002070D1">
      <w:pPr>
        <w:pStyle w:val="Odsekzoznamu"/>
        <w:spacing w:after="0"/>
        <w:ind w:firstLine="0"/>
        <w:rPr>
          <w:rFonts w:cs="Times New Roman"/>
          <w:szCs w:val="24"/>
        </w:rPr>
      </w:pPr>
      <w:r w:rsidRPr="0048789F">
        <w:rPr>
          <w:rFonts w:cs="Times New Roman"/>
          <w:szCs w:val="24"/>
        </w:rPr>
        <w:t>V roku 2024</w:t>
      </w:r>
      <w:r w:rsidR="002070D1" w:rsidRPr="0048789F">
        <w:rPr>
          <w:rFonts w:cs="Times New Roman"/>
          <w:szCs w:val="24"/>
        </w:rPr>
        <w:t xml:space="preserve"> bolo na AOTP vyčerpaných celkom</w:t>
      </w:r>
      <w:r w:rsidR="00FC33F6" w:rsidRPr="0048789F">
        <w:rPr>
          <w:rFonts w:cs="Times New Roman"/>
          <w:szCs w:val="24"/>
        </w:rPr>
        <w:t xml:space="preserve"> </w:t>
      </w:r>
      <w:r w:rsidR="00FC33F6" w:rsidRPr="0048789F">
        <w:rPr>
          <w:rFonts w:cs="Times New Roman"/>
          <w:b/>
          <w:szCs w:val="24"/>
        </w:rPr>
        <w:t>172 198 0</w:t>
      </w:r>
      <w:r w:rsidR="000A02E1">
        <w:rPr>
          <w:rFonts w:cs="Times New Roman"/>
          <w:b/>
          <w:szCs w:val="24"/>
        </w:rPr>
        <w:t>8</w:t>
      </w:r>
      <w:r w:rsidR="00FC33F6" w:rsidRPr="0048789F">
        <w:rPr>
          <w:rFonts w:cs="Times New Roman"/>
          <w:b/>
          <w:szCs w:val="24"/>
        </w:rPr>
        <w:t xml:space="preserve">2 </w:t>
      </w:r>
      <w:r w:rsidR="009418BA">
        <w:rPr>
          <w:rFonts w:cs="Times New Roman"/>
          <w:b/>
          <w:szCs w:val="24"/>
        </w:rPr>
        <w:t>eur</w:t>
      </w:r>
      <w:r w:rsidR="002070D1" w:rsidRPr="0048789F">
        <w:rPr>
          <w:rFonts w:cs="Times New Roman"/>
          <w:szCs w:val="24"/>
        </w:rPr>
        <w:t xml:space="preserve">, z toho bolo </w:t>
      </w:r>
      <w:r w:rsidR="00771388" w:rsidRPr="0048789F">
        <w:rPr>
          <w:rFonts w:cs="Times New Roman"/>
          <w:szCs w:val="24"/>
        </w:rPr>
        <w:t xml:space="preserve"> </w:t>
      </w:r>
      <w:r w:rsidR="006C7076" w:rsidRPr="006C7076">
        <w:rPr>
          <w:rFonts w:cs="Times New Roman"/>
          <w:b/>
          <w:szCs w:val="24"/>
        </w:rPr>
        <w:t>102 802 255</w:t>
      </w:r>
      <w:r w:rsidR="006C7076">
        <w:rPr>
          <w:rFonts w:cs="Times New Roman"/>
          <w:szCs w:val="24"/>
        </w:rPr>
        <w:t xml:space="preserve"> </w:t>
      </w:r>
      <w:r w:rsidR="009418BA">
        <w:rPr>
          <w:rFonts w:cs="Times New Roman"/>
          <w:b/>
          <w:szCs w:val="24"/>
        </w:rPr>
        <w:t>eur</w:t>
      </w:r>
      <w:r w:rsidR="002070D1" w:rsidRPr="0048789F">
        <w:rPr>
          <w:rFonts w:cs="Times New Roman"/>
          <w:b/>
          <w:szCs w:val="24"/>
        </w:rPr>
        <w:t xml:space="preserve"> čerpaných zo ŠR SR</w:t>
      </w:r>
      <w:r w:rsidR="002070D1" w:rsidRPr="0048789F">
        <w:rPr>
          <w:rFonts w:cs="Times New Roman"/>
          <w:szCs w:val="24"/>
        </w:rPr>
        <w:t xml:space="preserve"> (vrátane 15</w:t>
      </w:r>
      <w:r w:rsidR="00C84566" w:rsidRPr="0048789F">
        <w:rPr>
          <w:rFonts w:cs="Times New Roman"/>
          <w:szCs w:val="24"/>
        </w:rPr>
        <w:t xml:space="preserve"> </w:t>
      </w:r>
      <w:r w:rsidR="002070D1" w:rsidRPr="0048789F">
        <w:rPr>
          <w:rFonts w:cs="Times New Roman"/>
          <w:szCs w:val="24"/>
        </w:rPr>
        <w:t>% sp</w:t>
      </w:r>
      <w:r w:rsidR="002B16DE" w:rsidRPr="0048789F">
        <w:rPr>
          <w:rFonts w:cs="Times New Roman"/>
          <w:szCs w:val="24"/>
        </w:rPr>
        <w:t>olufinancovania NP z ESF). P</w:t>
      </w:r>
      <w:r w:rsidR="002070D1" w:rsidRPr="0048789F">
        <w:rPr>
          <w:rFonts w:cs="Times New Roman"/>
          <w:szCs w:val="24"/>
        </w:rPr>
        <w:t xml:space="preserve">odiel </w:t>
      </w:r>
      <w:r w:rsidR="00CB6176" w:rsidRPr="0048789F">
        <w:rPr>
          <w:rFonts w:cs="Times New Roman"/>
          <w:szCs w:val="24"/>
        </w:rPr>
        <w:t>fi</w:t>
      </w:r>
      <w:r w:rsidR="00E912E7" w:rsidRPr="0048789F">
        <w:rPr>
          <w:rFonts w:cs="Times New Roman"/>
          <w:szCs w:val="24"/>
        </w:rPr>
        <w:t>na</w:t>
      </w:r>
      <w:r w:rsidR="00CB6176" w:rsidRPr="0048789F">
        <w:rPr>
          <w:rFonts w:cs="Times New Roman"/>
          <w:szCs w:val="24"/>
        </w:rPr>
        <w:t>n</w:t>
      </w:r>
      <w:r w:rsidR="00E912E7" w:rsidRPr="0048789F">
        <w:rPr>
          <w:rFonts w:cs="Times New Roman"/>
          <w:szCs w:val="24"/>
        </w:rPr>
        <w:t>čných</w:t>
      </w:r>
      <w:r w:rsidR="002070D1" w:rsidRPr="0048789F">
        <w:rPr>
          <w:rFonts w:cs="Times New Roman"/>
          <w:szCs w:val="24"/>
        </w:rPr>
        <w:t xml:space="preserve"> prostriedkov </w:t>
      </w:r>
      <w:r w:rsidR="002B16DE" w:rsidRPr="0048789F">
        <w:rPr>
          <w:rFonts w:cs="Times New Roman"/>
          <w:szCs w:val="24"/>
        </w:rPr>
        <w:t xml:space="preserve">ŠR SR </w:t>
      </w:r>
      <w:r w:rsidR="0061305E" w:rsidRPr="0048789F">
        <w:rPr>
          <w:rFonts w:cs="Times New Roman"/>
          <w:szCs w:val="24"/>
        </w:rPr>
        <w:t xml:space="preserve">tak </w:t>
      </w:r>
      <w:r w:rsidR="002B16DE" w:rsidRPr="0048789F">
        <w:rPr>
          <w:rFonts w:cs="Times New Roman"/>
          <w:szCs w:val="24"/>
        </w:rPr>
        <w:t>tvoril</w:t>
      </w:r>
      <w:r w:rsidR="002B16DE" w:rsidRPr="0048789F">
        <w:rPr>
          <w:rFonts w:cs="Times New Roman"/>
          <w:b/>
          <w:szCs w:val="24"/>
        </w:rPr>
        <w:t xml:space="preserve"> </w:t>
      </w:r>
      <w:r w:rsidR="006C7076">
        <w:rPr>
          <w:rFonts w:cs="Times New Roman"/>
          <w:b/>
          <w:szCs w:val="24"/>
        </w:rPr>
        <w:t>59,72</w:t>
      </w:r>
      <w:r w:rsidR="002070D1" w:rsidRPr="0048789F">
        <w:rPr>
          <w:rFonts w:cs="Times New Roman"/>
          <w:b/>
          <w:szCs w:val="24"/>
        </w:rPr>
        <w:t xml:space="preserve"> %</w:t>
      </w:r>
      <w:r w:rsidR="002070D1" w:rsidRPr="0048789F">
        <w:rPr>
          <w:rFonts w:cs="Times New Roman"/>
          <w:szCs w:val="24"/>
        </w:rPr>
        <w:t xml:space="preserve"> všetkých vynaložených zdrojov na AOTP. </w:t>
      </w:r>
    </w:p>
    <w:p w14:paraId="35AEB2C1" w14:textId="1F13C88E" w:rsidR="00BF4AAA" w:rsidRPr="00C35CA8" w:rsidRDefault="00FC33F6" w:rsidP="002070D1">
      <w:pPr>
        <w:pStyle w:val="Odsekzoznamu"/>
        <w:spacing w:after="0"/>
        <w:ind w:firstLine="0"/>
        <w:rPr>
          <w:rFonts w:cs="Times New Roman"/>
          <w:szCs w:val="24"/>
        </w:rPr>
      </w:pPr>
      <w:r w:rsidRPr="0048789F">
        <w:rPr>
          <w:rFonts w:cs="Times New Roman"/>
          <w:szCs w:val="24"/>
        </w:rPr>
        <w:t>Oproti roku 2023</w:t>
      </w:r>
      <w:r w:rsidR="00A00749" w:rsidRPr="0048789F">
        <w:rPr>
          <w:rFonts w:cs="Times New Roman"/>
          <w:szCs w:val="24"/>
        </w:rPr>
        <w:t xml:space="preserve">, kedy bolo čerpanie na úrovni </w:t>
      </w:r>
      <w:r w:rsidRPr="0048789F">
        <w:rPr>
          <w:rFonts w:cs="Times New Roman"/>
          <w:b/>
          <w:szCs w:val="24"/>
        </w:rPr>
        <w:t xml:space="preserve">188 473 799 </w:t>
      </w:r>
      <w:r w:rsidR="009418BA">
        <w:rPr>
          <w:rFonts w:cs="Times New Roman"/>
          <w:b/>
          <w:szCs w:val="24"/>
        </w:rPr>
        <w:t>eur</w:t>
      </w:r>
      <w:r w:rsidRPr="0048789F">
        <w:rPr>
          <w:rFonts w:cs="Times New Roman"/>
          <w:b/>
          <w:szCs w:val="24"/>
        </w:rPr>
        <w:t>,</w:t>
      </w:r>
      <w:r w:rsidR="00772DE6" w:rsidRPr="0048789F">
        <w:rPr>
          <w:rFonts w:cs="Times New Roman"/>
          <w:szCs w:val="24"/>
        </w:rPr>
        <w:t xml:space="preserve"> došlo k </w:t>
      </w:r>
      <w:r w:rsidRPr="0048789F">
        <w:rPr>
          <w:rFonts w:cs="Times New Roman"/>
          <w:szCs w:val="24"/>
        </w:rPr>
        <w:t>poklesu</w:t>
      </w:r>
      <w:r w:rsidR="00772DE6" w:rsidRPr="0048789F">
        <w:rPr>
          <w:rFonts w:cs="Times New Roman"/>
          <w:szCs w:val="24"/>
        </w:rPr>
        <w:t xml:space="preserve"> v</w:t>
      </w:r>
      <w:r w:rsidR="006C7076">
        <w:rPr>
          <w:rFonts w:cs="Times New Roman"/>
          <w:szCs w:val="24"/>
        </w:rPr>
        <w:t xml:space="preserve"> celkovom </w:t>
      </w:r>
      <w:r w:rsidR="00772DE6" w:rsidRPr="0048789F">
        <w:rPr>
          <w:rFonts w:cs="Times New Roman"/>
          <w:szCs w:val="24"/>
        </w:rPr>
        <w:t>čerpaní finančných prostriedkov o</w:t>
      </w:r>
      <w:r w:rsidR="00A00749" w:rsidRPr="0048789F">
        <w:rPr>
          <w:rFonts w:cs="Times New Roman"/>
          <w:szCs w:val="24"/>
        </w:rPr>
        <w:t> </w:t>
      </w:r>
      <w:r w:rsidR="00D13E7F" w:rsidRPr="00D13E7F">
        <w:rPr>
          <w:rFonts w:cs="Times New Roman"/>
          <w:b/>
          <w:szCs w:val="24"/>
        </w:rPr>
        <w:t>1</w:t>
      </w:r>
      <w:r w:rsidR="00D13E7F">
        <w:rPr>
          <w:rFonts w:cs="Times New Roman"/>
          <w:b/>
          <w:szCs w:val="24"/>
        </w:rPr>
        <w:t>6</w:t>
      </w:r>
      <w:r w:rsidR="00F166CD" w:rsidRPr="0048789F">
        <w:rPr>
          <w:rFonts w:cs="Times New Roman"/>
          <w:b/>
          <w:szCs w:val="24"/>
        </w:rPr>
        <w:t> </w:t>
      </w:r>
      <w:r w:rsidR="00D13E7F">
        <w:rPr>
          <w:rFonts w:cs="Times New Roman"/>
          <w:b/>
          <w:szCs w:val="24"/>
        </w:rPr>
        <w:t>275</w:t>
      </w:r>
      <w:r w:rsidR="00F166CD" w:rsidRPr="0048789F">
        <w:rPr>
          <w:rFonts w:cs="Times New Roman"/>
          <w:b/>
          <w:szCs w:val="24"/>
        </w:rPr>
        <w:t> </w:t>
      </w:r>
      <w:r w:rsidR="00D13E7F">
        <w:rPr>
          <w:rFonts w:cs="Times New Roman"/>
          <w:b/>
          <w:szCs w:val="24"/>
        </w:rPr>
        <w:t>717</w:t>
      </w:r>
      <w:r w:rsidR="00F166CD" w:rsidRPr="0048789F">
        <w:rPr>
          <w:rFonts w:cs="Times New Roman"/>
          <w:b/>
          <w:szCs w:val="24"/>
        </w:rPr>
        <w:t xml:space="preserve"> </w:t>
      </w:r>
      <w:r w:rsidR="009418BA">
        <w:rPr>
          <w:rFonts w:cs="Times New Roman"/>
          <w:b/>
          <w:szCs w:val="24"/>
        </w:rPr>
        <w:t>eur</w:t>
      </w:r>
      <w:r w:rsidR="00A00749" w:rsidRPr="0048789F">
        <w:rPr>
          <w:rFonts w:cs="Times New Roman"/>
          <w:szCs w:val="24"/>
        </w:rPr>
        <w:t>.</w:t>
      </w:r>
      <w:r w:rsidR="00A00749" w:rsidRPr="00C35CA8">
        <w:rPr>
          <w:rFonts w:cs="Times New Roman"/>
          <w:szCs w:val="24"/>
        </w:rPr>
        <w:t xml:space="preserve"> </w:t>
      </w:r>
    </w:p>
    <w:p w14:paraId="746C1783" w14:textId="199DE2D5" w:rsidR="002B16DE" w:rsidRDefault="00D13E7F" w:rsidP="00316FB4">
      <w:pPr>
        <w:pStyle w:val="Odsekzoznamu"/>
        <w:spacing w:after="120"/>
        <w:ind w:firstLine="0"/>
        <w:rPr>
          <w:rFonts w:cs="Times New Roman"/>
          <w:szCs w:val="24"/>
        </w:rPr>
      </w:pPr>
      <w:r>
        <w:rPr>
          <w:rFonts w:cs="Times New Roman"/>
          <w:szCs w:val="24"/>
        </w:rPr>
        <w:t>V</w:t>
      </w:r>
      <w:r w:rsidR="00D2768A" w:rsidRPr="00C35CA8">
        <w:rPr>
          <w:rFonts w:cs="Times New Roman"/>
          <w:szCs w:val="24"/>
        </w:rPr>
        <w:t xml:space="preserve">ýznamným faktorom </w:t>
      </w:r>
      <w:r>
        <w:rPr>
          <w:rFonts w:cs="Times New Roman"/>
          <w:szCs w:val="24"/>
        </w:rPr>
        <w:t xml:space="preserve">nákladovosti AOTP </w:t>
      </w:r>
      <w:r w:rsidR="00D2768A" w:rsidRPr="00C35CA8">
        <w:rPr>
          <w:rFonts w:cs="Times New Roman"/>
          <w:szCs w:val="24"/>
        </w:rPr>
        <w:t xml:space="preserve">je rast výšky príspevkov naviazaných na celkovú cenu práce, počítanú z priemernej mzdy zamestnanca v hospodárstve Slovenskej republiky za prvý až tretí štvrťrok kalendárneho roka, ktorý predchádza kalendárnemu roku, v ktorom sa príspevok poskytuje. </w:t>
      </w:r>
      <w:r>
        <w:rPr>
          <w:rFonts w:cs="Times New Roman"/>
          <w:szCs w:val="24"/>
        </w:rPr>
        <w:t xml:space="preserve">V tomto smere </w:t>
      </w:r>
      <w:r w:rsidR="00D2768A" w:rsidRPr="00C35CA8">
        <w:rPr>
          <w:rFonts w:cs="Times New Roman"/>
          <w:szCs w:val="24"/>
        </w:rPr>
        <w:t>dlhodobo dochádza k nárastu výšky CCP</w:t>
      </w:r>
      <w:r w:rsidR="00014D4D" w:rsidRPr="00C35CA8">
        <w:rPr>
          <w:rFonts w:cs="Times New Roman"/>
          <w:szCs w:val="24"/>
        </w:rPr>
        <w:t>, napr</w:t>
      </w:r>
      <w:r w:rsidR="00316FB4" w:rsidRPr="00C35CA8">
        <w:rPr>
          <w:rFonts w:cs="Times New Roman"/>
          <w:szCs w:val="24"/>
        </w:rPr>
        <w:t>.</w:t>
      </w:r>
      <w:r w:rsidR="00014D4D" w:rsidRPr="00C35CA8">
        <w:rPr>
          <w:rFonts w:cs="Times New Roman"/>
          <w:szCs w:val="24"/>
        </w:rPr>
        <w:t xml:space="preserve"> </w:t>
      </w:r>
      <w:r w:rsidR="00316FB4" w:rsidRPr="00C35CA8">
        <w:rPr>
          <w:rFonts w:cs="Times New Roman"/>
          <w:szCs w:val="24"/>
        </w:rPr>
        <w:t>medzi</w:t>
      </w:r>
      <w:r w:rsidR="00014D4D" w:rsidRPr="00C35CA8">
        <w:rPr>
          <w:rFonts w:cs="Times New Roman"/>
          <w:szCs w:val="24"/>
        </w:rPr>
        <w:t xml:space="preserve"> r</w:t>
      </w:r>
      <w:r w:rsidR="00A13D73">
        <w:rPr>
          <w:rFonts w:cs="Times New Roman"/>
          <w:szCs w:val="24"/>
        </w:rPr>
        <w:t>ok</w:t>
      </w:r>
      <w:r w:rsidR="00B013F2">
        <w:rPr>
          <w:rFonts w:cs="Times New Roman"/>
          <w:szCs w:val="24"/>
        </w:rPr>
        <w:t>mi</w:t>
      </w:r>
      <w:r w:rsidR="00A13D73">
        <w:rPr>
          <w:rFonts w:cs="Times New Roman"/>
          <w:szCs w:val="24"/>
        </w:rPr>
        <w:t xml:space="preserve"> 2017</w:t>
      </w:r>
      <w:r w:rsidR="00D22AC3" w:rsidRPr="00C35CA8">
        <w:rPr>
          <w:rFonts w:cs="Times New Roman"/>
          <w:szCs w:val="24"/>
        </w:rPr>
        <w:t xml:space="preserve"> – 2</w:t>
      </w:r>
      <w:r w:rsidR="00014D4D" w:rsidRPr="00C35CA8">
        <w:rPr>
          <w:rFonts w:cs="Times New Roman"/>
          <w:szCs w:val="24"/>
        </w:rPr>
        <w:t>024</w:t>
      </w:r>
      <w:r w:rsidR="00D22AC3" w:rsidRPr="00C35CA8">
        <w:rPr>
          <w:rFonts w:cs="Times New Roman"/>
          <w:szCs w:val="24"/>
        </w:rPr>
        <w:t xml:space="preserve"> sa celková cena </w:t>
      </w:r>
      <w:r w:rsidR="00014D4D" w:rsidRPr="00C35CA8">
        <w:rPr>
          <w:rFonts w:cs="Times New Roman"/>
          <w:szCs w:val="24"/>
        </w:rPr>
        <w:t xml:space="preserve">práce </w:t>
      </w:r>
      <w:r w:rsidR="00A13D73" w:rsidRPr="00C35CA8">
        <w:rPr>
          <w:rFonts w:cs="Times New Roman"/>
          <w:szCs w:val="24"/>
        </w:rPr>
        <w:t>zvyš</w:t>
      </w:r>
      <w:r w:rsidR="00A13D73">
        <w:rPr>
          <w:rFonts w:cs="Times New Roman"/>
          <w:szCs w:val="24"/>
        </w:rPr>
        <w:t>ova</w:t>
      </w:r>
      <w:r w:rsidR="00A13D73" w:rsidRPr="00C35CA8">
        <w:rPr>
          <w:rFonts w:cs="Times New Roman"/>
          <w:szCs w:val="24"/>
        </w:rPr>
        <w:t>la</w:t>
      </w:r>
      <w:r w:rsidR="00014D4D" w:rsidRPr="00C35CA8">
        <w:rPr>
          <w:rFonts w:cs="Times New Roman"/>
          <w:szCs w:val="24"/>
        </w:rPr>
        <w:t xml:space="preserve"> priemer</w:t>
      </w:r>
      <w:r w:rsidR="00316FB4" w:rsidRPr="00C35CA8">
        <w:rPr>
          <w:rFonts w:cs="Times New Roman"/>
          <w:szCs w:val="24"/>
        </w:rPr>
        <w:t>n</w:t>
      </w:r>
      <w:r w:rsidR="00C35CA8" w:rsidRPr="00C35CA8">
        <w:rPr>
          <w:rFonts w:cs="Times New Roman"/>
          <w:szCs w:val="24"/>
        </w:rPr>
        <w:t>e</w:t>
      </w:r>
      <w:r w:rsidR="00316FB4" w:rsidRPr="00C35CA8">
        <w:rPr>
          <w:rFonts w:cs="Times New Roman"/>
          <w:szCs w:val="24"/>
        </w:rPr>
        <w:t xml:space="preserve"> </w:t>
      </w:r>
      <w:r>
        <w:rPr>
          <w:rFonts w:cs="Times New Roman"/>
          <w:szCs w:val="24"/>
        </w:rPr>
        <w:t xml:space="preserve">medziročne </w:t>
      </w:r>
      <w:r w:rsidR="00A13D73">
        <w:rPr>
          <w:rFonts w:cs="Times New Roman"/>
          <w:szCs w:val="24"/>
        </w:rPr>
        <w:t>o</w:t>
      </w:r>
      <w:r>
        <w:rPr>
          <w:rFonts w:cs="Times New Roman"/>
          <w:szCs w:val="24"/>
        </w:rPr>
        <w:t> 8</w:t>
      </w:r>
      <w:r w:rsidR="00014D4D" w:rsidRPr="00C35CA8">
        <w:rPr>
          <w:rFonts w:cs="Times New Roman"/>
          <w:szCs w:val="24"/>
        </w:rPr>
        <w:t>,</w:t>
      </w:r>
      <w:r>
        <w:rPr>
          <w:rFonts w:cs="Times New Roman"/>
          <w:szCs w:val="24"/>
        </w:rPr>
        <w:t>26</w:t>
      </w:r>
      <w:r w:rsidR="00014D4D" w:rsidRPr="00C35CA8">
        <w:rPr>
          <w:rFonts w:cs="Times New Roman"/>
          <w:szCs w:val="24"/>
        </w:rPr>
        <w:t xml:space="preserve"> </w:t>
      </w:r>
      <w:r w:rsidR="00D22AC3" w:rsidRPr="00C35CA8">
        <w:rPr>
          <w:rFonts w:cs="Times New Roman"/>
          <w:szCs w:val="24"/>
        </w:rPr>
        <w:t>%.</w:t>
      </w:r>
    </w:p>
    <w:tbl>
      <w:tblPr>
        <w:tblW w:w="91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75"/>
        <w:gridCol w:w="875"/>
        <w:gridCol w:w="883"/>
        <w:gridCol w:w="948"/>
        <w:gridCol w:w="948"/>
        <w:gridCol w:w="949"/>
        <w:gridCol w:w="948"/>
        <w:gridCol w:w="948"/>
        <w:gridCol w:w="905"/>
      </w:tblGrid>
      <w:tr w:rsidR="00BA22A6" w:rsidRPr="00BA22A6" w14:paraId="286E13BD" w14:textId="77777777" w:rsidTr="00DB1AEA">
        <w:trPr>
          <w:trHeight w:val="1296"/>
        </w:trPr>
        <w:tc>
          <w:tcPr>
            <w:tcW w:w="913" w:type="dxa"/>
            <w:shd w:val="clear" w:color="auto" w:fill="auto"/>
            <w:noWrap/>
            <w:vAlign w:val="center"/>
            <w:hideMark/>
          </w:tcPr>
          <w:p w14:paraId="26209681" w14:textId="442E0871" w:rsidR="00BD0A73" w:rsidRPr="00517476" w:rsidRDefault="00517476" w:rsidP="00BD0A73">
            <w:pPr>
              <w:spacing w:after="0"/>
              <w:ind w:firstLine="0"/>
              <w:jc w:val="center"/>
              <w:rPr>
                <w:rFonts w:ascii="Calibri" w:hAnsi="Calibri" w:cs="Calibri"/>
                <w:b/>
                <w:color w:val="000000"/>
                <w:sz w:val="15"/>
                <w:szCs w:val="15"/>
              </w:rPr>
            </w:pPr>
            <w:r>
              <w:rPr>
                <w:rFonts w:ascii="Calibri" w:hAnsi="Calibri" w:cs="Calibri"/>
                <w:b/>
                <w:color w:val="000000"/>
                <w:sz w:val="15"/>
                <w:szCs w:val="15"/>
              </w:rPr>
              <w:t>R</w:t>
            </w:r>
            <w:r w:rsidR="00BD0A73" w:rsidRPr="00517476">
              <w:rPr>
                <w:rFonts w:ascii="Calibri" w:hAnsi="Calibri" w:cs="Calibri"/>
                <w:b/>
                <w:color w:val="000000"/>
                <w:sz w:val="15"/>
                <w:szCs w:val="15"/>
              </w:rPr>
              <w:t>oky</w:t>
            </w:r>
          </w:p>
        </w:tc>
        <w:tc>
          <w:tcPr>
            <w:tcW w:w="875" w:type="dxa"/>
            <w:shd w:val="clear" w:color="auto" w:fill="auto"/>
            <w:noWrap/>
            <w:vAlign w:val="center"/>
            <w:hideMark/>
          </w:tcPr>
          <w:p w14:paraId="4B3A8D62" w14:textId="77777777" w:rsidR="00BD0A73" w:rsidRPr="00517476" w:rsidRDefault="00BD0A73" w:rsidP="00BD0A73">
            <w:pPr>
              <w:spacing w:after="0"/>
              <w:ind w:firstLine="0"/>
              <w:jc w:val="center"/>
              <w:rPr>
                <w:rFonts w:ascii="Calibri" w:hAnsi="Calibri" w:cs="Calibri"/>
                <w:b/>
                <w:color w:val="000000"/>
                <w:sz w:val="15"/>
                <w:szCs w:val="15"/>
              </w:rPr>
            </w:pPr>
            <w:r w:rsidRPr="00517476">
              <w:rPr>
                <w:rFonts w:ascii="Calibri" w:hAnsi="Calibri" w:cs="Calibri"/>
                <w:b/>
                <w:color w:val="000000"/>
                <w:sz w:val="15"/>
                <w:szCs w:val="15"/>
              </w:rPr>
              <w:t>2017 - 2018</w:t>
            </w:r>
          </w:p>
        </w:tc>
        <w:tc>
          <w:tcPr>
            <w:tcW w:w="875" w:type="dxa"/>
            <w:shd w:val="clear" w:color="auto" w:fill="auto"/>
            <w:noWrap/>
            <w:vAlign w:val="center"/>
            <w:hideMark/>
          </w:tcPr>
          <w:p w14:paraId="204EBD1F" w14:textId="77777777" w:rsidR="00BD0A73" w:rsidRPr="00517476" w:rsidRDefault="00BD0A73" w:rsidP="00BD0A73">
            <w:pPr>
              <w:spacing w:after="0"/>
              <w:ind w:firstLine="0"/>
              <w:jc w:val="center"/>
              <w:rPr>
                <w:rFonts w:ascii="Calibri" w:hAnsi="Calibri" w:cs="Calibri"/>
                <w:b/>
                <w:color w:val="000000"/>
                <w:sz w:val="15"/>
                <w:szCs w:val="15"/>
              </w:rPr>
            </w:pPr>
            <w:r w:rsidRPr="00517476">
              <w:rPr>
                <w:rFonts w:ascii="Calibri" w:hAnsi="Calibri" w:cs="Calibri"/>
                <w:b/>
                <w:color w:val="000000"/>
                <w:sz w:val="15"/>
                <w:szCs w:val="15"/>
              </w:rPr>
              <w:t>2018 - 2019</w:t>
            </w:r>
          </w:p>
        </w:tc>
        <w:tc>
          <w:tcPr>
            <w:tcW w:w="883" w:type="dxa"/>
            <w:shd w:val="clear" w:color="auto" w:fill="auto"/>
            <w:noWrap/>
            <w:vAlign w:val="center"/>
            <w:hideMark/>
          </w:tcPr>
          <w:p w14:paraId="07BA23E9" w14:textId="77777777" w:rsidR="00BD0A73" w:rsidRPr="00517476" w:rsidRDefault="00BD0A73" w:rsidP="00BD0A73">
            <w:pPr>
              <w:spacing w:after="0"/>
              <w:ind w:firstLine="0"/>
              <w:jc w:val="center"/>
              <w:rPr>
                <w:rFonts w:ascii="Calibri" w:hAnsi="Calibri" w:cs="Calibri"/>
                <w:b/>
                <w:color w:val="000000"/>
                <w:sz w:val="15"/>
                <w:szCs w:val="15"/>
              </w:rPr>
            </w:pPr>
            <w:r w:rsidRPr="00517476">
              <w:rPr>
                <w:rFonts w:ascii="Calibri" w:hAnsi="Calibri" w:cs="Calibri"/>
                <w:b/>
                <w:color w:val="000000"/>
                <w:sz w:val="15"/>
                <w:szCs w:val="15"/>
              </w:rPr>
              <w:t>2019 - 2020</w:t>
            </w:r>
          </w:p>
        </w:tc>
        <w:tc>
          <w:tcPr>
            <w:tcW w:w="948" w:type="dxa"/>
            <w:shd w:val="clear" w:color="auto" w:fill="auto"/>
            <w:noWrap/>
            <w:vAlign w:val="center"/>
            <w:hideMark/>
          </w:tcPr>
          <w:p w14:paraId="0B00465D" w14:textId="77777777" w:rsidR="00BD0A73" w:rsidRPr="00517476" w:rsidRDefault="00BD0A73" w:rsidP="00BD0A73">
            <w:pPr>
              <w:spacing w:after="0"/>
              <w:ind w:firstLine="0"/>
              <w:jc w:val="center"/>
              <w:rPr>
                <w:rFonts w:ascii="Calibri" w:hAnsi="Calibri" w:cs="Calibri"/>
                <w:b/>
                <w:color w:val="000000"/>
                <w:sz w:val="15"/>
                <w:szCs w:val="15"/>
              </w:rPr>
            </w:pPr>
            <w:r w:rsidRPr="00517476">
              <w:rPr>
                <w:rFonts w:ascii="Calibri" w:hAnsi="Calibri" w:cs="Calibri"/>
                <w:b/>
                <w:color w:val="000000"/>
                <w:sz w:val="15"/>
                <w:szCs w:val="15"/>
              </w:rPr>
              <w:t>2020 - 2021</w:t>
            </w:r>
          </w:p>
        </w:tc>
        <w:tc>
          <w:tcPr>
            <w:tcW w:w="948" w:type="dxa"/>
            <w:shd w:val="clear" w:color="auto" w:fill="auto"/>
            <w:noWrap/>
            <w:vAlign w:val="center"/>
            <w:hideMark/>
          </w:tcPr>
          <w:p w14:paraId="2498116A" w14:textId="77777777" w:rsidR="00BD0A73" w:rsidRPr="00517476" w:rsidRDefault="00BD0A73" w:rsidP="00BD0A73">
            <w:pPr>
              <w:spacing w:after="0"/>
              <w:ind w:firstLine="0"/>
              <w:jc w:val="center"/>
              <w:rPr>
                <w:rFonts w:ascii="Calibri" w:hAnsi="Calibri" w:cs="Calibri"/>
                <w:b/>
                <w:color w:val="000000"/>
                <w:sz w:val="15"/>
                <w:szCs w:val="15"/>
              </w:rPr>
            </w:pPr>
            <w:r w:rsidRPr="00517476">
              <w:rPr>
                <w:rFonts w:ascii="Calibri" w:hAnsi="Calibri" w:cs="Calibri"/>
                <w:b/>
                <w:color w:val="000000"/>
                <w:sz w:val="15"/>
                <w:szCs w:val="15"/>
              </w:rPr>
              <w:t>2021 - 2022</w:t>
            </w:r>
          </w:p>
        </w:tc>
        <w:tc>
          <w:tcPr>
            <w:tcW w:w="949" w:type="dxa"/>
            <w:shd w:val="clear" w:color="auto" w:fill="auto"/>
            <w:noWrap/>
            <w:vAlign w:val="center"/>
            <w:hideMark/>
          </w:tcPr>
          <w:p w14:paraId="78E0C8C0" w14:textId="77777777" w:rsidR="00BD0A73" w:rsidRPr="00517476" w:rsidRDefault="00BD0A73" w:rsidP="00BD0A73">
            <w:pPr>
              <w:spacing w:after="0"/>
              <w:ind w:firstLine="0"/>
              <w:jc w:val="center"/>
              <w:rPr>
                <w:rFonts w:ascii="Calibri" w:hAnsi="Calibri" w:cs="Calibri"/>
                <w:b/>
                <w:color w:val="000000"/>
                <w:sz w:val="15"/>
                <w:szCs w:val="15"/>
              </w:rPr>
            </w:pPr>
            <w:r w:rsidRPr="00517476">
              <w:rPr>
                <w:rFonts w:ascii="Calibri" w:hAnsi="Calibri" w:cs="Calibri"/>
                <w:b/>
                <w:color w:val="000000"/>
                <w:sz w:val="15"/>
                <w:szCs w:val="15"/>
              </w:rPr>
              <w:t>2022 - 2023</w:t>
            </w:r>
          </w:p>
        </w:tc>
        <w:tc>
          <w:tcPr>
            <w:tcW w:w="948" w:type="dxa"/>
            <w:shd w:val="clear" w:color="auto" w:fill="auto"/>
            <w:noWrap/>
            <w:vAlign w:val="center"/>
            <w:hideMark/>
          </w:tcPr>
          <w:p w14:paraId="62826542" w14:textId="77777777" w:rsidR="00BD0A73" w:rsidRPr="00517476" w:rsidRDefault="00BD0A73" w:rsidP="00BD0A73">
            <w:pPr>
              <w:spacing w:after="0"/>
              <w:ind w:firstLine="0"/>
              <w:jc w:val="center"/>
              <w:rPr>
                <w:rFonts w:ascii="Calibri" w:hAnsi="Calibri" w:cs="Calibri"/>
                <w:b/>
                <w:color w:val="000000"/>
                <w:sz w:val="15"/>
                <w:szCs w:val="15"/>
              </w:rPr>
            </w:pPr>
            <w:r w:rsidRPr="00517476">
              <w:rPr>
                <w:rFonts w:ascii="Calibri" w:hAnsi="Calibri" w:cs="Calibri"/>
                <w:b/>
                <w:color w:val="000000"/>
                <w:sz w:val="15"/>
                <w:szCs w:val="15"/>
              </w:rPr>
              <w:t>2023 - 2024</w:t>
            </w:r>
          </w:p>
        </w:tc>
        <w:tc>
          <w:tcPr>
            <w:tcW w:w="948" w:type="dxa"/>
            <w:shd w:val="clear" w:color="auto" w:fill="auto"/>
            <w:vAlign w:val="center"/>
            <w:hideMark/>
          </w:tcPr>
          <w:p w14:paraId="3F738A64" w14:textId="77777777" w:rsidR="00BD0A73" w:rsidRPr="00517476" w:rsidRDefault="00BD0A73" w:rsidP="00BD0A73">
            <w:pPr>
              <w:spacing w:after="0"/>
              <w:ind w:firstLine="0"/>
              <w:jc w:val="center"/>
              <w:rPr>
                <w:rFonts w:ascii="Calibri" w:hAnsi="Calibri" w:cs="Calibri"/>
                <w:color w:val="000000"/>
                <w:sz w:val="15"/>
                <w:szCs w:val="15"/>
              </w:rPr>
            </w:pPr>
            <w:r w:rsidRPr="00517476">
              <w:rPr>
                <w:rFonts w:ascii="Calibri" w:hAnsi="Calibri" w:cs="Calibri"/>
                <w:b/>
                <w:color w:val="000000"/>
                <w:sz w:val="15"/>
                <w:szCs w:val="15"/>
              </w:rPr>
              <w:t xml:space="preserve">Nárast za obdobie </w:t>
            </w:r>
            <w:r w:rsidRPr="00517476">
              <w:rPr>
                <w:rFonts w:ascii="Calibri" w:hAnsi="Calibri" w:cs="Calibri"/>
                <w:b/>
                <w:color w:val="000000"/>
                <w:sz w:val="15"/>
                <w:szCs w:val="15"/>
              </w:rPr>
              <w:br/>
              <w:t>2017-2024</w:t>
            </w:r>
            <w:r w:rsidRPr="00517476">
              <w:rPr>
                <w:rFonts w:ascii="Calibri" w:hAnsi="Calibri" w:cs="Calibri"/>
                <w:color w:val="000000"/>
                <w:sz w:val="15"/>
                <w:szCs w:val="15"/>
              </w:rPr>
              <w:br/>
              <w:t>(v %)</w:t>
            </w:r>
          </w:p>
        </w:tc>
        <w:tc>
          <w:tcPr>
            <w:tcW w:w="905" w:type="dxa"/>
            <w:shd w:val="clear" w:color="auto" w:fill="auto"/>
            <w:vAlign w:val="center"/>
            <w:hideMark/>
          </w:tcPr>
          <w:p w14:paraId="4E90EA01" w14:textId="77777777" w:rsidR="00BD0A73" w:rsidRPr="00517476" w:rsidRDefault="00BD0A73" w:rsidP="00BD0A73">
            <w:pPr>
              <w:spacing w:after="0"/>
              <w:ind w:firstLine="0"/>
              <w:jc w:val="center"/>
              <w:rPr>
                <w:rFonts w:ascii="Calibri" w:hAnsi="Calibri" w:cs="Calibri"/>
                <w:color w:val="000000"/>
                <w:sz w:val="15"/>
                <w:szCs w:val="15"/>
              </w:rPr>
            </w:pPr>
            <w:r w:rsidRPr="00517476">
              <w:rPr>
                <w:rFonts w:ascii="Calibri" w:hAnsi="Calibri" w:cs="Calibri"/>
                <w:b/>
                <w:color w:val="000000"/>
                <w:sz w:val="15"/>
                <w:szCs w:val="15"/>
              </w:rPr>
              <w:t>Priemerný medziročný nárast</w:t>
            </w:r>
            <w:r w:rsidRPr="00517476">
              <w:rPr>
                <w:rFonts w:ascii="Calibri" w:hAnsi="Calibri" w:cs="Calibri"/>
                <w:color w:val="000000"/>
                <w:sz w:val="15"/>
                <w:szCs w:val="15"/>
              </w:rPr>
              <w:t xml:space="preserve"> </w:t>
            </w:r>
            <w:r w:rsidRPr="00517476">
              <w:rPr>
                <w:rFonts w:ascii="Calibri" w:hAnsi="Calibri" w:cs="Calibri"/>
                <w:color w:val="000000"/>
                <w:sz w:val="15"/>
                <w:szCs w:val="15"/>
              </w:rPr>
              <w:br/>
              <w:t>(v %)</w:t>
            </w:r>
          </w:p>
        </w:tc>
      </w:tr>
      <w:tr w:rsidR="00BA22A6" w:rsidRPr="00BA22A6" w14:paraId="4AB7837B" w14:textId="77777777" w:rsidTr="00DB1AEA">
        <w:trPr>
          <w:trHeight w:val="1217"/>
        </w:trPr>
        <w:tc>
          <w:tcPr>
            <w:tcW w:w="913" w:type="dxa"/>
            <w:shd w:val="clear" w:color="auto" w:fill="auto"/>
            <w:vAlign w:val="center"/>
            <w:hideMark/>
          </w:tcPr>
          <w:p w14:paraId="21F7F84D" w14:textId="77777777" w:rsidR="00BD0A73" w:rsidRPr="00BD0A73" w:rsidRDefault="00BD0A73" w:rsidP="00BD0A73">
            <w:pPr>
              <w:spacing w:after="0"/>
              <w:ind w:firstLine="0"/>
              <w:jc w:val="center"/>
              <w:rPr>
                <w:rFonts w:ascii="Calibri" w:hAnsi="Calibri" w:cs="Calibri"/>
                <w:color w:val="000000"/>
                <w:sz w:val="16"/>
                <w:szCs w:val="16"/>
              </w:rPr>
            </w:pPr>
            <w:r w:rsidRPr="00BD0A73">
              <w:rPr>
                <w:rFonts w:ascii="Calibri" w:hAnsi="Calibri" w:cs="Calibri"/>
                <w:b/>
                <w:color w:val="000000"/>
                <w:sz w:val="16"/>
                <w:szCs w:val="16"/>
              </w:rPr>
              <w:t>Medziročný rozdiel CCP</w:t>
            </w:r>
            <w:r w:rsidRPr="00BD0A73">
              <w:rPr>
                <w:rFonts w:ascii="Calibri" w:hAnsi="Calibri" w:cs="Calibri"/>
                <w:color w:val="000000"/>
                <w:sz w:val="16"/>
                <w:szCs w:val="16"/>
              </w:rPr>
              <w:t xml:space="preserve"> (v %)</w:t>
            </w:r>
          </w:p>
        </w:tc>
        <w:tc>
          <w:tcPr>
            <w:tcW w:w="875" w:type="dxa"/>
            <w:shd w:val="clear" w:color="auto" w:fill="auto"/>
            <w:noWrap/>
            <w:vAlign w:val="center"/>
            <w:hideMark/>
          </w:tcPr>
          <w:p w14:paraId="40FD761E" w14:textId="77777777" w:rsidR="00BD0A73" w:rsidRPr="00BD0A73" w:rsidRDefault="00BD0A73" w:rsidP="00BD0A73">
            <w:pPr>
              <w:spacing w:after="0"/>
              <w:ind w:firstLine="0"/>
              <w:jc w:val="center"/>
              <w:rPr>
                <w:rFonts w:ascii="Calibri" w:hAnsi="Calibri" w:cs="Calibri"/>
                <w:color w:val="000000"/>
                <w:sz w:val="16"/>
                <w:szCs w:val="16"/>
              </w:rPr>
            </w:pPr>
            <w:r w:rsidRPr="00BD0A73">
              <w:rPr>
                <w:rFonts w:ascii="Calibri" w:hAnsi="Calibri" w:cs="Calibri"/>
                <w:color w:val="000000"/>
                <w:sz w:val="16"/>
                <w:szCs w:val="16"/>
              </w:rPr>
              <w:t>6,38</w:t>
            </w:r>
          </w:p>
        </w:tc>
        <w:tc>
          <w:tcPr>
            <w:tcW w:w="875" w:type="dxa"/>
            <w:shd w:val="clear" w:color="auto" w:fill="auto"/>
            <w:noWrap/>
            <w:vAlign w:val="center"/>
            <w:hideMark/>
          </w:tcPr>
          <w:p w14:paraId="56A93610" w14:textId="77777777" w:rsidR="00BD0A73" w:rsidRPr="00BD0A73" w:rsidRDefault="00BD0A73" w:rsidP="00BD0A73">
            <w:pPr>
              <w:spacing w:after="0"/>
              <w:ind w:firstLine="0"/>
              <w:jc w:val="center"/>
              <w:rPr>
                <w:rFonts w:ascii="Calibri" w:hAnsi="Calibri" w:cs="Calibri"/>
                <w:color w:val="000000"/>
                <w:sz w:val="16"/>
                <w:szCs w:val="16"/>
              </w:rPr>
            </w:pPr>
            <w:r w:rsidRPr="00BD0A73">
              <w:rPr>
                <w:rFonts w:ascii="Calibri" w:hAnsi="Calibri" w:cs="Calibri"/>
                <w:color w:val="000000"/>
                <w:sz w:val="16"/>
                <w:szCs w:val="16"/>
              </w:rPr>
              <w:t>8,13</w:t>
            </w:r>
          </w:p>
        </w:tc>
        <w:tc>
          <w:tcPr>
            <w:tcW w:w="883" w:type="dxa"/>
            <w:shd w:val="clear" w:color="auto" w:fill="auto"/>
            <w:noWrap/>
            <w:vAlign w:val="center"/>
            <w:hideMark/>
          </w:tcPr>
          <w:p w14:paraId="348BE37F" w14:textId="77777777" w:rsidR="00BD0A73" w:rsidRPr="00BD0A73" w:rsidRDefault="00BD0A73" w:rsidP="00BD0A73">
            <w:pPr>
              <w:spacing w:after="0"/>
              <w:ind w:firstLine="0"/>
              <w:jc w:val="center"/>
              <w:rPr>
                <w:rFonts w:ascii="Calibri" w:hAnsi="Calibri" w:cs="Calibri"/>
                <w:color w:val="000000"/>
                <w:sz w:val="16"/>
                <w:szCs w:val="16"/>
              </w:rPr>
            </w:pPr>
            <w:r w:rsidRPr="00BD0A73">
              <w:rPr>
                <w:rFonts w:ascii="Calibri" w:hAnsi="Calibri" w:cs="Calibri"/>
                <w:color w:val="000000"/>
                <w:sz w:val="16"/>
                <w:szCs w:val="16"/>
              </w:rPr>
              <w:t>3,01</w:t>
            </w:r>
          </w:p>
        </w:tc>
        <w:tc>
          <w:tcPr>
            <w:tcW w:w="948" w:type="dxa"/>
            <w:shd w:val="clear" w:color="auto" w:fill="auto"/>
            <w:noWrap/>
            <w:vAlign w:val="center"/>
            <w:hideMark/>
          </w:tcPr>
          <w:p w14:paraId="75A35740" w14:textId="77777777" w:rsidR="00BD0A73" w:rsidRPr="00BD0A73" w:rsidRDefault="00BD0A73" w:rsidP="00BD0A73">
            <w:pPr>
              <w:spacing w:after="0"/>
              <w:ind w:firstLine="0"/>
              <w:jc w:val="center"/>
              <w:rPr>
                <w:rFonts w:ascii="Calibri" w:hAnsi="Calibri" w:cs="Calibri"/>
                <w:color w:val="000000"/>
                <w:sz w:val="16"/>
                <w:szCs w:val="16"/>
              </w:rPr>
            </w:pPr>
            <w:r w:rsidRPr="00BD0A73">
              <w:rPr>
                <w:rFonts w:ascii="Calibri" w:hAnsi="Calibri" w:cs="Calibri"/>
                <w:color w:val="000000"/>
                <w:sz w:val="16"/>
                <w:szCs w:val="16"/>
              </w:rPr>
              <w:t>6,75</w:t>
            </w:r>
          </w:p>
        </w:tc>
        <w:tc>
          <w:tcPr>
            <w:tcW w:w="948" w:type="dxa"/>
            <w:shd w:val="clear" w:color="auto" w:fill="auto"/>
            <w:noWrap/>
            <w:vAlign w:val="center"/>
            <w:hideMark/>
          </w:tcPr>
          <w:p w14:paraId="16572378" w14:textId="77777777" w:rsidR="00BD0A73" w:rsidRPr="00BD0A73" w:rsidRDefault="00BD0A73" w:rsidP="00BD0A73">
            <w:pPr>
              <w:spacing w:after="0"/>
              <w:ind w:firstLine="0"/>
              <w:jc w:val="center"/>
              <w:rPr>
                <w:rFonts w:ascii="Calibri" w:hAnsi="Calibri" w:cs="Calibri"/>
                <w:color w:val="000000"/>
                <w:sz w:val="16"/>
                <w:szCs w:val="16"/>
              </w:rPr>
            </w:pPr>
            <w:r w:rsidRPr="00BD0A73">
              <w:rPr>
                <w:rFonts w:ascii="Calibri" w:hAnsi="Calibri" w:cs="Calibri"/>
                <w:color w:val="000000"/>
                <w:sz w:val="16"/>
                <w:szCs w:val="16"/>
              </w:rPr>
              <w:t>8,20</w:t>
            </w:r>
          </w:p>
        </w:tc>
        <w:tc>
          <w:tcPr>
            <w:tcW w:w="949" w:type="dxa"/>
            <w:shd w:val="clear" w:color="auto" w:fill="auto"/>
            <w:noWrap/>
            <w:vAlign w:val="center"/>
            <w:hideMark/>
          </w:tcPr>
          <w:p w14:paraId="27F877C1" w14:textId="77777777" w:rsidR="00BD0A73" w:rsidRPr="00BD0A73" w:rsidRDefault="00BD0A73" w:rsidP="00BD0A73">
            <w:pPr>
              <w:spacing w:after="0"/>
              <w:ind w:firstLine="0"/>
              <w:jc w:val="center"/>
              <w:rPr>
                <w:rFonts w:ascii="Calibri" w:hAnsi="Calibri" w:cs="Calibri"/>
                <w:color w:val="000000"/>
                <w:sz w:val="16"/>
                <w:szCs w:val="16"/>
              </w:rPr>
            </w:pPr>
            <w:r w:rsidRPr="00BD0A73">
              <w:rPr>
                <w:rFonts w:ascii="Calibri" w:hAnsi="Calibri" w:cs="Calibri"/>
                <w:color w:val="000000"/>
                <w:sz w:val="16"/>
                <w:szCs w:val="16"/>
              </w:rPr>
              <w:t>10,05</w:t>
            </w:r>
          </w:p>
        </w:tc>
        <w:tc>
          <w:tcPr>
            <w:tcW w:w="948" w:type="dxa"/>
            <w:shd w:val="clear" w:color="auto" w:fill="auto"/>
            <w:noWrap/>
            <w:vAlign w:val="center"/>
            <w:hideMark/>
          </w:tcPr>
          <w:p w14:paraId="0216F3B2" w14:textId="77777777" w:rsidR="00BD0A73" w:rsidRPr="00BD0A73" w:rsidRDefault="00BD0A73" w:rsidP="00BD0A73">
            <w:pPr>
              <w:spacing w:after="0"/>
              <w:ind w:firstLine="0"/>
              <w:jc w:val="center"/>
              <w:rPr>
                <w:rFonts w:ascii="Calibri" w:hAnsi="Calibri" w:cs="Calibri"/>
                <w:sz w:val="16"/>
                <w:szCs w:val="16"/>
              </w:rPr>
            </w:pPr>
            <w:r w:rsidRPr="00BD0A73">
              <w:rPr>
                <w:rFonts w:ascii="Calibri" w:hAnsi="Calibri" w:cs="Calibri"/>
                <w:sz w:val="16"/>
                <w:szCs w:val="16"/>
              </w:rPr>
              <w:t>15,31</w:t>
            </w:r>
          </w:p>
        </w:tc>
        <w:tc>
          <w:tcPr>
            <w:tcW w:w="948" w:type="dxa"/>
            <w:shd w:val="clear" w:color="auto" w:fill="auto"/>
            <w:noWrap/>
            <w:vAlign w:val="center"/>
            <w:hideMark/>
          </w:tcPr>
          <w:p w14:paraId="458F9934" w14:textId="77777777" w:rsidR="00BD0A73" w:rsidRPr="00BD0A73" w:rsidRDefault="00BD0A73" w:rsidP="00BD0A73">
            <w:pPr>
              <w:spacing w:after="0"/>
              <w:ind w:firstLine="0"/>
              <w:jc w:val="center"/>
              <w:rPr>
                <w:rFonts w:ascii="Calibri" w:hAnsi="Calibri" w:cs="Calibri"/>
                <w:b/>
                <w:sz w:val="16"/>
                <w:szCs w:val="16"/>
              </w:rPr>
            </w:pPr>
            <w:r w:rsidRPr="00BD0A73">
              <w:rPr>
                <w:rFonts w:ascii="Calibri" w:hAnsi="Calibri" w:cs="Calibri"/>
                <w:b/>
                <w:sz w:val="16"/>
                <w:szCs w:val="16"/>
              </w:rPr>
              <w:t>61,87</w:t>
            </w:r>
          </w:p>
        </w:tc>
        <w:tc>
          <w:tcPr>
            <w:tcW w:w="905" w:type="dxa"/>
            <w:shd w:val="clear" w:color="auto" w:fill="auto"/>
            <w:noWrap/>
            <w:vAlign w:val="center"/>
            <w:hideMark/>
          </w:tcPr>
          <w:p w14:paraId="30F539CF" w14:textId="77777777" w:rsidR="00BD0A73" w:rsidRPr="00BD0A73" w:rsidRDefault="00BD0A73" w:rsidP="00BD0A73">
            <w:pPr>
              <w:spacing w:after="0"/>
              <w:ind w:firstLine="0"/>
              <w:jc w:val="center"/>
              <w:rPr>
                <w:rFonts w:ascii="Calibri" w:hAnsi="Calibri" w:cs="Calibri"/>
                <w:b/>
                <w:bCs/>
                <w:color w:val="FF0000"/>
                <w:sz w:val="16"/>
                <w:szCs w:val="16"/>
              </w:rPr>
            </w:pPr>
            <w:r w:rsidRPr="00BD0A73">
              <w:rPr>
                <w:rFonts w:ascii="Calibri" w:hAnsi="Calibri" w:cs="Calibri"/>
                <w:b/>
                <w:bCs/>
                <w:sz w:val="16"/>
                <w:szCs w:val="16"/>
              </w:rPr>
              <w:t>8,26</w:t>
            </w:r>
          </w:p>
        </w:tc>
      </w:tr>
    </w:tbl>
    <w:p w14:paraId="3D2466BD" w14:textId="41E9D847" w:rsidR="00B013F2" w:rsidRDefault="00B013F2" w:rsidP="00386530">
      <w:pPr>
        <w:pStyle w:val="Odsekzoznamu"/>
        <w:spacing w:after="120"/>
        <w:ind w:firstLine="0"/>
        <w:rPr>
          <w:rFonts w:cs="Times New Roman"/>
          <w:szCs w:val="24"/>
        </w:rPr>
      </w:pPr>
      <w:r>
        <w:rPr>
          <w:rFonts w:cs="Times New Roman"/>
          <w:szCs w:val="24"/>
        </w:rPr>
        <w:t>Vyjadrené v absolútnych číslach</w:t>
      </w:r>
      <w:r w:rsidR="00590B3E">
        <w:rPr>
          <w:rFonts w:cs="Times New Roman"/>
          <w:szCs w:val="24"/>
        </w:rPr>
        <w:t>,</w:t>
      </w:r>
      <w:r w:rsidR="00D13E7F">
        <w:rPr>
          <w:rFonts w:cs="Times New Roman"/>
          <w:szCs w:val="24"/>
        </w:rPr>
        <w:t xml:space="preserve"> CCP v roku 2024</w:t>
      </w:r>
      <w:r>
        <w:rPr>
          <w:rFonts w:cs="Times New Roman"/>
          <w:szCs w:val="24"/>
        </w:rPr>
        <w:t xml:space="preserve"> </w:t>
      </w:r>
      <w:r w:rsidR="00230BB8">
        <w:rPr>
          <w:rFonts w:cs="Times New Roman"/>
          <w:szCs w:val="24"/>
        </w:rPr>
        <w:t>narástla</w:t>
      </w:r>
      <w:r w:rsidR="004333A1">
        <w:rPr>
          <w:rFonts w:cs="Times New Roman"/>
          <w:szCs w:val="24"/>
        </w:rPr>
        <w:t xml:space="preserve"> medziročne </w:t>
      </w:r>
      <w:r w:rsidR="00230BB8" w:rsidRPr="00FC33F6">
        <w:rPr>
          <w:rFonts w:cs="Times New Roman"/>
          <w:b/>
          <w:szCs w:val="24"/>
        </w:rPr>
        <w:t xml:space="preserve"> </w:t>
      </w:r>
      <w:r w:rsidR="00FC33F6" w:rsidRPr="00FC33F6">
        <w:rPr>
          <w:rFonts w:cs="Times New Roman"/>
          <w:b/>
          <w:szCs w:val="24"/>
        </w:rPr>
        <w:t xml:space="preserve">o 137,58 </w:t>
      </w:r>
      <w:r w:rsidR="009418BA">
        <w:rPr>
          <w:rFonts w:cs="Times New Roman"/>
          <w:b/>
          <w:szCs w:val="24"/>
        </w:rPr>
        <w:t>eur</w:t>
      </w:r>
      <w:r w:rsidR="00FC33F6">
        <w:rPr>
          <w:rFonts w:cs="Times New Roman"/>
          <w:szCs w:val="24"/>
        </w:rPr>
        <w:t>, teda o </w:t>
      </w:r>
      <w:r w:rsidR="00FC33F6" w:rsidRPr="004333A1">
        <w:rPr>
          <w:rFonts w:cs="Times New Roman"/>
          <w:szCs w:val="24"/>
        </w:rPr>
        <w:t>15,31</w:t>
      </w:r>
      <w:r w:rsidR="00230BB8" w:rsidRPr="004333A1">
        <w:rPr>
          <w:rFonts w:cs="Times New Roman"/>
          <w:szCs w:val="24"/>
        </w:rPr>
        <w:t xml:space="preserve"> </w:t>
      </w:r>
      <w:r w:rsidR="00FC33F6" w:rsidRPr="004333A1">
        <w:rPr>
          <w:rFonts w:cs="Times New Roman"/>
          <w:szCs w:val="24"/>
        </w:rPr>
        <w:t>%</w:t>
      </w:r>
      <w:r w:rsidR="004333A1" w:rsidRPr="004333A1">
        <w:rPr>
          <w:rFonts w:cs="Times New Roman"/>
          <w:szCs w:val="24"/>
        </w:rPr>
        <w:t>.</w:t>
      </w:r>
      <w:r w:rsidR="004333A1">
        <w:rPr>
          <w:rFonts w:cs="Times New Roman"/>
          <w:szCs w:val="24"/>
        </w:rPr>
        <w:t xml:space="preserve"> Pre vytvorenie lepšieho obrazu v časovom rade od roku </w:t>
      </w:r>
      <w:r>
        <w:rPr>
          <w:rFonts w:cs="Times New Roman"/>
          <w:szCs w:val="24"/>
        </w:rPr>
        <w:t xml:space="preserve">2017 </w:t>
      </w:r>
      <w:r w:rsidR="004333A1">
        <w:rPr>
          <w:rFonts w:cs="Times New Roman"/>
          <w:szCs w:val="24"/>
        </w:rPr>
        <w:t xml:space="preserve">narástla CCP </w:t>
      </w:r>
      <w:r w:rsidR="00BD0A73" w:rsidRPr="004333A1">
        <w:rPr>
          <w:rFonts w:cs="Times New Roman"/>
          <w:szCs w:val="24"/>
        </w:rPr>
        <w:t>o</w:t>
      </w:r>
      <w:r w:rsidR="00BD0A73">
        <w:rPr>
          <w:rFonts w:cs="Times New Roman"/>
          <w:b/>
          <w:szCs w:val="24"/>
        </w:rPr>
        <w:t> 770</w:t>
      </w:r>
      <w:r w:rsidRPr="00590B3E">
        <w:rPr>
          <w:rFonts w:cs="Times New Roman"/>
          <w:b/>
          <w:szCs w:val="24"/>
        </w:rPr>
        <w:t>,</w:t>
      </w:r>
      <w:r w:rsidR="00BD0A73">
        <w:rPr>
          <w:rFonts w:cs="Times New Roman"/>
          <w:b/>
          <w:szCs w:val="24"/>
        </w:rPr>
        <w:t>61</w:t>
      </w:r>
      <w:r w:rsidRPr="00590B3E">
        <w:rPr>
          <w:rFonts w:cs="Times New Roman"/>
          <w:b/>
          <w:szCs w:val="24"/>
        </w:rPr>
        <w:t xml:space="preserve"> </w:t>
      </w:r>
      <w:r w:rsidR="009418BA">
        <w:rPr>
          <w:rFonts w:cs="Times New Roman"/>
          <w:b/>
          <w:szCs w:val="24"/>
        </w:rPr>
        <w:t>eur</w:t>
      </w:r>
      <w:r>
        <w:rPr>
          <w:rFonts w:cs="Times New Roman"/>
          <w:szCs w:val="24"/>
        </w:rPr>
        <w:t>, t. j</w:t>
      </w:r>
      <w:r w:rsidR="00FC33F6">
        <w:rPr>
          <w:rFonts w:cs="Times New Roman"/>
          <w:szCs w:val="24"/>
        </w:rPr>
        <w:t>.</w:t>
      </w:r>
      <w:r>
        <w:rPr>
          <w:rFonts w:cs="Times New Roman"/>
          <w:szCs w:val="24"/>
        </w:rPr>
        <w:t xml:space="preserve"> o</w:t>
      </w:r>
      <w:r w:rsidR="00590B3E">
        <w:rPr>
          <w:rFonts w:cs="Times New Roman"/>
          <w:szCs w:val="24"/>
        </w:rPr>
        <w:t xml:space="preserve"> </w:t>
      </w:r>
      <w:r w:rsidR="004333A1">
        <w:rPr>
          <w:rFonts w:cs="Times New Roman"/>
          <w:szCs w:val="24"/>
        </w:rPr>
        <w:t>61</w:t>
      </w:r>
      <w:r w:rsidR="001737EB">
        <w:rPr>
          <w:rFonts w:cs="Times New Roman"/>
          <w:szCs w:val="24"/>
        </w:rPr>
        <w:t>,62</w:t>
      </w:r>
      <w:r w:rsidR="004333A1">
        <w:rPr>
          <w:rFonts w:cs="Times New Roman"/>
          <w:szCs w:val="24"/>
        </w:rPr>
        <w:t xml:space="preserve"> </w:t>
      </w:r>
      <w:r w:rsidR="00590B3E">
        <w:rPr>
          <w:rFonts w:cs="Times New Roman"/>
          <w:szCs w:val="24"/>
        </w:rPr>
        <w:t>%).</w:t>
      </w:r>
    </w:p>
    <w:tbl>
      <w:tblPr>
        <w:tblW w:w="91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7"/>
        <w:gridCol w:w="883"/>
        <w:gridCol w:w="883"/>
        <w:gridCol w:w="825"/>
        <w:gridCol w:w="781"/>
        <w:gridCol w:w="870"/>
        <w:gridCol w:w="751"/>
        <w:gridCol w:w="910"/>
        <w:gridCol w:w="951"/>
        <w:gridCol w:w="1183"/>
      </w:tblGrid>
      <w:tr w:rsidR="00BA22A6" w:rsidRPr="00BA22A6" w14:paraId="45A049F2" w14:textId="77777777" w:rsidTr="00DB1AEA">
        <w:trPr>
          <w:trHeight w:val="1146"/>
        </w:trPr>
        <w:tc>
          <w:tcPr>
            <w:tcW w:w="1137" w:type="dxa"/>
            <w:shd w:val="clear" w:color="auto" w:fill="auto"/>
            <w:noWrap/>
            <w:vAlign w:val="center"/>
            <w:hideMark/>
          </w:tcPr>
          <w:p w14:paraId="32653065" w14:textId="32B47B63" w:rsidR="00BA22A6" w:rsidRPr="00517476" w:rsidRDefault="00517476" w:rsidP="00BA22A6">
            <w:pPr>
              <w:spacing w:after="0"/>
              <w:ind w:firstLine="0"/>
              <w:jc w:val="center"/>
              <w:rPr>
                <w:rFonts w:ascii="Calibri" w:hAnsi="Calibri" w:cs="Calibri"/>
                <w:b/>
                <w:color w:val="000000"/>
                <w:sz w:val="16"/>
                <w:szCs w:val="16"/>
              </w:rPr>
            </w:pPr>
            <w:r>
              <w:rPr>
                <w:rFonts w:ascii="Calibri" w:hAnsi="Calibri" w:cs="Calibri"/>
                <w:b/>
                <w:color w:val="000000"/>
                <w:sz w:val="16"/>
                <w:szCs w:val="16"/>
              </w:rPr>
              <w:t>R</w:t>
            </w:r>
            <w:r w:rsidR="00BA22A6" w:rsidRPr="00517476">
              <w:rPr>
                <w:rFonts w:ascii="Calibri" w:hAnsi="Calibri" w:cs="Calibri"/>
                <w:b/>
                <w:color w:val="000000"/>
                <w:sz w:val="16"/>
                <w:szCs w:val="16"/>
              </w:rPr>
              <w:t>oky</w:t>
            </w:r>
          </w:p>
        </w:tc>
        <w:tc>
          <w:tcPr>
            <w:tcW w:w="883" w:type="dxa"/>
            <w:shd w:val="clear" w:color="auto" w:fill="auto"/>
            <w:noWrap/>
            <w:vAlign w:val="center"/>
            <w:hideMark/>
          </w:tcPr>
          <w:p w14:paraId="6EFE70F3"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2017</w:t>
            </w:r>
          </w:p>
        </w:tc>
        <w:tc>
          <w:tcPr>
            <w:tcW w:w="883" w:type="dxa"/>
            <w:shd w:val="clear" w:color="auto" w:fill="auto"/>
            <w:noWrap/>
            <w:vAlign w:val="center"/>
            <w:hideMark/>
          </w:tcPr>
          <w:p w14:paraId="32400773"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2018</w:t>
            </w:r>
          </w:p>
        </w:tc>
        <w:tc>
          <w:tcPr>
            <w:tcW w:w="825" w:type="dxa"/>
            <w:shd w:val="clear" w:color="auto" w:fill="auto"/>
            <w:noWrap/>
            <w:vAlign w:val="center"/>
            <w:hideMark/>
          </w:tcPr>
          <w:p w14:paraId="5D6A9347"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2019</w:t>
            </w:r>
          </w:p>
        </w:tc>
        <w:tc>
          <w:tcPr>
            <w:tcW w:w="781" w:type="dxa"/>
            <w:shd w:val="clear" w:color="auto" w:fill="auto"/>
            <w:noWrap/>
            <w:vAlign w:val="center"/>
            <w:hideMark/>
          </w:tcPr>
          <w:p w14:paraId="5CA0F617"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2020</w:t>
            </w:r>
          </w:p>
        </w:tc>
        <w:tc>
          <w:tcPr>
            <w:tcW w:w="870" w:type="dxa"/>
            <w:shd w:val="clear" w:color="auto" w:fill="auto"/>
            <w:noWrap/>
            <w:vAlign w:val="center"/>
            <w:hideMark/>
          </w:tcPr>
          <w:p w14:paraId="260DAE64"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2021</w:t>
            </w:r>
          </w:p>
        </w:tc>
        <w:tc>
          <w:tcPr>
            <w:tcW w:w="751" w:type="dxa"/>
            <w:shd w:val="clear" w:color="auto" w:fill="auto"/>
            <w:noWrap/>
            <w:vAlign w:val="center"/>
            <w:hideMark/>
          </w:tcPr>
          <w:p w14:paraId="75E80A97"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2022</w:t>
            </w:r>
          </w:p>
        </w:tc>
        <w:tc>
          <w:tcPr>
            <w:tcW w:w="910" w:type="dxa"/>
            <w:shd w:val="clear" w:color="auto" w:fill="auto"/>
            <w:noWrap/>
            <w:vAlign w:val="center"/>
            <w:hideMark/>
          </w:tcPr>
          <w:p w14:paraId="61EB4202"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2023</w:t>
            </w:r>
          </w:p>
        </w:tc>
        <w:tc>
          <w:tcPr>
            <w:tcW w:w="951" w:type="dxa"/>
            <w:shd w:val="clear" w:color="auto" w:fill="auto"/>
            <w:noWrap/>
            <w:vAlign w:val="center"/>
            <w:hideMark/>
          </w:tcPr>
          <w:p w14:paraId="19502A02" w14:textId="77777777" w:rsidR="00BA22A6" w:rsidRPr="00517476" w:rsidRDefault="00BA22A6" w:rsidP="00BA22A6">
            <w:pPr>
              <w:spacing w:after="0"/>
              <w:ind w:firstLine="0"/>
              <w:jc w:val="center"/>
              <w:rPr>
                <w:rFonts w:ascii="Calibri" w:hAnsi="Calibri" w:cs="Calibri"/>
                <w:b/>
                <w:color w:val="000000"/>
                <w:sz w:val="16"/>
                <w:szCs w:val="16"/>
              </w:rPr>
            </w:pPr>
            <w:r w:rsidRPr="00517476">
              <w:rPr>
                <w:rFonts w:ascii="Calibri" w:hAnsi="Calibri" w:cs="Calibri"/>
                <w:b/>
                <w:color w:val="000000"/>
                <w:sz w:val="16"/>
                <w:szCs w:val="16"/>
              </w:rPr>
              <w:t>2024</w:t>
            </w:r>
          </w:p>
        </w:tc>
        <w:tc>
          <w:tcPr>
            <w:tcW w:w="1183" w:type="dxa"/>
            <w:shd w:val="clear" w:color="auto" w:fill="auto"/>
            <w:vAlign w:val="center"/>
            <w:hideMark/>
          </w:tcPr>
          <w:p w14:paraId="33685C0E" w14:textId="13F12582" w:rsidR="00BA22A6" w:rsidRPr="00BA22A6" w:rsidRDefault="00BA22A6" w:rsidP="00BA22A6">
            <w:pPr>
              <w:spacing w:after="0"/>
              <w:ind w:firstLine="0"/>
              <w:jc w:val="center"/>
              <w:rPr>
                <w:rFonts w:ascii="Calibri" w:hAnsi="Calibri" w:cs="Calibri"/>
                <w:b/>
                <w:bCs/>
                <w:sz w:val="16"/>
                <w:szCs w:val="16"/>
              </w:rPr>
            </w:pPr>
            <w:r w:rsidRPr="00BA22A6">
              <w:rPr>
                <w:rFonts w:ascii="Calibri" w:hAnsi="Calibri" w:cs="Calibri"/>
                <w:b/>
                <w:bCs/>
                <w:sz w:val="16"/>
                <w:szCs w:val="16"/>
              </w:rPr>
              <w:t>Nárast za obdobie 2017-2024</w:t>
            </w:r>
            <w:r w:rsidRPr="00BA22A6">
              <w:rPr>
                <w:rFonts w:ascii="Calibri" w:hAnsi="Calibri" w:cs="Calibri"/>
                <w:b/>
                <w:bCs/>
                <w:sz w:val="16"/>
                <w:szCs w:val="16"/>
              </w:rPr>
              <w:br/>
            </w:r>
            <w:r w:rsidRPr="00BA22A6">
              <w:rPr>
                <w:rFonts w:ascii="Calibri" w:hAnsi="Calibri" w:cs="Calibri"/>
                <w:sz w:val="16"/>
                <w:szCs w:val="16"/>
              </w:rPr>
              <w:t xml:space="preserve">(v </w:t>
            </w:r>
            <w:r w:rsidR="009418BA">
              <w:rPr>
                <w:rFonts w:ascii="Calibri" w:hAnsi="Calibri" w:cs="Calibri"/>
                <w:sz w:val="16"/>
                <w:szCs w:val="16"/>
              </w:rPr>
              <w:t>eur</w:t>
            </w:r>
            <w:r w:rsidRPr="00BA22A6">
              <w:rPr>
                <w:rFonts w:ascii="Calibri" w:hAnsi="Calibri" w:cs="Calibri"/>
                <w:sz w:val="16"/>
                <w:szCs w:val="16"/>
              </w:rPr>
              <w:t>)</w:t>
            </w:r>
          </w:p>
        </w:tc>
      </w:tr>
      <w:tr w:rsidR="00BA22A6" w:rsidRPr="00BA22A6" w14:paraId="4D3861C5" w14:textId="77777777" w:rsidTr="00DB1AEA">
        <w:trPr>
          <w:trHeight w:val="1276"/>
        </w:trPr>
        <w:tc>
          <w:tcPr>
            <w:tcW w:w="1137" w:type="dxa"/>
            <w:shd w:val="clear" w:color="auto" w:fill="auto"/>
            <w:vAlign w:val="center"/>
            <w:hideMark/>
          </w:tcPr>
          <w:p w14:paraId="53AED5BE" w14:textId="77777777" w:rsidR="00BA22A6" w:rsidRDefault="00BA22A6" w:rsidP="00BA22A6">
            <w:pPr>
              <w:spacing w:after="0"/>
              <w:ind w:firstLine="0"/>
              <w:jc w:val="center"/>
              <w:rPr>
                <w:rFonts w:ascii="Calibri" w:hAnsi="Calibri" w:cs="Calibri"/>
                <w:color w:val="000000"/>
                <w:sz w:val="16"/>
                <w:szCs w:val="16"/>
              </w:rPr>
            </w:pPr>
            <w:r w:rsidRPr="00BA22A6">
              <w:rPr>
                <w:rFonts w:ascii="Calibri" w:hAnsi="Calibri" w:cs="Calibri"/>
                <w:b/>
                <w:color w:val="000000"/>
                <w:sz w:val="16"/>
                <w:szCs w:val="16"/>
              </w:rPr>
              <w:t>CCP z priemernej mzdy v hospodárstve</w:t>
            </w:r>
            <w:r>
              <w:rPr>
                <w:rFonts w:ascii="Calibri" w:hAnsi="Calibri" w:cs="Calibri"/>
                <w:color w:val="000000"/>
                <w:sz w:val="16"/>
                <w:szCs w:val="16"/>
              </w:rPr>
              <w:t xml:space="preserve"> </w:t>
            </w:r>
            <w:r w:rsidRPr="00517476">
              <w:rPr>
                <w:rFonts w:ascii="Calibri" w:hAnsi="Calibri" w:cs="Calibri"/>
                <w:b/>
                <w:color w:val="000000"/>
                <w:sz w:val="16"/>
                <w:szCs w:val="16"/>
              </w:rPr>
              <w:t xml:space="preserve">SR </w:t>
            </w:r>
            <w:r>
              <w:rPr>
                <w:rFonts w:ascii="Calibri" w:hAnsi="Calibri" w:cs="Calibri"/>
                <w:color w:val="000000"/>
                <w:sz w:val="16"/>
                <w:szCs w:val="16"/>
              </w:rPr>
              <w:t xml:space="preserve">  </w:t>
            </w:r>
          </w:p>
          <w:p w14:paraId="31419FFB" w14:textId="0792F6BB" w:rsidR="00BA22A6" w:rsidRPr="00BA22A6" w:rsidRDefault="00BA22A6" w:rsidP="00BA22A6">
            <w:pPr>
              <w:spacing w:after="0"/>
              <w:ind w:firstLine="0"/>
              <w:jc w:val="center"/>
              <w:rPr>
                <w:rFonts w:ascii="Calibri" w:hAnsi="Calibri" w:cs="Calibri"/>
                <w:color w:val="000000"/>
                <w:sz w:val="16"/>
                <w:szCs w:val="16"/>
              </w:rPr>
            </w:pPr>
            <w:r>
              <w:rPr>
                <w:rFonts w:ascii="Calibri" w:hAnsi="Calibri" w:cs="Calibri"/>
                <w:color w:val="000000"/>
                <w:sz w:val="16"/>
                <w:szCs w:val="16"/>
              </w:rPr>
              <w:t xml:space="preserve">(v </w:t>
            </w:r>
            <w:r w:rsidR="009418BA">
              <w:rPr>
                <w:rFonts w:ascii="Calibri" w:hAnsi="Calibri" w:cs="Calibri"/>
                <w:color w:val="000000"/>
                <w:sz w:val="16"/>
                <w:szCs w:val="16"/>
              </w:rPr>
              <w:t>eur</w:t>
            </w:r>
            <w:r>
              <w:rPr>
                <w:rFonts w:ascii="Calibri" w:hAnsi="Calibri" w:cs="Calibri"/>
                <w:color w:val="000000"/>
                <w:sz w:val="16"/>
                <w:szCs w:val="16"/>
              </w:rPr>
              <w:t xml:space="preserve">) </w:t>
            </w:r>
          </w:p>
        </w:tc>
        <w:tc>
          <w:tcPr>
            <w:tcW w:w="883" w:type="dxa"/>
            <w:shd w:val="clear" w:color="auto" w:fill="auto"/>
            <w:noWrap/>
            <w:vAlign w:val="center"/>
            <w:hideMark/>
          </w:tcPr>
          <w:p w14:paraId="3DA33C92"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1 250,59</w:t>
            </w:r>
          </w:p>
        </w:tc>
        <w:tc>
          <w:tcPr>
            <w:tcW w:w="883" w:type="dxa"/>
            <w:shd w:val="clear" w:color="auto" w:fill="auto"/>
            <w:noWrap/>
            <w:vAlign w:val="center"/>
            <w:hideMark/>
          </w:tcPr>
          <w:p w14:paraId="3A578575"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1 330,36</w:t>
            </w:r>
          </w:p>
        </w:tc>
        <w:tc>
          <w:tcPr>
            <w:tcW w:w="825" w:type="dxa"/>
            <w:shd w:val="clear" w:color="auto" w:fill="auto"/>
            <w:noWrap/>
            <w:vAlign w:val="center"/>
            <w:hideMark/>
          </w:tcPr>
          <w:p w14:paraId="4AA799DE"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1 438,52</w:t>
            </w:r>
          </w:p>
        </w:tc>
        <w:tc>
          <w:tcPr>
            <w:tcW w:w="781" w:type="dxa"/>
            <w:shd w:val="clear" w:color="auto" w:fill="auto"/>
            <w:noWrap/>
            <w:vAlign w:val="center"/>
            <w:hideMark/>
          </w:tcPr>
          <w:p w14:paraId="1AC6B49D"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1 481,78</w:t>
            </w:r>
          </w:p>
        </w:tc>
        <w:tc>
          <w:tcPr>
            <w:tcW w:w="870" w:type="dxa"/>
            <w:shd w:val="clear" w:color="auto" w:fill="auto"/>
            <w:noWrap/>
            <w:vAlign w:val="center"/>
            <w:hideMark/>
          </w:tcPr>
          <w:p w14:paraId="540BB224"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1 581,83</w:t>
            </w:r>
          </w:p>
        </w:tc>
        <w:tc>
          <w:tcPr>
            <w:tcW w:w="751" w:type="dxa"/>
            <w:shd w:val="clear" w:color="auto" w:fill="auto"/>
            <w:noWrap/>
            <w:vAlign w:val="center"/>
            <w:hideMark/>
          </w:tcPr>
          <w:p w14:paraId="5FBDF760"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1 711,61</w:t>
            </w:r>
          </w:p>
        </w:tc>
        <w:tc>
          <w:tcPr>
            <w:tcW w:w="910" w:type="dxa"/>
            <w:shd w:val="clear" w:color="auto" w:fill="auto"/>
            <w:noWrap/>
            <w:vAlign w:val="center"/>
            <w:hideMark/>
          </w:tcPr>
          <w:p w14:paraId="15C81816"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1 883,62</w:t>
            </w:r>
          </w:p>
        </w:tc>
        <w:tc>
          <w:tcPr>
            <w:tcW w:w="951" w:type="dxa"/>
            <w:shd w:val="clear" w:color="auto" w:fill="auto"/>
            <w:noWrap/>
            <w:vAlign w:val="center"/>
            <w:hideMark/>
          </w:tcPr>
          <w:p w14:paraId="3850C149" w14:textId="77777777" w:rsidR="00BA22A6" w:rsidRPr="00BA22A6" w:rsidRDefault="00BA22A6" w:rsidP="00BA22A6">
            <w:pPr>
              <w:spacing w:after="0"/>
              <w:ind w:firstLine="0"/>
              <w:jc w:val="center"/>
              <w:rPr>
                <w:rFonts w:ascii="Calibri" w:hAnsi="Calibri" w:cs="Calibri"/>
                <w:color w:val="000000"/>
                <w:sz w:val="16"/>
                <w:szCs w:val="16"/>
              </w:rPr>
            </w:pPr>
            <w:r w:rsidRPr="00BA22A6">
              <w:rPr>
                <w:rFonts w:ascii="Calibri" w:hAnsi="Calibri" w:cs="Calibri"/>
                <w:color w:val="000000"/>
                <w:sz w:val="16"/>
                <w:szCs w:val="16"/>
              </w:rPr>
              <w:t>2 021,20</w:t>
            </w:r>
          </w:p>
        </w:tc>
        <w:tc>
          <w:tcPr>
            <w:tcW w:w="1183" w:type="dxa"/>
            <w:shd w:val="clear" w:color="auto" w:fill="auto"/>
            <w:noWrap/>
            <w:vAlign w:val="center"/>
            <w:hideMark/>
          </w:tcPr>
          <w:p w14:paraId="0D13D754" w14:textId="77777777" w:rsidR="00BA22A6" w:rsidRPr="00BA22A6" w:rsidRDefault="00BA22A6" w:rsidP="00BA22A6">
            <w:pPr>
              <w:spacing w:after="0"/>
              <w:ind w:firstLine="0"/>
              <w:jc w:val="center"/>
              <w:rPr>
                <w:rFonts w:ascii="Calibri" w:hAnsi="Calibri" w:cs="Calibri"/>
                <w:b/>
                <w:bCs/>
                <w:color w:val="FF0000"/>
                <w:sz w:val="16"/>
                <w:szCs w:val="16"/>
              </w:rPr>
            </w:pPr>
            <w:r w:rsidRPr="00BA22A6">
              <w:rPr>
                <w:rFonts w:ascii="Calibri" w:hAnsi="Calibri" w:cs="Calibri"/>
                <w:b/>
                <w:bCs/>
                <w:sz w:val="16"/>
                <w:szCs w:val="16"/>
              </w:rPr>
              <w:t>770,61</w:t>
            </w:r>
          </w:p>
        </w:tc>
      </w:tr>
    </w:tbl>
    <w:p w14:paraId="18128614" w14:textId="25BD971A" w:rsidR="007A5213" w:rsidRDefault="007A5213" w:rsidP="007A5213">
      <w:pPr>
        <w:pStyle w:val="Odsekzoznamu"/>
        <w:spacing w:after="0"/>
        <w:ind w:firstLine="0"/>
        <w:jc w:val="right"/>
        <w:rPr>
          <w:rFonts w:cs="Times New Roman"/>
          <w:szCs w:val="24"/>
        </w:rPr>
      </w:pPr>
      <w:r w:rsidRPr="00360774">
        <w:rPr>
          <w:i/>
          <w:sz w:val="20"/>
          <w:szCs w:val="20"/>
        </w:rPr>
        <w:t>Zdroj</w:t>
      </w:r>
      <w:r>
        <w:rPr>
          <w:i/>
          <w:sz w:val="20"/>
          <w:szCs w:val="20"/>
        </w:rPr>
        <w:t>: Ústredie PSVR</w:t>
      </w:r>
    </w:p>
    <w:p w14:paraId="7553103B" w14:textId="77777777" w:rsidR="007A5213" w:rsidRDefault="007A5213" w:rsidP="002070D1">
      <w:pPr>
        <w:pStyle w:val="Odsekzoznamu"/>
        <w:spacing w:after="0"/>
        <w:ind w:firstLine="0"/>
        <w:rPr>
          <w:rFonts w:cs="Times New Roman"/>
          <w:szCs w:val="24"/>
        </w:rPr>
      </w:pPr>
    </w:p>
    <w:p w14:paraId="40D29A62" w14:textId="42755D5D" w:rsidR="007A5213" w:rsidRDefault="007A5213" w:rsidP="002070D1">
      <w:pPr>
        <w:pStyle w:val="Odsekzoznamu"/>
        <w:spacing w:after="0"/>
        <w:ind w:firstLine="0"/>
        <w:rPr>
          <w:rFonts w:cs="Times New Roman"/>
          <w:szCs w:val="24"/>
        </w:rPr>
      </w:pPr>
    </w:p>
    <w:p w14:paraId="2B8B909A" w14:textId="77777777" w:rsidR="007A5213" w:rsidRDefault="007A5213" w:rsidP="002070D1">
      <w:pPr>
        <w:pStyle w:val="Odsekzoznamu"/>
        <w:spacing w:after="0"/>
        <w:ind w:firstLine="0"/>
        <w:rPr>
          <w:rFonts w:cs="Times New Roman"/>
          <w:szCs w:val="24"/>
        </w:rPr>
      </w:pPr>
    </w:p>
    <w:p w14:paraId="02DB0162" w14:textId="59B99D41" w:rsidR="00014D4D" w:rsidRPr="00C35CA8" w:rsidRDefault="00014D4D" w:rsidP="002070D1">
      <w:pPr>
        <w:pStyle w:val="Odsekzoznamu"/>
        <w:spacing w:after="0"/>
        <w:ind w:firstLine="0"/>
        <w:rPr>
          <w:rFonts w:cs="Times New Roman"/>
          <w:szCs w:val="24"/>
        </w:rPr>
      </w:pPr>
      <w:r w:rsidRPr="00C35CA8">
        <w:rPr>
          <w:rFonts w:cs="Times New Roman"/>
          <w:szCs w:val="24"/>
        </w:rPr>
        <w:lastRenderedPageBreak/>
        <w:t>Medziročné prírastky v úrovni CCP vidno na nasledujúcom grafe.</w:t>
      </w:r>
    </w:p>
    <w:p w14:paraId="493EFA8A" w14:textId="5E11E982" w:rsidR="00014D4D" w:rsidRDefault="00E51EAE" w:rsidP="002070D1">
      <w:pPr>
        <w:pStyle w:val="Odsekzoznamu"/>
        <w:spacing w:after="0"/>
        <w:ind w:firstLine="0"/>
        <w:rPr>
          <w:noProof/>
          <w:lang w:eastAsia="sk-SK"/>
        </w:rPr>
      </w:pPr>
      <w:r>
        <w:rPr>
          <w:noProof/>
          <w:lang w:eastAsia="sk-SK"/>
        </w:rPr>
        <w:drawing>
          <wp:inline distT="0" distB="0" distL="0" distR="0" wp14:anchorId="7037FE1C" wp14:editId="011576F6">
            <wp:extent cx="5850890" cy="2599690"/>
            <wp:effectExtent l="0" t="0" r="16510" b="10160"/>
            <wp:docPr id="471" name="Graf 471">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50BC3A" w14:textId="5A14F5A2" w:rsidR="007A5213" w:rsidRDefault="007A5213" w:rsidP="00482F04">
      <w:pPr>
        <w:pStyle w:val="Odsekzoznamu"/>
        <w:spacing w:before="0" w:after="0"/>
        <w:ind w:firstLine="0"/>
        <w:jc w:val="right"/>
        <w:rPr>
          <w:rFonts w:cs="Times New Roman"/>
          <w:szCs w:val="24"/>
        </w:rPr>
      </w:pPr>
      <w:bookmarkStart w:id="6" w:name="_Hlk103501998"/>
      <w:r w:rsidRPr="00360774">
        <w:rPr>
          <w:i/>
          <w:sz w:val="20"/>
          <w:szCs w:val="20"/>
        </w:rPr>
        <w:t>Zdroj</w:t>
      </w:r>
      <w:r>
        <w:rPr>
          <w:i/>
          <w:sz w:val="20"/>
          <w:szCs w:val="20"/>
        </w:rPr>
        <w:t>: Ústredie PSVR</w:t>
      </w:r>
      <w:r>
        <w:rPr>
          <w:rFonts w:cs="Times New Roman"/>
          <w:szCs w:val="24"/>
        </w:rPr>
        <w:t xml:space="preserve"> </w:t>
      </w:r>
    </w:p>
    <w:p w14:paraId="28138625" w14:textId="371D479A" w:rsidR="001737EB" w:rsidRDefault="00CB6176" w:rsidP="00482F04">
      <w:pPr>
        <w:pStyle w:val="Odsekzoznamu"/>
        <w:spacing w:after="120"/>
        <w:ind w:firstLine="0"/>
        <w:rPr>
          <w:rFonts w:cs="Times New Roman"/>
          <w:szCs w:val="24"/>
        </w:rPr>
      </w:pPr>
      <w:r>
        <w:rPr>
          <w:rFonts w:cs="Times New Roman"/>
          <w:szCs w:val="24"/>
        </w:rPr>
        <w:t>Príspevk</w:t>
      </w:r>
      <w:r w:rsidR="00A476C3">
        <w:rPr>
          <w:rFonts w:cs="Times New Roman"/>
          <w:szCs w:val="24"/>
        </w:rPr>
        <w:t xml:space="preserve">y AOTP </w:t>
      </w:r>
      <w:r w:rsidR="001737EB">
        <w:rPr>
          <w:rFonts w:cs="Times New Roman"/>
          <w:szCs w:val="24"/>
        </w:rPr>
        <w:t>podľa</w:t>
      </w:r>
      <w:r w:rsidR="001737EB" w:rsidRPr="009A4F3A">
        <w:rPr>
          <w:rFonts w:cs="Times New Roman"/>
          <w:szCs w:val="24"/>
        </w:rPr>
        <w:t xml:space="preserve"> zákona o službách zamestnanosti</w:t>
      </w:r>
      <w:r w:rsidR="001737EB">
        <w:rPr>
          <w:rFonts w:cs="Times New Roman"/>
          <w:szCs w:val="24"/>
        </w:rPr>
        <w:t xml:space="preserve"> </w:t>
      </w:r>
      <w:r w:rsidR="00A476C3">
        <w:rPr>
          <w:rFonts w:cs="Times New Roman"/>
          <w:szCs w:val="24"/>
        </w:rPr>
        <w:t>sa v hodnotenom roku 2024</w:t>
      </w:r>
      <w:r>
        <w:rPr>
          <w:rFonts w:cs="Times New Roman"/>
          <w:szCs w:val="24"/>
        </w:rPr>
        <w:t xml:space="preserve"> </w:t>
      </w:r>
      <w:r w:rsidR="00371761">
        <w:rPr>
          <w:rFonts w:cs="Times New Roman"/>
          <w:szCs w:val="24"/>
        </w:rPr>
        <w:t xml:space="preserve">poskytovali </w:t>
      </w:r>
      <w:r w:rsidR="001737EB">
        <w:rPr>
          <w:rFonts w:cs="Times New Roman"/>
          <w:szCs w:val="24"/>
        </w:rPr>
        <w:t xml:space="preserve">predovšetkým </w:t>
      </w:r>
      <w:r w:rsidR="00A476C3">
        <w:rPr>
          <w:rFonts w:cs="Times New Roman"/>
          <w:szCs w:val="24"/>
        </w:rPr>
        <w:t>prostredníctvom programov a projektov</w:t>
      </w:r>
      <w:r w:rsidR="009A4F3A">
        <w:rPr>
          <w:rFonts w:cs="Times New Roman"/>
          <w:szCs w:val="24"/>
        </w:rPr>
        <w:t xml:space="preserve"> podľa § 54</w:t>
      </w:r>
      <w:r w:rsidR="00BC347E">
        <w:rPr>
          <w:rFonts w:cs="Times New Roman"/>
          <w:szCs w:val="24"/>
        </w:rPr>
        <w:t>)</w:t>
      </w:r>
      <w:r w:rsidR="009A4F3A" w:rsidRPr="009A4F3A">
        <w:t xml:space="preserve"> </w:t>
      </w:r>
      <w:r w:rsidR="00A476C3">
        <w:rPr>
          <w:rFonts w:cs="Times New Roman"/>
          <w:szCs w:val="24"/>
        </w:rPr>
        <w:t>a</w:t>
      </w:r>
      <w:r w:rsidR="00667558">
        <w:rPr>
          <w:rFonts w:cs="Times New Roman"/>
          <w:szCs w:val="24"/>
        </w:rPr>
        <w:t xml:space="preserve"> tiež </w:t>
      </w:r>
      <w:r w:rsidR="001737EB">
        <w:rPr>
          <w:rFonts w:cs="Times New Roman"/>
          <w:szCs w:val="24"/>
        </w:rPr>
        <w:t xml:space="preserve">sa poskytovali </w:t>
      </w:r>
      <w:r w:rsidR="00A476C3">
        <w:rPr>
          <w:rFonts w:cs="Times New Roman"/>
          <w:szCs w:val="24"/>
        </w:rPr>
        <w:t>príspevky</w:t>
      </w:r>
      <w:r w:rsidR="001737EB">
        <w:rPr>
          <w:rFonts w:cs="Times New Roman"/>
          <w:szCs w:val="24"/>
        </w:rPr>
        <w:t>,</w:t>
      </w:r>
      <w:r>
        <w:rPr>
          <w:rFonts w:cs="Times New Roman"/>
          <w:szCs w:val="24"/>
        </w:rPr>
        <w:t xml:space="preserve"> </w:t>
      </w:r>
      <w:r w:rsidR="001737EB">
        <w:rPr>
          <w:rFonts w:cs="Times New Roman"/>
          <w:szCs w:val="24"/>
        </w:rPr>
        <w:t xml:space="preserve">na ktorých poskytnutie </w:t>
      </w:r>
      <w:r w:rsidR="00094E57" w:rsidRPr="001737EB">
        <w:rPr>
          <w:rFonts w:cs="Times New Roman"/>
          <w:szCs w:val="24"/>
          <w:u w:val="single"/>
        </w:rPr>
        <w:t>je právny nárok</w:t>
      </w:r>
      <w:r w:rsidR="001737EB">
        <w:rPr>
          <w:rFonts w:cs="Times New Roman"/>
          <w:szCs w:val="24"/>
        </w:rPr>
        <w:t>. Boli to príspevky podľa § 53</w:t>
      </w:r>
      <w:r w:rsidR="00BC347E">
        <w:rPr>
          <w:rFonts w:cs="Times New Roman"/>
          <w:szCs w:val="24"/>
        </w:rPr>
        <w:t>)</w:t>
      </w:r>
      <w:r w:rsidR="001737EB">
        <w:rPr>
          <w:rFonts w:cs="Times New Roman"/>
          <w:szCs w:val="24"/>
        </w:rPr>
        <w:t xml:space="preserve"> - Príspevok na</w:t>
      </w:r>
      <w:r w:rsidR="001737EB" w:rsidRPr="00371761">
        <w:rPr>
          <w:rFonts w:cs="Times New Roman"/>
          <w:szCs w:val="24"/>
        </w:rPr>
        <w:t xml:space="preserve"> dochádzku za prácou</w:t>
      </w:r>
      <w:r w:rsidR="001737EB">
        <w:rPr>
          <w:rFonts w:cs="Times New Roman"/>
          <w:szCs w:val="24"/>
        </w:rPr>
        <w:t>, § 53a</w:t>
      </w:r>
      <w:r w:rsidR="00BC347E">
        <w:rPr>
          <w:rFonts w:cs="Times New Roman"/>
          <w:szCs w:val="24"/>
        </w:rPr>
        <w:t>)</w:t>
      </w:r>
      <w:r w:rsidR="001737EB">
        <w:rPr>
          <w:rFonts w:cs="Times New Roman"/>
          <w:szCs w:val="24"/>
        </w:rPr>
        <w:t xml:space="preserve"> - P</w:t>
      </w:r>
      <w:r w:rsidR="001737EB" w:rsidRPr="00371761">
        <w:rPr>
          <w:rFonts w:cs="Times New Roman"/>
          <w:szCs w:val="24"/>
        </w:rPr>
        <w:t>ríspevok na podporu mobility za prácou</w:t>
      </w:r>
      <w:r w:rsidR="001737EB">
        <w:rPr>
          <w:rFonts w:cs="Times New Roman"/>
          <w:szCs w:val="24"/>
        </w:rPr>
        <w:t xml:space="preserve">, </w:t>
      </w:r>
      <w:r w:rsidR="001737EB" w:rsidRPr="00371761">
        <w:rPr>
          <w:rFonts w:cs="Times New Roman"/>
          <w:szCs w:val="24"/>
        </w:rPr>
        <w:t>§ 59</w:t>
      </w:r>
      <w:r w:rsidR="00BC347E">
        <w:rPr>
          <w:rFonts w:cs="Times New Roman"/>
          <w:szCs w:val="24"/>
        </w:rPr>
        <w:t>)</w:t>
      </w:r>
      <w:r w:rsidR="001737EB" w:rsidRPr="00371761">
        <w:rPr>
          <w:rFonts w:cs="Times New Roman"/>
          <w:szCs w:val="24"/>
        </w:rPr>
        <w:t xml:space="preserve"> </w:t>
      </w:r>
      <w:r w:rsidR="001737EB">
        <w:rPr>
          <w:rFonts w:cs="Times New Roman"/>
          <w:szCs w:val="24"/>
        </w:rPr>
        <w:t>- Príspevok na činnosť pracovného asistenta a § 60</w:t>
      </w:r>
      <w:r w:rsidR="00BC347E">
        <w:rPr>
          <w:rFonts w:cs="Times New Roman"/>
          <w:szCs w:val="24"/>
        </w:rPr>
        <w:t>)</w:t>
      </w:r>
      <w:r w:rsidR="001737EB">
        <w:rPr>
          <w:rFonts w:cs="Times New Roman"/>
          <w:szCs w:val="24"/>
        </w:rPr>
        <w:t xml:space="preserve"> - Príspevok na úhradu prevádzkových nákladov</w:t>
      </w:r>
      <w:r w:rsidR="001737EB" w:rsidRPr="009A4F3A">
        <w:t xml:space="preserve"> </w:t>
      </w:r>
      <w:r w:rsidR="001737EB" w:rsidRPr="009A4F3A">
        <w:rPr>
          <w:rFonts w:cs="Times New Roman"/>
          <w:szCs w:val="24"/>
        </w:rPr>
        <w:t>chránenej dielne alebo chráneného pracoviska</w:t>
      </w:r>
      <w:r w:rsidR="001737EB">
        <w:rPr>
          <w:rFonts w:cs="Times New Roman"/>
          <w:szCs w:val="24"/>
        </w:rPr>
        <w:t xml:space="preserve"> (ďalej aj „CHD/CHP“).</w:t>
      </w:r>
    </w:p>
    <w:p w14:paraId="20BCE223" w14:textId="24694422" w:rsidR="001737EB" w:rsidRDefault="001737EB" w:rsidP="00F00675">
      <w:pPr>
        <w:pStyle w:val="Odsekzoznamu"/>
        <w:spacing w:after="120"/>
        <w:ind w:firstLine="0"/>
        <w:rPr>
          <w:rFonts w:cs="Times New Roman"/>
          <w:szCs w:val="24"/>
        </w:rPr>
      </w:pPr>
      <w:r>
        <w:rPr>
          <w:rFonts w:cs="Times New Roman"/>
          <w:szCs w:val="24"/>
        </w:rPr>
        <w:t xml:space="preserve">Ostatné príspevky </w:t>
      </w:r>
      <w:r w:rsidR="00BC347E">
        <w:rPr>
          <w:rFonts w:cs="Times New Roman"/>
          <w:szCs w:val="24"/>
        </w:rPr>
        <w:t xml:space="preserve">podľa </w:t>
      </w:r>
      <w:r w:rsidRPr="009A4F3A">
        <w:rPr>
          <w:rFonts w:cs="Times New Roman"/>
          <w:szCs w:val="24"/>
        </w:rPr>
        <w:t>zákona o službách zamestnanosti</w:t>
      </w:r>
      <w:r>
        <w:rPr>
          <w:rFonts w:cs="Times New Roman"/>
          <w:szCs w:val="24"/>
        </w:rPr>
        <w:t xml:space="preserve">, na ktoré </w:t>
      </w:r>
      <w:r w:rsidRPr="00BC347E">
        <w:rPr>
          <w:rFonts w:cs="Times New Roman"/>
          <w:szCs w:val="24"/>
          <w:u w:val="single"/>
        </w:rPr>
        <w:t>nie je právny nárok</w:t>
      </w:r>
      <w:r>
        <w:rPr>
          <w:rFonts w:cs="Times New Roman"/>
          <w:szCs w:val="24"/>
        </w:rPr>
        <w:t xml:space="preserve">, ako </w:t>
      </w:r>
      <w:r w:rsidR="00BC347E">
        <w:rPr>
          <w:rFonts w:cs="Times New Roman"/>
          <w:szCs w:val="24"/>
        </w:rPr>
        <w:t>je príspevok</w:t>
      </w:r>
      <w:r>
        <w:rPr>
          <w:rFonts w:cs="Times New Roman"/>
          <w:szCs w:val="24"/>
        </w:rPr>
        <w:t xml:space="preserve"> podľa </w:t>
      </w:r>
      <w:r w:rsidRPr="009A4F3A">
        <w:rPr>
          <w:rFonts w:cs="Times New Roman"/>
          <w:szCs w:val="24"/>
        </w:rPr>
        <w:t>§ 49</w:t>
      </w:r>
      <w:r w:rsidR="00BC347E">
        <w:rPr>
          <w:rFonts w:cs="Times New Roman"/>
          <w:szCs w:val="24"/>
        </w:rPr>
        <w:t>)</w:t>
      </w:r>
      <w:r w:rsidRPr="009A4F3A">
        <w:rPr>
          <w:rFonts w:cs="Times New Roman"/>
          <w:szCs w:val="24"/>
        </w:rPr>
        <w:t xml:space="preserve"> </w:t>
      </w:r>
      <w:r>
        <w:rPr>
          <w:rFonts w:cs="Times New Roman"/>
          <w:szCs w:val="24"/>
        </w:rPr>
        <w:t>- P</w:t>
      </w:r>
      <w:r w:rsidRPr="009A4F3A">
        <w:rPr>
          <w:rFonts w:cs="Times New Roman"/>
          <w:szCs w:val="24"/>
        </w:rPr>
        <w:t>ríspevok na samostatnú zárobkovú činnosť</w:t>
      </w:r>
      <w:r>
        <w:rPr>
          <w:rFonts w:cs="Times New Roman"/>
          <w:szCs w:val="24"/>
        </w:rPr>
        <w:t>, § 50</w:t>
      </w:r>
      <w:r w:rsidR="00BC347E">
        <w:rPr>
          <w:rFonts w:cs="Times New Roman"/>
          <w:szCs w:val="24"/>
        </w:rPr>
        <w:t>)</w:t>
      </w:r>
      <w:r>
        <w:rPr>
          <w:rFonts w:cs="Times New Roman"/>
          <w:szCs w:val="24"/>
        </w:rPr>
        <w:t xml:space="preserve"> - P</w:t>
      </w:r>
      <w:r w:rsidRPr="009A4F3A">
        <w:rPr>
          <w:rFonts w:cs="Times New Roman"/>
          <w:szCs w:val="24"/>
        </w:rPr>
        <w:t>ríspevok na podporu zamestnávania znevýhodneného</w:t>
      </w:r>
      <w:r>
        <w:rPr>
          <w:rFonts w:cs="Times New Roman"/>
          <w:szCs w:val="24"/>
        </w:rPr>
        <w:t xml:space="preserve"> UoZ, </w:t>
      </w:r>
      <w:r w:rsidRPr="009A4F3A">
        <w:rPr>
          <w:rFonts w:cs="Times New Roman"/>
          <w:szCs w:val="24"/>
        </w:rPr>
        <w:t xml:space="preserve">§ 51 </w:t>
      </w:r>
      <w:r>
        <w:rPr>
          <w:rFonts w:cs="Times New Roman"/>
          <w:szCs w:val="24"/>
        </w:rPr>
        <w:t xml:space="preserve">- </w:t>
      </w:r>
      <w:r w:rsidRPr="009A4F3A">
        <w:rPr>
          <w:rFonts w:cs="Times New Roman"/>
          <w:szCs w:val="24"/>
        </w:rPr>
        <w:t>Príspevok na vykonávanie absolventskej praxe</w:t>
      </w:r>
      <w:r w:rsidR="00BC347E">
        <w:rPr>
          <w:rFonts w:cs="Times New Roman"/>
          <w:szCs w:val="24"/>
        </w:rPr>
        <w:t xml:space="preserve">, </w:t>
      </w:r>
      <w:r w:rsidRPr="009A4F3A">
        <w:rPr>
          <w:rFonts w:cs="Times New Roman"/>
          <w:szCs w:val="24"/>
        </w:rPr>
        <w:t>§ 52</w:t>
      </w:r>
      <w:r w:rsidR="00BC347E">
        <w:rPr>
          <w:rFonts w:cs="Times New Roman"/>
          <w:szCs w:val="24"/>
        </w:rPr>
        <w:t>)</w:t>
      </w:r>
      <w:r w:rsidRPr="009A4F3A">
        <w:rPr>
          <w:rFonts w:cs="Times New Roman"/>
          <w:szCs w:val="24"/>
        </w:rPr>
        <w:t xml:space="preserve"> </w:t>
      </w:r>
      <w:r>
        <w:rPr>
          <w:rFonts w:cs="Times New Roman"/>
          <w:szCs w:val="24"/>
        </w:rPr>
        <w:t xml:space="preserve">- </w:t>
      </w:r>
      <w:r w:rsidRPr="009A4F3A">
        <w:rPr>
          <w:rFonts w:cs="Times New Roman"/>
          <w:szCs w:val="24"/>
        </w:rPr>
        <w:t>Príspevok na aktivačnú činnosť formou menších obecných služieb pre obec alebo formou menších služieb pre samosprávny kraj</w:t>
      </w:r>
      <w:r>
        <w:rPr>
          <w:rFonts w:cs="Times New Roman"/>
          <w:szCs w:val="24"/>
        </w:rPr>
        <w:t>,</w:t>
      </w:r>
      <w:r w:rsidRPr="009A4F3A">
        <w:rPr>
          <w:rFonts w:cs="Times New Roman"/>
          <w:szCs w:val="24"/>
        </w:rPr>
        <w:t xml:space="preserve"> 53b</w:t>
      </w:r>
      <w:r w:rsidR="00BC347E">
        <w:rPr>
          <w:rFonts w:cs="Times New Roman"/>
          <w:szCs w:val="24"/>
        </w:rPr>
        <w:t>)</w:t>
      </w:r>
      <w:r w:rsidRPr="009A4F3A">
        <w:rPr>
          <w:rFonts w:cs="Times New Roman"/>
          <w:szCs w:val="24"/>
        </w:rPr>
        <w:t xml:space="preserve"> </w:t>
      </w:r>
      <w:r>
        <w:rPr>
          <w:rFonts w:cs="Times New Roman"/>
          <w:szCs w:val="24"/>
        </w:rPr>
        <w:t xml:space="preserve">- </w:t>
      </w:r>
      <w:r w:rsidRPr="009A4F3A">
        <w:rPr>
          <w:rFonts w:cs="Times New Roman"/>
          <w:szCs w:val="24"/>
        </w:rPr>
        <w:t>Príspevok na dopravu do zamestnania</w:t>
      </w:r>
      <w:r>
        <w:rPr>
          <w:rFonts w:cs="Times New Roman"/>
          <w:szCs w:val="24"/>
        </w:rPr>
        <w:t xml:space="preserve">, </w:t>
      </w:r>
      <w:r w:rsidR="00BC347E">
        <w:rPr>
          <w:rFonts w:cs="Times New Roman"/>
          <w:szCs w:val="24"/>
        </w:rPr>
        <w:t xml:space="preserve">                             </w:t>
      </w:r>
      <w:r w:rsidRPr="009A4F3A">
        <w:rPr>
          <w:rFonts w:cs="Times New Roman"/>
          <w:szCs w:val="24"/>
        </w:rPr>
        <w:t>§ 56</w:t>
      </w:r>
      <w:r w:rsidR="00BC347E">
        <w:rPr>
          <w:rFonts w:cs="Times New Roman"/>
          <w:szCs w:val="24"/>
        </w:rPr>
        <w:t>)</w:t>
      </w:r>
      <w:r w:rsidR="001D3A56">
        <w:rPr>
          <w:rFonts w:cs="Times New Roman"/>
          <w:szCs w:val="24"/>
        </w:rPr>
        <w:t xml:space="preserve"> </w:t>
      </w:r>
      <w:r>
        <w:rPr>
          <w:rFonts w:cs="Times New Roman"/>
          <w:szCs w:val="24"/>
        </w:rPr>
        <w:t xml:space="preserve">- </w:t>
      </w:r>
      <w:r w:rsidRPr="009A4F3A">
        <w:rPr>
          <w:rFonts w:cs="Times New Roman"/>
          <w:szCs w:val="24"/>
        </w:rPr>
        <w:t>Príspevok na zriadenie chránenej dielne alebo chráneného pracoviska</w:t>
      </w:r>
      <w:r>
        <w:rPr>
          <w:rFonts w:cs="Times New Roman"/>
          <w:szCs w:val="24"/>
        </w:rPr>
        <w:t xml:space="preserve">, a podľa </w:t>
      </w:r>
      <w:r w:rsidR="00BC347E">
        <w:rPr>
          <w:rFonts w:cs="Times New Roman"/>
          <w:szCs w:val="24"/>
        </w:rPr>
        <w:t xml:space="preserve">                       </w:t>
      </w:r>
      <w:r w:rsidRPr="001C7964">
        <w:rPr>
          <w:rFonts w:cs="Times New Roman"/>
          <w:szCs w:val="24"/>
        </w:rPr>
        <w:t>§ 57</w:t>
      </w:r>
      <w:r w:rsidR="00BC347E">
        <w:rPr>
          <w:rFonts w:cs="Times New Roman"/>
          <w:szCs w:val="24"/>
        </w:rPr>
        <w:t>)</w:t>
      </w:r>
      <w:r w:rsidRPr="001C7964">
        <w:rPr>
          <w:rFonts w:cs="Times New Roman"/>
          <w:szCs w:val="24"/>
        </w:rPr>
        <w:t xml:space="preserve"> </w:t>
      </w:r>
      <w:r>
        <w:rPr>
          <w:rFonts w:cs="Times New Roman"/>
          <w:szCs w:val="24"/>
        </w:rPr>
        <w:t xml:space="preserve">- </w:t>
      </w:r>
      <w:r w:rsidRPr="001C7964">
        <w:rPr>
          <w:rFonts w:cs="Times New Roman"/>
          <w:szCs w:val="24"/>
        </w:rPr>
        <w:t>Príspevok občanovi so zdravotným postihnutím na samostatnú zárobkovú činnosť</w:t>
      </w:r>
      <w:r>
        <w:rPr>
          <w:rFonts w:cs="Times New Roman"/>
          <w:szCs w:val="24"/>
        </w:rPr>
        <w:t xml:space="preserve">, sa v hodnotenom období neposkytovali vôbec, a to z dôvodu pokynu generálneho riaditeľa ústredia na základe príkazu ministra PSVR </w:t>
      </w:r>
      <w:r w:rsidR="00BC347E">
        <w:rPr>
          <w:rFonts w:cs="Times New Roman"/>
          <w:szCs w:val="24"/>
        </w:rPr>
        <w:t>(</w:t>
      </w:r>
      <w:r>
        <w:rPr>
          <w:rFonts w:cs="Times New Roman"/>
          <w:szCs w:val="24"/>
        </w:rPr>
        <w:t>z apríla 2020</w:t>
      </w:r>
      <w:r w:rsidR="00BC347E">
        <w:rPr>
          <w:rFonts w:cs="Times New Roman"/>
          <w:szCs w:val="24"/>
        </w:rPr>
        <w:t>)</w:t>
      </w:r>
      <w:r>
        <w:rPr>
          <w:rFonts w:cs="Times New Roman"/>
          <w:szCs w:val="24"/>
        </w:rPr>
        <w:t xml:space="preserve"> na zastavenie uzatvárania dohôd o poskytnutí príspevkov AOTP, na ktorých </w:t>
      </w:r>
      <w:r w:rsidR="00BC347E">
        <w:rPr>
          <w:rFonts w:cs="Times New Roman"/>
          <w:szCs w:val="24"/>
        </w:rPr>
        <w:t xml:space="preserve">poskytnutie </w:t>
      </w:r>
      <w:r>
        <w:rPr>
          <w:rFonts w:cs="Times New Roman"/>
          <w:szCs w:val="24"/>
        </w:rPr>
        <w:t xml:space="preserve">nie je právny nárok. Tento stav pretrvával aj počas </w:t>
      </w:r>
      <w:r w:rsidR="00BC347E">
        <w:rPr>
          <w:rFonts w:cs="Times New Roman"/>
          <w:szCs w:val="24"/>
        </w:rPr>
        <w:t xml:space="preserve">celého </w:t>
      </w:r>
      <w:r>
        <w:rPr>
          <w:rFonts w:cs="Times New Roman"/>
          <w:szCs w:val="24"/>
        </w:rPr>
        <w:t>roka 2024.</w:t>
      </w:r>
    </w:p>
    <w:p w14:paraId="6D116344" w14:textId="1819BA81" w:rsidR="00CB6176" w:rsidRDefault="00BC347E" w:rsidP="00F00675">
      <w:pPr>
        <w:pStyle w:val="Odsekzoznamu"/>
        <w:spacing w:after="120"/>
        <w:ind w:firstLine="0"/>
        <w:rPr>
          <w:rFonts w:cs="Times New Roman"/>
          <w:szCs w:val="24"/>
        </w:rPr>
      </w:pPr>
      <w:r>
        <w:rPr>
          <w:rFonts w:cs="Times New Roman"/>
          <w:szCs w:val="24"/>
        </w:rPr>
        <w:t>Podľa</w:t>
      </w:r>
      <w:r w:rsidR="00667558">
        <w:rPr>
          <w:rFonts w:cs="Times New Roman"/>
          <w:szCs w:val="24"/>
        </w:rPr>
        <w:t xml:space="preserve"> zákona o sociálnej ekonomike </w:t>
      </w:r>
      <w:r w:rsidR="001737EB">
        <w:rPr>
          <w:rFonts w:cs="Times New Roman"/>
          <w:szCs w:val="24"/>
        </w:rPr>
        <w:t xml:space="preserve">sa poskytovali dva obligatórne príspevky, a to </w:t>
      </w:r>
      <w:r w:rsidR="00094E57">
        <w:rPr>
          <w:rFonts w:cs="Times New Roman"/>
          <w:szCs w:val="24"/>
        </w:rPr>
        <w:t xml:space="preserve"> </w:t>
      </w:r>
      <w:r>
        <w:rPr>
          <w:rFonts w:cs="Times New Roman"/>
          <w:szCs w:val="24"/>
        </w:rPr>
        <w:t xml:space="preserve">umiestňovací príspevok podľa § 19a)  a </w:t>
      </w:r>
      <w:r w:rsidR="001737EB">
        <w:rPr>
          <w:rFonts w:cs="Times New Roman"/>
          <w:szCs w:val="24"/>
        </w:rPr>
        <w:t xml:space="preserve">vyrovnávací príspevok </w:t>
      </w:r>
      <w:r w:rsidR="00371761">
        <w:t xml:space="preserve">podľa § </w:t>
      </w:r>
      <w:r w:rsidR="00371761" w:rsidRPr="00371761">
        <w:rPr>
          <w:rFonts w:cs="Times New Roman"/>
          <w:szCs w:val="24"/>
        </w:rPr>
        <w:t>19b</w:t>
      </w:r>
      <w:r>
        <w:rPr>
          <w:rFonts w:cs="Times New Roman"/>
          <w:szCs w:val="24"/>
        </w:rPr>
        <w:t>)</w:t>
      </w:r>
      <w:r w:rsidR="001737EB">
        <w:rPr>
          <w:rFonts w:cs="Times New Roman"/>
          <w:szCs w:val="24"/>
        </w:rPr>
        <w:t xml:space="preserve">. </w:t>
      </w:r>
      <w:r w:rsidR="00371761">
        <w:rPr>
          <w:rFonts w:cs="Times New Roman"/>
          <w:szCs w:val="24"/>
        </w:rPr>
        <w:t> </w:t>
      </w:r>
      <w:r w:rsidR="00094E57">
        <w:rPr>
          <w:rFonts w:cs="Times New Roman"/>
          <w:szCs w:val="24"/>
        </w:rPr>
        <w:t xml:space="preserve"> </w:t>
      </w:r>
    </w:p>
    <w:p w14:paraId="165FDC97" w14:textId="1C98B5B8" w:rsidR="00837986" w:rsidRPr="00303DDF" w:rsidRDefault="00837986" w:rsidP="00837986">
      <w:pPr>
        <w:spacing w:after="0"/>
        <w:ind w:firstLine="0"/>
      </w:pPr>
      <w:r w:rsidRPr="00C35CA8">
        <w:t>Vo všeobecnosti je potrebné uviesť, že AOTP</w:t>
      </w:r>
      <w:r w:rsidR="00970F64">
        <w:t xml:space="preserve"> </w:t>
      </w:r>
      <w:r w:rsidRPr="00C35CA8">
        <w:t>a v ich rámci poskytované finančné príspevky</w:t>
      </w:r>
      <w:r>
        <w:t>,</w:t>
      </w:r>
      <w:r w:rsidRPr="00C35CA8">
        <w:t xml:space="preserve">                   sú z makroekonomického hľadiska len doplnkovým prostriedkom zmierňovania nerovnováhy            na TP v SR. </w:t>
      </w:r>
      <w:r>
        <w:t xml:space="preserve">Ich podiel </w:t>
      </w:r>
      <w:r w:rsidR="00BC347E">
        <w:t>na hrubom domácom produkte</w:t>
      </w:r>
      <w:r>
        <w:t xml:space="preserve"> </w:t>
      </w:r>
      <w:r w:rsidR="00806148">
        <w:t xml:space="preserve">(HDP) </w:t>
      </w:r>
      <w:r>
        <w:t xml:space="preserve">sa pohybuje len vo výške okolo 0,1 až 0,2 % hrubého </w:t>
      </w:r>
      <w:r w:rsidR="00806148">
        <w:t xml:space="preserve">HDP </w:t>
      </w:r>
      <w:r w:rsidR="00A476C3">
        <w:t>v</w:t>
      </w:r>
      <w:r w:rsidR="000A5C9F">
        <w:t xml:space="preserve"> bežných </w:t>
      </w:r>
      <w:r w:rsidR="00A476C3">
        <w:t xml:space="preserve">cenách. </w:t>
      </w:r>
      <w:r w:rsidR="008B6054" w:rsidRPr="00806148">
        <w:t>P</w:t>
      </w:r>
      <w:r w:rsidRPr="00806148">
        <w:t xml:space="preserve">odľa zverejnených údajov Štatistického úradu SR </w:t>
      </w:r>
      <w:r w:rsidR="008B6054" w:rsidRPr="00806148">
        <w:t>za rok 2024</w:t>
      </w:r>
      <w:r w:rsidRPr="00806148">
        <w:t xml:space="preserve"> hrubý domáci produkt</w:t>
      </w:r>
      <w:r w:rsidR="000A5C9F">
        <w:t xml:space="preserve"> </w:t>
      </w:r>
      <w:r w:rsidR="000A5C9F">
        <w:rPr>
          <w:iCs/>
        </w:rPr>
        <w:t>v </w:t>
      </w:r>
      <w:r w:rsidR="000A5C9F" w:rsidRPr="00D7762E">
        <w:rPr>
          <w:iCs/>
        </w:rPr>
        <w:t>bežných cenách</w:t>
      </w:r>
      <w:r w:rsidR="000A5C9F">
        <w:rPr>
          <w:iCs/>
        </w:rPr>
        <w:t xml:space="preserve"> </w:t>
      </w:r>
      <w:r w:rsidR="00D7762E">
        <w:rPr>
          <w:iCs/>
        </w:rPr>
        <w:t xml:space="preserve">dosiahol </w:t>
      </w:r>
      <w:r w:rsidR="00D7762E" w:rsidRPr="00D7762E">
        <w:rPr>
          <w:iCs/>
        </w:rPr>
        <w:t>necelých 130 m</w:t>
      </w:r>
      <w:r w:rsidR="00D7762E">
        <w:rPr>
          <w:iCs/>
        </w:rPr>
        <w:t xml:space="preserve">ld. </w:t>
      </w:r>
      <w:r w:rsidR="009418BA">
        <w:rPr>
          <w:iCs/>
        </w:rPr>
        <w:t>eur</w:t>
      </w:r>
      <w:r w:rsidR="00303DDF" w:rsidRPr="00806148">
        <w:rPr>
          <w:iCs/>
        </w:rPr>
        <w:t xml:space="preserve">. </w:t>
      </w:r>
      <w:r w:rsidRPr="00806148">
        <w:t xml:space="preserve">Čerpanie finančných </w:t>
      </w:r>
      <w:r w:rsidR="00303DDF" w:rsidRPr="00806148">
        <w:t>prostriedkov na AOTP za rok 2024</w:t>
      </w:r>
      <w:r w:rsidRPr="00806148">
        <w:t xml:space="preserve"> vo výške </w:t>
      </w:r>
      <w:r w:rsidR="00303DDF" w:rsidRPr="00806148">
        <w:t xml:space="preserve">172 198 082 </w:t>
      </w:r>
      <w:r w:rsidR="009418BA">
        <w:t>eur</w:t>
      </w:r>
      <w:r w:rsidRPr="00806148">
        <w:t>, tak predstavuje podiel na úrovni</w:t>
      </w:r>
      <w:r w:rsidR="00D7762E">
        <w:t xml:space="preserve"> 0,13%, čo je v porovnaní s rokom 2023</w:t>
      </w:r>
      <w:r w:rsidRPr="00806148">
        <w:t xml:space="preserve"> </w:t>
      </w:r>
      <w:r w:rsidR="00D7762E">
        <w:t xml:space="preserve">menej o </w:t>
      </w:r>
      <w:r w:rsidRPr="00806148">
        <w:t>0,</w:t>
      </w:r>
      <w:r w:rsidR="00D7762E">
        <w:t>07%.</w:t>
      </w:r>
    </w:p>
    <w:p w14:paraId="24839A30" w14:textId="40295CF4" w:rsidR="00837986" w:rsidRPr="00C35CA8" w:rsidRDefault="00837986" w:rsidP="00837986">
      <w:pPr>
        <w:spacing w:before="120" w:after="0"/>
        <w:ind w:hanging="6"/>
      </w:pPr>
      <w:r w:rsidRPr="00C35CA8">
        <w:rPr>
          <w:iCs/>
        </w:rPr>
        <w:t>S prihli</w:t>
      </w:r>
      <w:r w:rsidR="00A476C3">
        <w:rPr>
          <w:iCs/>
        </w:rPr>
        <w:t>adnutím na výzvy, ktoré rok 2024</w:t>
      </w:r>
      <w:r w:rsidRPr="00C35CA8">
        <w:rPr>
          <w:iCs/>
        </w:rPr>
        <w:t xml:space="preserve"> priniesol, </w:t>
      </w:r>
      <w:r>
        <w:rPr>
          <w:iCs/>
        </w:rPr>
        <w:t xml:space="preserve">možno </w:t>
      </w:r>
      <w:r w:rsidRPr="00C35CA8">
        <w:rPr>
          <w:iCs/>
        </w:rPr>
        <w:t>konštatovať, že oblasť zamestnanosti bola úspešná a kondícia TP sa postupne z</w:t>
      </w:r>
      <w:r>
        <w:rPr>
          <w:iCs/>
        </w:rPr>
        <w:t>otavo</w:t>
      </w:r>
      <w:r w:rsidRPr="00C35CA8">
        <w:rPr>
          <w:iCs/>
        </w:rPr>
        <w:t>vala</w:t>
      </w:r>
      <w:r>
        <w:rPr>
          <w:iCs/>
        </w:rPr>
        <w:t xml:space="preserve"> ešte z postcovidovej traumy</w:t>
      </w:r>
      <w:r w:rsidR="00A476C3">
        <w:rPr>
          <w:iCs/>
        </w:rPr>
        <w:t xml:space="preserve"> a dôsledkov vojny na Ukrajine</w:t>
      </w:r>
      <w:r w:rsidRPr="00C35CA8">
        <w:rPr>
          <w:iCs/>
        </w:rPr>
        <w:t xml:space="preserve">. Okrem </w:t>
      </w:r>
      <w:r>
        <w:rPr>
          <w:iCs/>
        </w:rPr>
        <w:t xml:space="preserve">zdrojov použitých v rámci </w:t>
      </w:r>
      <w:r w:rsidRPr="00C35CA8">
        <w:rPr>
          <w:iCs/>
        </w:rPr>
        <w:t>AOTP,</w:t>
      </w:r>
      <w:r>
        <w:rPr>
          <w:iCs/>
        </w:rPr>
        <w:t xml:space="preserve"> </w:t>
      </w:r>
      <w:r w:rsidRPr="00C35CA8">
        <w:rPr>
          <w:iCs/>
        </w:rPr>
        <w:t>k priaznivému vývoju nezamestnanosti, premietnut</w:t>
      </w:r>
      <w:r>
        <w:rPr>
          <w:iCs/>
        </w:rPr>
        <w:t>é</w:t>
      </w:r>
      <w:r w:rsidRPr="00C35CA8">
        <w:rPr>
          <w:iCs/>
        </w:rPr>
        <w:t>m</w:t>
      </w:r>
      <w:r>
        <w:rPr>
          <w:iCs/>
        </w:rPr>
        <w:t>u</w:t>
      </w:r>
      <w:r w:rsidRPr="00C35CA8">
        <w:rPr>
          <w:iCs/>
        </w:rPr>
        <w:t xml:space="preserve"> do zníženej miery nezamestnanosti </w:t>
      </w:r>
      <w:r>
        <w:rPr>
          <w:iCs/>
        </w:rPr>
        <w:t xml:space="preserve">prispeli </w:t>
      </w:r>
      <w:r w:rsidRPr="00C35CA8">
        <w:rPr>
          <w:iCs/>
        </w:rPr>
        <w:t xml:space="preserve">aj stabilizačné opatrenia vlády SR pre </w:t>
      </w:r>
      <w:r>
        <w:rPr>
          <w:iCs/>
        </w:rPr>
        <w:t>ceny</w:t>
      </w:r>
      <w:r w:rsidRPr="00C35CA8">
        <w:rPr>
          <w:iCs/>
        </w:rPr>
        <w:t xml:space="preserve"> energií. </w:t>
      </w:r>
    </w:p>
    <w:p w14:paraId="68B33014" w14:textId="33F597E0" w:rsidR="00D67D09" w:rsidRDefault="00837986" w:rsidP="00837986">
      <w:pPr>
        <w:pStyle w:val="Odsekzoznamu"/>
        <w:spacing w:after="120"/>
        <w:ind w:firstLine="0"/>
        <w:rPr>
          <w:rFonts w:cs="Times New Roman"/>
          <w:szCs w:val="24"/>
        </w:rPr>
      </w:pPr>
      <w:r w:rsidRPr="00C35CA8">
        <w:rPr>
          <w:rFonts w:cs="Times New Roman"/>
          <w:szCs w:val="24"/>
        </w:rPr>
        <w:t xml:space="preserve">Realizácia AOTP </w:t>
      </w:r>
      <w:r w:rsidR="00D7762E">
        <w:rPr>
          <w:rFonts w:cs="Times New Roman"/>
          <w:szCs w:val="24"/>
        </w:rPr>
        <w:t>aj v hodnotenom období roku 2024</w:t>
      </w:r>
      <w:r w:rsidRPr="00C35CA8">
        <w:rPr>
          <w:rFonts w:cs="Times New Roman"/>
          <w:szCs w:val="24"/>
        </w:rPr>
        <w:t xml:space="preserve"> bola ovplyvňovaná existujúcimi</w:t>
      </w:r>
      <w:r w:rsidR="00D7762E">
        <w:rPr>
          <w:rFonts w:cs="Times New Roman"/>
          <w:szCs w:val="24"/>
        </w:rPr>
        <w:t xml:space="preserve">, zmenenými a novými </w:t>
      </w:r>
      <w:r w:rsidRPr="00C35CA8">
        <w:rPr>
          <w:rFonts w:cs="Times New Roman"/>
          <w:szCs w:val="24"/>
        </w:rPr>
        <w:t xml:space="preserve">nariadeniami </w:t>
      </w:r>
      <w:r w:rsidR="00D67D09">
        <w:rPr>
          <w:rFonts w:cs="Times New Roman"/>
          <w:szCs w:val="24"/>
        </w:rPr>
        <w:t>komisie (EÚ)</w:t>
      </w:r>
      <w:r w:rsidRPr="00C35CA8">
        <w:rPr>
          <w:rFonts w:cs="Times New Roman"/>
          <w:szCs w:val="24"/>
        </w:rPr>
        <w:t xml:space="preserve">, </w:t>
      </w:r>
      <w:r w:rsidR="00D67D09">
        <w:rPr>
          <w:rFonts w:cs="Times New Roman"/>
          <w:szCs w:val="24"/>
        </w:rPr>
        <w:t xml:space="preserve">zmenami v schémach štátnej a minimálnej </w:t>
      </w:r>
      <w:r w:rsidR="00D67D09">
        <w:rPr>
          <w:rFonts w:cs="Times New Roman"/>
          <w:szCs w:val="24"/>
        </w:rPr>
        <w:lastRenderedPageBreak/>
        <w:t xml:space="preserve">pomoci, novým programovým obdobím a s tým súvisiacimi zmenami pravidiel </w:t>
      </w:r>
      <w:r w:rsidRPr="00C35CA8">
        <w:rPr>
          <w:rFonts w:cs="Times New Roman"/>
          <w:szCs w:val="24"/>
        </w:rPr>
        <w:t xml:space="preserve">pre poskytovanie </w:t>
      </w:r>
      <w:r w:rsidR="00D7762E">
        <w:rPr>
          <w:rFonts w:cs="Times New Roman"/>
          <w:szCs w:val="24"/>
        </w:rPr>
        <w:t xml:space="preserve">štátnej pomoci (predovšetkým z aspektu posudzovania podniku v ťažkostiach) </w:t>
      </w:r>
      <w:r w:rsidRPr="00C35CA8">
        <w:rPr>
          <w:rFonts w:cs="Times New Roman"/>
          <w:szCs w:val="24"/>
        </w:rPr>
        <w:t>a minimálnej pomoci v prípadoch, ak prijímateľmi príspevkov boli podniky vykonávajúce hospodársku činnosť.</w:t>
      </w:r>
      <w:r>
        <w:rPr>
          <w:rFonts w:cs="Times New Roman"/>
          <w:szCs w:val="24"/>
        </w:rPr>
        <w:t xml:space="preserve"> </w:t>
      </w:r>
    </w:p>
    <w:p w14:paraId="737ECBE2" w14:textId="3499D30C" w:rsidR="00837986" w:rsidRDefault="00837986" w:rsidP="00837986">
      <w:pPr>
        <w:pStyle w:val="Odsekzoznamu"/>
        <w:spacing w:after="120"/>
        <w:ind w:firstLine="0"/>
        <w:rPr>
          <w:rFonts w:cs="Times New Roman"/>
          <w:szCs w:val="24"/>
        </w:rPr>
      </w:pPr>
      <w:r w:rsidRPr="00C35CA8">
        <w:t xml:space="preserve">Z hľadiska množstva pracovných </w:t>
      </w:r>
      <w:r>
        <w:t xml:space="preserve">miest </w:t>
      </w:r>
      <w:r w:rsidRPr="00C35CA8">
        <w:t xml:space="preserve">rozhodujúci podiel na ich tvorbe stále majú </w:t>
      </w:r>
      <w:r>
        <w:t>malé a stredné podniky (MSP), aj keď ich počet, ako zamestnávateľov, v posledných rokoch vykazuje mierny pokles</w:t>
      </w:r>
      <w:r w:rsidR="00C25B92">
        <w:t>.</w:t>
      </w:r>
    </w:p>
    <w:p w14:paraId="4F4AE659" w14:textId="16E26BD1" w:rsidR="00F00675" w:rsidRPr="0062585F" w:rsidRDefault="00F00675" w:rsidP="0062585F">
      <w:pPr>
        <w:pStyle w:val="Nadpis2"/>
      </w:pPr>
      <w:bookmarkStart w:id="7" w:name="_Toc199230807"/>
      <w:r w:rsidRPr="0062585F">
        <w:t>Štátna pomoc</w:t>
      </w:r>
      <w:r w:rsidR="006D0EB4">
        <w:t xml:space="preserve"> a minimálna pomoc </w:t>
      </w:r>
      <w:r w:rsidR="00CA39DF" w:rsidRPr="0062585F">
        <w:t>podnikom</w:t>
      </w:r>
      <w:bookmarkEnd w:id="7"/>
      <w:r w:rsidRPr="0062585F">
        <w:t xml:space="preserve"> </w:t>
      </w:r>
    </w:p>
    <w:p w14:paraId="0773B170" w14:textId="03FC5CB0" w:rsidR="00F00675" w:rsidRPr="00C35CA8" w:rsidRDefault="002D763A" w:rsidP="00F00675">
      <w:pPr>
        <w:spacing w:before="120" w:after="120"/>
        <w:rPr>
          <w:b/>
        </w:rPr>
      </w:pPr>
      <w:r>
        <w:rPr>
          <w:b/>
        </w:rPr>
        <w:t>Štátna p</w:t>
      </w:r>
      <w:r w:rsidR="00F00675" w:rsidRPr="00C35CA8">
        <w:rPr>
          <w:b/>
        </w:rPr>
        <w:t xml:space="preserve">omoc poskytnutá malým a stredným podnikom </w:t>
      </w:r>
      <w:r w:rsidR="00154EBD" w:rsidRPr="00154EBD">
        <w:t>(MSP)</w:t>
      </w:r>
    </w:p>
    <w:bookmarkEnd w:id="6"/>
    <w:p w14:paraId="3FA62976" w14:textId="3443114F" w:rsidR="006D0EB4" w:rsidRPr="00CD0895" w:rsidRDefault="006D0EB4" w:rsidP="006D0EB4">
      <w:pPr>
        <w:spacing w:before="120" w:after="120"/>
      </w:pPr>
      <w:r w:rsidRPr="00CD0895">
        <w:t xml:space="preserve">Podiel štátnej pomoci poskytnutej v roku 2024 malým a stredným podnikom (MSP) bol vo výške 86,02 mil. </w:t>
      </w:r>
      <w:r w:rsidR="009418BA" w:rsidRPr="00CD0895">
        <w:t>eur</w:t>
      </w:r>
      <w:r w:rsidRPr="00CD0895">
        <w:t xml:space="preserve"> a tvoril 92,46 % z celkovej štátnej pomoci poskytnutej ústredím a úradmi.</w:t>
      </w:r>
    </w:p>
    <w:tbl>
      <w:tblPr>
        <w:tblW w:w="9183"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658"/>
        <w:gridCol w:w="2738"/>
        <w:gridCol w:w="1277"/>
        <w:gridCol w:w="1553"/>
        <w:gridCol w:w="1252"/>
      </w:tblGrid>
      <w:tr w:rsidR="006D0EB4" w:rsidRPr="006D0EB4" w14:paraId="5FA216EF" w14:textId="77777777" w:rsidTr="00330D70">
        <w:trPr>
          <w:trHeight w:val="260"/>
        </w:trPr>
        <w:tc>
          <w:tcPr>
            <w:tcW w:w="1705" w:type="dxa"/>
            <w:vMerge w:val="restart"/>
            <w:tcBorders>
              <w:top w:val="single" w:sz="12" w:space="0" w:color="auto"/>
              <w:left w:val="single" w:sz="12" w:space="0" w:color="auto"/>
              <w:bottom w:val="single" w:sz="4" w:space="0" w:color="auto"/>
              <w:right w:val="double" w:sz="4" w:space="0" w:color="auto"/>
            </w:tcBorders>
            <w:vAlign w:val="center"/>
          </w:tcPr>
          <w:p w14:paraId="64915846" w14:textId="77777777" w:rsidR="006D0EB4" w:rsidRPr="006D0EB4" w:rsidRDefault="006D0EB4" w:rsidP="00330D70">
            <w:pPr>
              <w:spacing w:after="0"/>
              <w:ind w:hanging="6"/>
              <w:rPr>
                <w:rFonts w:asciiTheme="minorHAnsi" w:hAnsiTheme="minorHAnsi" w:cstheme="minorHAnsi"/>
                <w:b/>
                <w:sz w:val="20"/>
                <w:szCs w:val="20"/>
              </w:rPr>
            </w:pPr>
            <w:r w:rsidRPr="006D0EB4">
              <w:rPr>
                <w:rFonts w:asciiTheme="minorHAnsi" w:hAnsiTheme="minorHAnsi" w:cstheme="minorHAnsi"/>
                <w:b/>
                <w:sz w:val="20"/>
                <w:szCs w:val="20"/>
              </w:rPr>
              <w:t>Pomoc podnikom</w:t>
            </w:r>
          </w:p>
        </w:tc>
        <w:tc>
          <w:tcPr>
            <w:tcW w:w="4673" w:type="dxa"/>
            <w:gridSpan w:val="3"/>
            <w:tcBorders>
              <w:top w:val="single" w:sz="12" w:space="0" w:color="auto"/>
              <w:left w:val="double" w:sz="4" w:space="0" w:color="auto"/>
              <w:bottom w:val="single" w:sz="2" w:space="0" w:color="auto"/>
              <w:right w:val="single" w:sz="2" w:space="0" w:color="auto"/>
            </w:tcBorders>
            <w:vAlign w:val="center"/>
            <w:hideMark/>
          </w:tcPr>
          <w:p w14:paraId="36F46F6A" w14:textId="5780338A" w:rsidR="006D0EB4" w:rsidRPr="006D0EB4" w:rsidRDefault="006D0EB4" w:rsidP="00330D70">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 xml:space="preserve">Celková štátna pomoc </w:t>
            </w:r>
            <w:r w:rsidRPr="006D0EB4">
              <w:rPr>
                <w:rFonts w:asciiTheme="minorHAnsi" w:hAnsiTheme="minorHAnsi" w:cstheme="minorHAnsi"/>
                <w:sz w:val="20"/>
                <w:szCs w:val="20"/>
              </w:rPr>
              <w:t xml:space="preserve">(v mil. </w:t>
            </w:r>
            <w:r w:rsidR="009418BA">
              <w:rPr>
                <w:rFonts w:asciiTheme="minorHAnsi" w:hAnsiTheme="minorHAnsi" w:cstheme="minorHAnsi"/>
                <w:sz w:val="20"/>
                <w:szCs w:val="20"/>
              </w:rPr>
              <w:t>eur</w:t>
            </w:r>
            <w:r w:rsidRPr="006D0EB4">
              <w:rPr>
                <w:rFonts w:asciiTheme="minorHAnsi" w:hAnsiTheme="minorHAnsi" w:cstheme="minorHAnsi"/>
                <w:sz w:val="20"/>
                <w:szCs w:val="20"/>
              </w:rPr>
              <w:t>)</w:t>
            </w:r>
          </w:p>
        </w:tc>
        <w:tc>
          <w:tcPr>
            <w:tcW w:w="1553" w:type="dxa"/>
            <w:tcBorders>
              <w:top w:val="single" w:sz="12" w:space="0" w:color="auto"/>
              <w:left w:val="single" w:sz="2" w:space="0" w:color="auto"/>
              <w:bottom w:val="single" w:sz="2" w:space="0" w:color="auto"/>
              <w:right w:val="single" w:sz="2" w:space="0" w:color="auto"/>
            </w:tcBorders>
            <w:vAlign w:val="center"/>
            <w:hideMark/>
          </w:tcPr>
          <w:p w14:paraId="5A630442" w14:textId="77777777" w:rsidR="006D0EB4" w:rsidRPr="006D0EB4" w:rsidRDefault="006D0EB4" w:rsidP="00330D70">
            <w:pPr>
              <w:spacing w:after="0"/>
              <w:ind w:right="426" w:hanging="6"/>
              <w:jc w:val="right"/>
              <w:rPr>
                <w:rFonts w:asciiTheme="minorHAnsi" w:hAnsiTheme="minorHAnsi" w:cstheme="minorHAnsi"/>
                <w:b/>
                <w:sz w:val="20"/>
                <w:szCs w:val="20"/>
              </w:rPr>
            </w:pPr>
            <w:r w:rsidRPr="006D0EB4">
              <w:rPr>
                <w:rFonts w:asciiTheme="minorHAnsi" w:hAnsiTheme="minorHAnsi" w:cstheme="minorHAnsi"/>
                <w:b/>
                <w:sz w:val="20"/>
                <w:szCs w:val="20"/>
              </w:rPr>
              <w:t xml:space="preserve">93,03 </w:t>
            </w:r>
          </w:p>
        </w:tc>
        <w:tc>
          <w:tcPr>
            <w:tcW w:w="1252" w:type="dxa"/>
            <w:tcBorders>
              <w:top w:val="single" w:sz="12" w:space="0" w:color="auto"/>
              <w:left w:val="single" w:sz="2" w:space="0" w:color="auto"/>
              <w:bottom w:val="single" w:sz="2" w:space="0" w:color="auto"/>
              <w:right w:val="single" w:sz="12" w:space="0" w:color="auto"/>
            </w:tcBorders>
            <w:vAlign w:val="center"/>
            <w:hideMark/>
          </w:tcPr>
          <w:p w14:paraId="23A72E25" w14:textId="1FBA0F8F" w:rsidR="006D0EB4" w:rsidRPr="006D0EB4" w:rsidRDefault="006D0EB4" w:rsidP="00330D70">
            <w:pPr>
              <w:spacing w:after="0"/>
              <w:ind w:hanging="6"/>
              <w:jc w:val="center"/>
              <w:rPr>
                <w:rFonts w:asciiTheme="minorHAnsi" w:hAnsiTheme="minorHAnsi" w:cstheme="minorHAnsi"/>
                <w:b/>
                <w:sz w:val="20"/>
                <w:szCs w:val="20"/>
              </w:rPr>
            </w:pPr>
            <w:r w:rsidRPr="006D0EB4">
              <w:rPr>
                <w:rFonts w:asciiTheme="minorHAnsi" w:hAnsiTheme="minorHAnsi" w:cstheme="minorHAnsi"/>
                <w:b/>
                <w:sz w:val="20"/>
                <w:szCs w:val="20"/>
              </w:rPr>
              <w:t xml:space="preserve">podiel </w:t>
            </w:r>
            <w:r w:rsidRPr="006D0EB4">
              <w:rPr>
                <w:rFonts w:asciiTheme="minorHAnsi" w:hAnsiTheme="minorHAnsi" w:cstheme="minorHAnsi"/>
                <w:sz w:val="20"/>
                <w:szCs w:val="20"/>
              </w:rPr>
              <w:t>(v</w:t>
            </w:r>
            <w:r w:rsidR="00330D70">
              <w:rPr>
                <w:rFonts w:asciiTheme="minorHAnsi" w:hAnsiTheme="minorHAnsi" w:cstheme="minorHAnsi"/>
                <w:sz w:val="20"/>
                <w:szCs w:val="20"/>
              </w:rPr>
              <w:t xml:space="preserve"> </w:t>
            </w:r>
            <w:r w:rsidRPr="006D0EB4">
              <w:rPr>
                <w:rFonts w:asciiTheme="minorHAnsi" w:hAnsiTheme="minorHAnsi" w:cstheme="minorHAnsi"/>
                <w:sz w:val="20"/>
                <w:szCs w:val="20"/>
              </w:rPr>
              <w:t>%)</w:t>
            </w:r>
          </w:p>
        </w:tc>
      </w:tr>
      <w:tr w:rsidR="006D0EB4" w:rsidRPr="006D0EB4" w14:paraId="5160DEA9" w14:textId="77777777" w:rsidTr="00330D70">
        <w:trPr>
          <w:trHeight w:val="260"/>
        </w:trPr>
        <w:tc>
          <w:tcPr>
            <w:tcW w:w="0" w:type="auto"/>
            <w:vMerge/>
            <w:tcBorders>
              <w:top w:val="single" w:sz="12" w:space="0" w:color="auto"/>
              <w:left w:val="single" w:sz="12" w:space="0" w:color="auto"/>
              <w:bottom w:val="single" w:sz="4" w:space="0" w:color="auto"/>
              <w:right w:val="double" w:sz="4" w:space="0" w:color="auto"/>
            </w:tcBorders>
            <w:vAlign w:val="center"/>
            <w:hideMark/>
          </w:tcPr>
          <w:p w14:paraId="6856B254" w14:textId="77777777" w:rsidR="006D0EB4" w:rsidRPr="006D0EB4" w:rsidRDefault="006D0EB4" w:rsidP="00330D70">
            <w:pPr>
              <w:spacing w:after="0"/>
              <w:ind w:hanging="6"/>
              <w:rPr>
                <w:rFonts w:asciiTheme="minorHAnsi" w:hAnsiTheme="minorHAnsi" w:cstheme="minorHAnsi"/>
                <w:b/>
                <w:sz w:val="20"/>
                <w:szCs w:val="20"/>
              </w:rPr>
            </w:pPr>
          </w:p>
        </w:tc>
        <w:tc>
          <w:tcPr>
            <w:tcW w:w="658" w:type="dxa"/>
            <w:vMerge w:val="restart"/>
            <w:tcBorders>
              <w:top w:val="single" w:sz="2" w:space="0" w:color="auto"/>
              <w:left w:val="double" w:sz="4" w:space="0" w:color="auto"/>
              <w:bottom w:val="single" w:sz="4" w:space="0" w:color="auto"/>
              <w:right w:val="single" w:sz="2" w:space="0" w:color="auto"/>
            </w:tcBorders>
            <w:textDirection w:val="btLr"/>
            <w:hideMark/>
          </w:tcPr>
          <w:p w14:paraId="610422BF" w14:textId="1042EA2E" w:rsidR="006D0EB4" w:rsidRPr="006D0EB4" w:rsidRDefault="006D0EB4" w:rsidP="00330D70">
            <w:pPr>
              <w:spacing w:after="0"/>
              <w:ind w:left="113" w:right="426" w:hanging="6"/>
              <w:jc w:val="center"/>
              <w:rPr>
                <w:rFonts w:asciiTheme="minorHAnsi" w:hAnsiTheme="minorHAnsi" w:cstheme="minorHAnsi"/>
                <w:sz w:val="20"/>
                <w:szCs w:val="20"/>
              </w:rPr>
            </w:pPr>
            <w:r w:rsidRPr="006D0EB4">
              <w:rPr>
                <w:rFonts w:asciiTheme="minorHAnsi" w:hAnsiTheme="minorHAnsi" w:cstheme="minorHAnsi"/>
                <w:sz w:val="20"/>
                <w:szCs w:val="20"/>
              </w:rPr>
              <w:t xml:space="preserve">z </w:t>
            </w:r>
            <w:r w:rsidR="00330D70" w:rsidRPr="006D0EB4">
              <w:rPr>
                <w:rFonts w:asciiTheme="minorHAnsi" w:hAnsiTheme="minorHAnsi" w:cstheme="minorHAnsi"/>
                <w:sz w:val="20"/>
                <w:szCs w:val="20"/>
              </w:rPr>
              <w:t>toh</w:t>
            </w:r>
            <w:r w:rsidR="00330D70">
              <w:rPr>
                <w:rFonts w:asciiTheme="minorHAnsi" w:hAnsiTheme="minorHAnsi" w:cstheme="minorHAnsi"/>
                <w:sz w:val="20"/>
                <w:szCs w:val="20"/>
              </w:rPr>
              <w:t>o</w:t>
            </w:r>
            <w:r w:rsidRPr="006D0EB4">
              <w:rPr>
                <w:rFonts w:asciiTheme="minorHAnsi" w:hAnsiTheme="minorHAnsi" w:cstheme="minorHAnsi"/>
                <w:sz w:val="20"/>
                <w:szCs w:val="20"/>
              </w:rPr>
              <w:t xml:space="preserve"> MSP</w:t>
            </w:r>
          </w:p>
        </w:tc>
        <w:tc>
          <w:tcPr>
            <w:tcW w:w="2738" w:type="dxa"/>
            <w:tcBorders>
              <w:top w:val="single" w:sz="2" w:space="0" w:color="auto"/>
              <w:left w:val="single" w:sz="2" w:space="0" w:color="auto"/>
              <w:bottom w:val="single" w:sz="2" w:space="0" w:color="auto"/>
              <w:right w:val="single" w:sz="4" w:space="0" w:color="auto"/>
            </w:tcBorders>
            <w:vAlign w:val="center"/>
            <w:hideMark/>
          </w:tcPr>
          <w:p w14:paraId="76B5D83E" w14:textId="77777777" w:rsidR="006D0EB4" w:rsidRPr="006D0EB4" w:rsidRDefault="006D0EB4" w:rsidP="00330D70">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Pomoc pre mikropodniky</w:t>
            </w:r>
          </w:p>
        </w:tc>
        <w:tc>
          <w:tcPr>
            <w:tcW w:w="1277" w:type="dxa"/>
            <w:tcBorders>
              <w:top w:val="single" w:sz="2" w:space="0" w:color="auto"/>
              <w:left w:val="single" w:sz="2" w:space="0" w:color="auto"/>
              <w:bottom w:val="single" w:sz="2" w:space="0" w:color="auto"/>
              <w:right w:val="single" w:sz="2" w:space="0" w:color="auto"/>
            </w:tcBorders>
            <w:vAlign w:val="center"/>
            <w:hideMark/>
          </w:tcPr>
          <w:p w14:paraId="3935C114" w14:textId="77777777" w:rsidR="006D0EB4" w:rsidRPr="006D0EB4" w:rsidRDefault="006D0EB4" w:rsidP="00330D70">
            <w:pPr>
              <w:spacing w:after="0"/>
              <w:ind w:right="11" w:hanging="6"/>
              <w:jc w:val="right"/>
              <w:rPr>
                <w:rFonts w:asciiTheme="minorHAnsi" w:hAnsiTheme="minorHAnsi" w:cstheme="minorHAnsi"/>
                <w:sz w:val="20"/>
                <w:szCs w:val="20"/>
              </w:rPr>
            </w:pPr>
            <w:r w:rsidRPr="006D0EB4">
              <w:rPr>
                <w:rFonts w:asciiTheme="minorHAnsi" w:hAnsiTheme="minorHAnsi" w:cstheme="minorHAnsi"/>
                <w:sz w:val="20"/>
                <w:szCs w:val="20"/>
              </w:rPr>
              <w:t>465</w:t>
            </w:r>
          </w:p>
        </w:tc>
        <w:tc>
          <w:tcPr>
            <w:tcW w:w="1553" w:type="dxa"/>
            <w:tcBorders>
              <w:top w:val="single" w:sz="2" w:space="0" w:color="auto"/>
              <w:left w:val="single" w:sz="2" w:space="0" w:color="auto"/>
              <w:bottom w:val="single" w:sz="2" w:space="0" w:color="auto"/>
              <w:right w:val="single" w:sz="2" w:space="0" w:color="auto"/>
            </w:tcBorders>
            <w:vAlign w:val="center"/>
            <w:hideMark/>
          </w:tcPr>
          <w:p w14:paraId="5E3CEE29" w14:textId="77777777" w:rsidR="006D0EB4" w:rsidRPr="006D0EB4" w:rsidRDefault="006D0EB4" w:rsidP="00330D70">
            <w:pPr>
              <w:tabs>
                <w:tab w:val="left" w:pos="0"/>
              </w:tabs>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33,9</w:t>
            </w:r>
          </w:p>
        </w:tc>
        <w:tc>
          <w:tcPr>
            <w:tcW w:w="1252" w:type="dxa"/>
            <w:tcBorders>
              <w:top w:val="single" w:sz="2" w:space="0" w:color="auto"/>
              <w:left w:val="single" w:sz="2" w:space="0" w:color="auto"/>
              <w:bottom w:val="single" w:sz="2" w:space="0" w:color="auto"/>
              <w:right w:val="single" w:sz="12" w:space="0" w:color="auto"/>
            </w:tcBorders>
            <w:vAlign w:val="center"/>
            <w:hideMark/>
          </w:tcPr>
          <w:p w14:paraId="62898930" w14:textId="77777777" w:rsidR="006D0EB4" w:rsidRPr="006D0EB4" w:rsidRDefault="006D0EB4" w:rsidP="00330D70">
            <w:pPr>
              <w:tabs>
                <w:tab w:val="left" w:pos="0"/>
              </w:tabs>
              <w:spacing w:after="0"/>
              <w:ind w:right="7" w:hanging="6"/>
              <w:jc w:val="right"/>
              <w:rPr>
                <w:rFonts w:asciiTheme="minorHAnsi" w:hAnsiTheme="minorHAnsi" w:cstheme="minorHAnsi"/>
                <w:sz w:val="20"/>
                <w:szCs w:val="20"/>
              </w:rPr>
            </w:pPr>
            <w:r w:rsidRPr="006D0EB4">
              <w:rPr>
                <w:rFonts w:asciiTheme="minorHAnsi" w:hAnsiTheme="minorHAnsi" w:cstheme="minorHAnsi"/>
                <w:sz w:val="20"/>
                <w:szCs w:val="20"/>
              </w:rPr>
              <w:t>36,44</w:t>
            </w:r>
          </w:p>
        </w:tc>
      </w:tr>
      <w:tr w:rsidR="006D0EB4" w:rsidRPr="006D0EB4" w14:paraId="3568DD78" w14:textId="77777777" w:rsidTr="00330D70">
        <w:trPr>
          <w:trHeight w:val="260"/>
        </w:trPr>
        <w:tc>
          <w:tcPr>
            <w:tcW w:w="0" w:type="auto"/>
            <w:vMerge/>
            <w:tcBorders>
              <w:top w:val="single" w:sz="12" w:space="0" w:color="auto"/>
              <w:left w:val="single" w:sz="12" w:space="0" w:color="auto"/>
              <w:bottom w:val="single" w:sz="4" w:space="0" w:color="auto"/>
              <w:right w:val="double" w:sz="4" w:space="0" w:color="auto"/>
            </w:tcBorders>
            <w:vAlign w:val="center"/>
            <w:hideMark/>
          </w:tcPr>
          <w:p w14:paraId="0C4AECA3" w14:textId="77777777" w:rsidR="006D0EB4" w:rsidRPr="006D0EB4" w:rsidRDefault="006D0EB4" w:rsidP="00330D70">
            <w:pPr>
              <w:spacing w:after="0"/>
              <w:ind w:hanging="6"/>
              <w:rPr>
                <w:rFonts w:asciiTheme="minorHAnsi" w:hAnsiTheme="minorHAnsi" w:cstheme="minorHAnsi"/>
                <w:b/>
                <w:sz w:val="20"/>
                <w:szCs w:val="20"/>
              </w:rPr>
            </w:pPr>
          </w:p>
        </w:tc>
        <w:tc>
          <w:tcPr>
            <w:tcW w:w="658" w:type="dxa"/>
            <w:vMerge/>
            <w:tcBorders>
              <w:top w:val="single" w:sz="2" w:space="0" w:color="auto"/>
              <w:left w:val="double" w:sz="4" w:space="0" w:color="auto"/>
              <w:bottom w:val="single" w:sz="4" w:space="0" w:color="auto"/>
              <w:right w:val="single" w:sz="2" w:space="0" w:color="auto"/>
            </w:tcBorders>
            <w:vAlign w:val="center"/>
            <w:hideMark/>
          </w:tcPr>
          <w:p w14:paraId="3164EAA1" w14:textId="77777777" w:rsidR="006D0EB4" w:rsidRPr="006D0EB4" w:rsidRDefault="006D0EB4" w:rsidP="00330D70">
            <w:pPr>
              <w:spacing w:after="0"/>
              <w:ind w:hanging="6"/>
              <w:rPr>
                <w:rFonts w:asciiTheme="minorHAnsi" w:hAnsiTheme="minorHAnsi" w:cstheme="minorHAnsi"/>
                <w:sz w:val="20"/>
                <w:szCs w:val="20"/>
              </w:rPr>
            </w:pPr>
          </w:p>
        </w:tc>
        <w:tc>
          <w:tcPr>
            <w:tcW w:w="2738" w:type="dxa"/>
            <w:tcBorders>
              <w:top w:val="single" w:sz="2" w:space="0" w:color="auto"/>
              <w:left w:val="single" w:sz="2" w:space="0" w:color="auto"/>
              <w:bottom w:val="single" w:sz="2" w:space="0" w:color="auto"/>
              <w:right w:val="single" w:sz="4" w:space="0" w:color="auto"/>
            </w:tcBorders>
            <w:vAlign w:val="center"/>
            <w:hideMark/>
          </w:tcPr>
          <w:p w14:paraId="0789EBEC" w14:textId="77777777" w:rsidR="006D0EB4" w:rsidRPr="006D0EB4" w:rsidRDefault="006D0EB4" w:rsidP="00330D70">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Pomoc pre malé podniky</w:t>
            </w:r>
          </w:p>
        </w:tc>
        <w:tc>
          <w:tcPr>
            <w:tcW w:w="1277" w:type="dxa"/>
            <w:tcBorders>
              <w:top w:val="single" w:sz="2" w:space="0" w:color="auto"/>
              <w:left w:val="single" w:sz="2" w:space="0" w:color="auto"/>
              <w:bottom w:val="single" w:sz="2" w:space="0" w:color="auto"/>
              <w:right w:val="single" w:sz="2" w:space="0" w:color="auto"/>
            </w:tcBorders>
            <w:vAlign w:val="center"/>
            <w:hideMark/>
          </w:tcPr>
          <w:p w14:paraId="512C7082" w14:textId="77777777" w:rsidR="006D0EB4" w:rsidRPr="006D0EB4" w:rsidRDefault="006D0EB4" w:rsidP="00330D70">
            <w:pPr>
              <w:tabs>
                <w:tab w:val="left" w:pos="0"/>
              </w:tabs>
              <w:spacing w:after="0"/>
              <w:ind w:right="11" w:hanging="6"/>
              <w:jc w:val="right"/>
              <w:rPr>
                <w:rFonts w:asciiTheme="minorHAnsi" w:hAnsiTheme="minorHAnsi" w:cstheme="minorHAnsi"/>
                <w:sz w:val="20"/>
                <w:szCs w:val="20"/>
              </w:rPr>
            </w:pPr>
            <w:r w:rsidRPr="006D0EB4">
              <w:rPr>
                <w:rFonts w:asciiTheme="minorHAnsi" w:hAnsiTheme="minorHAnsi" w:cstheme="minorHAnsi"/>
                <w:sz w:val="20"/>
                <w:szCs w:val="20"/>
              </w:rPr>
              <w:t>274</w:t>
            </w:r>
          </w:p>
        </w:tc>
        <w:tc>
          <w:tcPr>
            <w:tcW w:w="1553" w:type="dxa"/>
            <w:tcBorders>
              <w:top w:val="single" w:sz="2" w:space="0" w:color="auto"/>
              <w:left w:val="single" w:sz="2" w:space="0" w:color="auto"/>
              <w:bottom w:val="single" w:sz="2" w:space="0" w:color="auto"/>
              <w:right w:val="single" w:sz="2" w:space="0" w:color="auto"/>
            </w:tcBorders>
            <w:vAlign w:val="center"/>
            <w:hideMark/>
          </w:tcPr>
          <w:p w14:paraId="30E518C6" w14:textId="77777777" w:rsidR="006D0EB4" w:rsidRPr="006D0EB4" w:rsidRDefault="006D0EB4" w:rsidP="00330D70">
            <w:pPr>
              <w:tabs>
                <w:tab w:val="left" w:pos="0"/>
              </w:tabs>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38,61</w:t>
            </w:r>
          </w:p>
        </w:tc>
        <w:tc>
          <w:tcPr>
            <w:tcW w:w="1252" w:type="dxa"/>
            <w:tcBorders>
              <w:top w:val="single" w:sz="2" w:space="0" w:color="auto"/>
              <w:left w:val="single" w:sz="2" w:space="0" w:color="auto"/>
              <w:bottom w:val="single" w:sz="2" w:space="0" w:color="auto"/>
              <w:right w:val="single" w:sz="12" w:space="0" w:color="auto"/>
            </w:tcBorders>
            <w:vAlign w:val="center"/>
            <w:hideMark/>
          </w:tcPr>
          <w:p w14:paraId="5FF42CD5" w14:textId="77777777" w:rsidR="006D0EB4" w:rsidRPr="006D0EB4" w:rsidRDefault="006D0EB4" w:rsidP="00330D70">
            <w:pPr>
              <w:tabs>
                <w:tab w:val="left" w:pos="0"/>
              </w:tabs>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41,50</w:t>
            </w:r>
          </w:p>
        </w:tc>
      </w:tr>
      <w:tr w:rsidR="006D0EB4" w:rsidRPr="006D0EB4" w14:paraId="2D3DF703" w14:textId="77777777" w:rsidTr="00330D70">
        <w:trPr>
          <w:trHeight w:val="260"/>
        </w:trPr>
        <w:tc>
          <w:tcPr>
            <w:tcW w:w="0" w:type="auto"/>
            <w:vMerge/>
            <w:tcBorders>
              <w:top w:val="single" w:sz="12" w:space="0" w:color="auto"/>
              <w:left w:val="single" w:sz="12" w:space="0" w:color="auto"/>
              <w:bottom w:val="single" w:sz="4" w:space="0" w:color="auto"/>
              <w:right w:val="double" w:sz="4" w:space="0" w:color="auto"/>
            </w:tcBorders>
            <w:vAlign w:val="center"/>
            <w:hideMark/>
          </w:tcPr>
          <w:p w14:paraId="13050243" w14:textId="77777777" w:rsidR="006D0EB4" w:rsidRPr="006D0EB4" w:rsidRDefault="006D0EB4" w:rsidP="00330D70">
            <w:pPr>
              <w:spacing w:after="0"/>
              <w:ind w:hanging="6"/>
              <w:rPr>
                <w:rFonts w:asciiTheme="minorHAnsi" w:hAnsiTheme="minorHAnsi" w:cstheme="minorHAnsi"/>
                <w:b/>
                <w:sz w:val="20"/>
                <w:szCs w:val="20"/>
              </w:rPr>
            </w:pPr>
          </w:p>
        </w:tc>
        <w:tc>
          <w:tcPr>
            <w:tcW w:w="658" w:type="dxa"/>
            <w:vMerge/>
            <w:tcBorders>
              <w:top w:val="single" w:sz="2" w:space="0" w:color="auto"/>
              <w:left w:val="double" w:sz="4" w:space="0" w:color="auto"/>
              <w:bottom w:val="single" w:sz="4" w:space="0" w:color="auto"/>
              <w:right w:val="single" w:sz="2" w:space="0" w:color="auto"/>
            </w:tcBorders>
            <w:vAlign w:val="center"/>
            <w:hideMark/>
          </w:tcPr>
          <w:p w14:paraId="42348A9F" w14:textId="77777777" w:rsidR="006D0EB4" w:rsidRPr="006D0EB4" w:rsidRDefault="006D0EB4" w:rsidP="00330D70">
            <w:pPr>
              <w:spacing w:after="0"/>
              <w:ind w:hanging="6"/>
              <w:rPr>
                <w:rFonts w:asciiTheme="minorHAnsi" w:hAnsiTheme="minorHAnsi" w:cstheme="minorHAnsi"/>
                <w:sz w:val="20"/>
                <w:szCs w:val="20"/>
              </w:rPr>
            </w:pPr>
          </w:p>
        </w:tc>
        <w:tc>
          <w:tcPr>
            <w:tcW w:w="2738" w:type="dxa"/>
            <w:tcBorders>
              <w:top w:val="single" w:sz="2" w:space="0" w:color="auto"/>
              <w:left w:val="single" w:sz="2" w:space="0" w:color="auto"/>
              <w:bottom w:val="single" w:sz="4" w:space="0" w:color="auto"/>
              <w:right w:val="single" w:sz="4" w:space="0" w:color="auto"/>
            </w:tcBorders>
            <w:vAlign w:val="center"/>
            <w:hideMark/>
          </w:tcPr>
          <w:p w14:paraId="74B6DE22" w14:textId="77777777" w:rsidR="006D0EB4" w:rsidRPr="006D0EB4" w:rsidRDefault="006D0EB4" w:rsidP="00330D70">
            <w:pPr>
              <w:spacing w:after="0"/>
              <w:ind w:right="426" w:hanging="6"/>
              <w:jc w:val="left"/>
              <w:rPr>
                <w:rFonts w:asciiTheme="minorHAnsi" w:hAnsiTheme="minorHAnsi" w:cstheme="minorHAnsi"/>
                <w:b/>
                <w:sz w:val="20"/>
                <w:szCs w:val="20"/>
              </w:rPr>
            </w:pPr>
            <w:r w:rsidRPr="006D0EB4">
              <w:rPr>
                <w:rFonts w:asciiTheme="minorHAnsi" w:hAnsiTheme="minorHAnsi" w:cstheme="minorHAnsi"/>
                <w:b/>
                <w:sz w:val="20"/>
                <w:szCs w:val="20"/>
              </w:rPr>
              <w:t>Pomoc pre stredné podniky</w:t>
            </w:r>
          </w:p>
        </w:tc>
        <w:tc>
          <w:tcPr>
            <w:tcW w:w="1277" w:type="dxa"/>
            <w:tcBorders>
              <w:top w:val="single" w:sz="2" w:space="0" w:color="auto"/>
              <w:left w:val="single" w:sz="2" w:space="0" w:color="auto"/>
              <w:bottom w:val="single" w:sz="4" w:space="0" w:color="auto"/>
              <w:right w:val="single" w:sz="2" w:space="0" w:color="auto"/>
            </w:tcBorders>
            <w:vAlign w:val="center"/>
            <w:hideMark/>
          </w:tcPr>
          <w:p w14:paraId="2674BF88" w14:textId="77777777" w:rsidR="006D0EB4" w:rsidRPr="006D0EB4" w:rsidRDefault="006D0EB4" w:rsidP="00330D70">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29</w:t>
            </w:r>
          </w:p>
        </w:tc>
        <w:tc>
          <w:tcPr>
            <w:tcW w:w="1553" w:type="dxa"/>
            <w:tcBorders>
              <w:top w:val="single" w:sz="2" w:space="0" w:color="auto"/>
              <w:left w:val="single" w:sz="2" w:space="0" w:color="auto"/>
              <w:bottom w:val="single" w:sz="4" w:space="0" w:color="auto"/>
              <w:right w:val="single" w:sz="2" w:space="0" w:color="auto"/>
            </w:tcBorders>
            <w:vAlign w:val="center"/>
            <w:hideMark/>
          </w:tcPr>
          <w:p w14:paraId="67E47D93" w14:textId="77777777" w:rsidR="006D0EB4" w:rsidRPr="006D0EB4" w:rsidRDefault="006D0EB4" w:rsidP="00330D70">
            <w:pPr>
              <w:tabs>
                <w:tab w:val="left" w:pos="0"/>
              </w:tabs>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13,51</w:t>
            </w:r>
          </w:p>
        </w:tc>
        <w:tc>
          <w:tcPr>
            <w:tcW w:w="1252" w:type="dxa"/>
            <w:tcBorders>
              <w:top w:val="single" w:sz="2" w:space="0" w:color="auto"/>
              <w:left w:val="single" w:sz="2" w:space="0" w:color="auto"/>
              <w:bottom w:val="single" w:sz="2" w:space="0" w:color="auto"/>
              <w:right w:val="single" w:sz="12" w:space="0" w:color="auto"/>
            </w:tcBorders>
            <w:vAlign w:val="center"/>
            <w:hideMark/>
          </w:tcPr>
          <w:p w14:paraId="43B260F2" w14:textId="77777777" w:rsidR="006D0EB4" w:rsidRPr="006D0EB4" w:rsidRDefault="006D0EB4" w:rsidP="00330D70">
            <w:pPr>
              <w:tabs>
                <w:tab w:val="left" w:pos="0"/>
              </w:tabs>
              <w:spacing w:after="0"/>
              <w:ind w:right="7" w:hanging="6"/>
              <w:jc w:val="right"/>
              <w:rPr>
                <w:rFonts w:asciiTheme="minorHAnsi" w:hAnsiTheme="minorHAnsi" w:cstheme="minorHAnsi"/>
                <w:sz w:val="20"/>
                <w:szCs w:val="20"/>
              </w:rPr>
            </w:pPr>
            <w:r w:rsidRPr="006D0EB4">
              <w:rPr>
                <w:rFonts w:asciiTheme="minorHAnsi" w:hAnsiTheme="minorHAnsi" w:cstheme="minorHAnsi"/>
                <w:sz w:val="20"/>
                <w:szCs w:val="20"/>
              </w:rPr>
              <w:t>14,52</w:t>
            </w:r>
          </w:p>
        </w:tc>
      </w:tr>
      <w:tr w:rsidR="006D0EB4" w:rsidRPr="006D0EB4" w14:paraId="2D93E5FA" w14:textId="77777777" w:rsidTr="00330D70">
        <w:trPr>
          <w:trHeight w:val="260"/>
        </w:trPr>
        <w:tc>
          <w:tcPr>
            <w:tcW w:w="0" w:type="auto"/>
            <w:vMerge/>
            <w:tcBorders>
              <w:top w:val="single" w:sz="12" w:space="0" w:color="auto"/>
              <w:left w:val="single" w:sz="12" w:space="0" w:color="auto"/>
              <w:bottom w:val="single" w:sz="12" w:space="0" w:color="auto"/>
              <w:right w:val="double" w:sz="4" w:space="0" w:color="auto"/>
            </w:tcBorders>
            <w:vAlign w:val="center"/>
            <w:hideMark/>
          </w:tcPr>
          <w:p w14:paraId="3D39F26D" w14:textId="77777777" w:rsidR="006D0EB4" w:rsidRPr="006D0EB4" w:rsidRDefault="006D0EB4" w:rsidP="00330D70">
            <w:pPr>
              <w:spacing w:after="0"/>
              <w:ind w:hanging="6"/>
              <w:rPr>
                <w:rFonts w:asciiTheme="minorHAnsi" w:hAnsiTheme="minorHAnsi" w:cstheme="minorHAnsi"/>
                <w:b/>
                <w:sz w:val="20"/>
                <w:szCs w:val="20"/>
              </w:rPr>
            </w:pPr>
          </w:p>
        </w:tc>
        <w:tc>
          <w:tcPr>
            <w:tcW w:w="3396" w:type="dxa"/>
            <w:gridSpan w:val="2"/>
            <w:tcBorders>
              <w:top w:val="single" w:sz="4" w:space="0" w:color="auto"/>
              <w:left w:val="double" w:sz="4" w:space="0" w:color="auto"/>
              <w:bottom w:val="single" w:sz="12" w:space="0" w:color="auto"/>
              <w:right w:val="single" w:sz="4" w:space="0" w:color="auto"/>
            </w:tcBorders>
            <w:vAlign w:val="center"/>
            <w:hideMark/>
          </w:tcPr>
          <w:p w14:paraId="73160C3F" w14:textId="77777777" w:rsidR="006D0EB4" w:rsidRPr="006D0EB4" w:rsidRDefault="006D0EB4" w:rsidP="00330D70">
            <w:pPr>
              <w:spacing w:after="0"/>
              <w:ind w:right="426" w:hanging="6"/>
              <w:rPr>
                <w:rFonts w:asciiTheme="minorHAnsi" w:hAnsiTheme="minorHAnsi" w:cstheme="minorHAnsi"/>
                <w:sz w:val="20"/>
                <w:szCs w:val="20"/>
              </w:rPr>
            </w:pPr>
            <w:r w:rsidRPr="006D0EB4">
              <w:rPr>
                <w:rFonts w:asciiTheme="minorHAnsi" w:hAnsiTheme="minorHAnsi" w:cstheme="minorHAnsi"/>
                <w:b/>
                <w:sz w:val="20"/>
                <w:szCs w:val="20"/>
              </w:rPr>
              <w:t>Pomoc pre veľké podniky</w:t>
            </w:r>
          </w:p>
        </w:tc>
        <w:tc>
          <w:tcPr>
            <w:tcW w:w="1277" w:type="dxa"/>
            <w:tcBorders>
              <w:top w:val="single" w:sz="4" w:space="0" w:color="auto"/>
              <w:left w:val="single" w:sz="4" w:space="0" w:color="auto"/>
              <w:bottom w:val="single" w:sz="12" w:space="0" w:color="auto"/>
              <w:right w:val="single" w:sz="2" w:space="0" w:color="auto"/>
            </w:tcBorders>
            <w:vAlign w:val="center"/>
            <w:hideMark/>
          </w:tcPr>
          <w:p w14:paraId="2FE0C61F" w14:textId="77777777" w:rsidR="006D0EB4" w:rsidRPr="006D0EB4" w:rsidRDefault="006D0EB4" w:rsidP="00330D70">
            <w:pPr>
              <w:tabs>
                <w:tab w:val="left" w:pos="0"/>
              </w:tabs>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55</w:t>
            </w:r>
          </w:p>
        </w:tc>
        <w:tc>
          <w:tcPr>
            <w:tcW w:w="1553" w:type="dxa"/>
            <w:tcBorders>
              <w:top w:val="single" w:sz="4" w:space="0" w:color="auto"/>
              <w:left w:val="single" w:sz="2" w:space="0" w:color="auto"/>
              <w:bottom w:val="single" w:sz="12" w:space="0" w:color="auto"/>
              <w:right w:val="single" w:sz="2" w:space="0" w:color="auto"/>
            </w:tcBorders>
            <w:vAlign w:val="center"/>
            <w:hideMark/>
          </w:tcPr>
          <w:p w14:paraId="5D1D6934" w14:textId="77777777" w:rsidR="006D0EB4" w:rsidRPr="006D0EB4" w:rsidRDefault="006D0EB4" w:rsidP="00330D70">
            <w:pPr>
              <w:tabs>
                <w:tab w:val="left" w:pos="0"/>
              </w:tabs>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7,01</w:t>
            </w:r>
          </w:p>
        </w:tc>
        <w:tc>
          <w:tcPr>
            <w:tcW w:w="1252" w:type="dxa"/>
            <w:tcBorders>
              <w:top w:val="single" w:sz="2" w:space="0" w:color="auto"/>
              <w:left w:val="single" w:sz="2" w:space="0" w:color="auto"/>
              <w:bottom w:val="single" w:sz="12" w:space="0" w:color="auto"/>
              <w:right w:val="single" w:sz="12" w:space="0" w:color="auto"/>
            </w:tcBorders>
            <w:vAlign w:val="center"/>
            <w:hideMark/>
          </w:tcPr>
          <w:p w14:paraId="4C59D6D7" w14:textId="77777777" w:rsidR="006D0EB4" w:rsidRPr="006D0EB4" w:rsidRDefault="006D0EB4" w:rsidP="00330D70">
            <w:pPr>
              <w:tabs>
                <w:tab w:val="left" w:pos="0"/>
              </w:tabs>
              <w:spacing w:after="0"/>
              <w:ind w:right="7" w:hanging="6"/>
              <w:jc w:val="right"/>
              <w:rPr>
                <w:rFonts w:asciiTheme="minorHAnsi" w:hAnsiTheme="minorHAnsi" w:cstheme="minorHAnsi"/>
                <w:sz w:val="20"/>
                <w:szCs w:val="20"/>
              </w:rPr>
            </w:pPr>
            <w:r w:rsidRPr="006D0EB4">
              <w:rPr>
                <w:rFonts w:asciiTheme="minorHAnsi" w:hAnsiTheme="minorHAnsi" w:cstheme="minorHAnsi"/>
                <w:sz w:val="20"/>
                <w:szCs w:val="20"/>
              </w:rPr>
              <w:t>7,54</w:t>
            </w:r>
          </w:p>
        </w:tc>
      </w:tr>
    </w:tbl>
    <w:p w14:paraId="43D417BD" w14:textId="6232D19D" w:rsidR="006D0EB4" w:rsidRPr="006D0EB4" w:rsidRDefault="006D0EB4" w:rsidP="006D0EB4">
      <w:pPr>
        <w:spacing w:before="120" w:after="120"/>
        <w:ind w:right="425" w:hanging="6"/>
        <w:rPr>
          <w:b/>
        </w:rPr>
      </w:pPr>
      <w:r>
        <w:rPr>
          <w:b/>
        </w:rPr>
        <w:t>Štátna p</w:t>
      </w:r>
      <w:r w:rsidRPr="006D0EB4">
        <w:rPr>
          <w:b/>
        </w:rPr>
        <w:t>omoc poskytnutá na vzdelávanie</w:t>
      </w:r>
    </w:p>
    <w:p w14:paraId="3A9F76F1" w14:textId="562C5E77" w:rsidR="006D0EB4" w:rsidRPr="006D0EB4" w:rsidRDefault="006D0EB4" w:rsidP="006D0EB4">
      <w:pPr>
        <w:spacing w:before="120" w:after="120"/>
        <w:rPr>
          <w:b/>
        </w:rPr>
      </w:pPr>
      <w:r w:rsidRPr="008154C4">
        <w:t xml:space="preserve">V roku 2024 boli vynaložené finančné prostriedky (poskytnutá pomoc) na podporu vzdelávania v súlade s čl. 31 nariadenia Komisie (EÚ) č. 651/2014 o vyhlásení určitých kategórií pomoci za zlučiteľné s vnútorným trhom podľa článkov 107 a 108 zmluvy (ďalej len „nariadenie č. 651/2014“) na jeden projekt v Trnavskom kraji a dva projekty v Nitrianskom kraji, v celkovej výške 0,22 mil. </w:t>
      </w:r>
      <w:r w:rsidR="009418BA" w:rsidRPr="008154C4">
        <w:t>eur</w:t>
      </w:r>
      <w:r w:rsidRPr="008154C4">
        <w:t>, čo predstavuje 0,24 %  všetkej poskytnutej štátnej pomoci. Do vzdelávacích aktivít bolo zaradených 121 zamestnancov. Celkovo boli na vzdelávanie zamestnancov uzatvorené 3 dohody podľa § 54 zákona o službách zamestnanosti s troma zamestnávateľmi</w:t>
      </w:r>
      <w:r w:rsidRPr="006D0EB4">
        <w:t xml:space="preserve">. </w:t>
      </w:r>
    </w:p>
    <w:p w14:paraId="12A2C7C2" w14:textId="7EF272BC" w:rsidR="006D0EB4" w:rsidRPr="006D0EB4" w:rsidRDefault="006D0EB4" w:rsidP="006D0EB4">
      <w:pPr>
        <w:rPr>
          <w:b/>
        </w:rPr>
      </w:pPr>
      <w:r>
        <w:rPr>
          <w:b/>
        </w:rPr>
        <w:t>Štátna p</w:t>
      </w:r>
      <w:r w:rsidRPr="006D0EB4">
        <w:rPr>
          <w:b/>
        </w:rPr>
        <w:t xml:space="preserve">omoc poskytnutá na podporu zamestnanosti </w:t>
      </w:r>
    </w:p>
    <w:p w14:paraId="09D6068A" w14:textId="1B2E2F50" w:rsidR="006D0EB4" w:rsidRPr="008154C4" w:rsidRDefault="006D0EB4" w:rsidP="006D0EB4">
      <w:pPr>
        <w:spacing w:before="120" w:after="120"/>
      </w:pPr>
      <w:r w:rsidRPr="008154C4">
        <w:t xml:space="preserve">Pomoc na podporu zamestnanosti t. j. pomoc na prijímanie a zamestnávanie znevýhodnených pracovníkov a pracovníkov so zdravotným postihnutím v zmysle čl. 32 až 35 nariadenia </w:t>
      </w:r>
      <w:r w:rsidR="00330D70" w:rsidRPr="008154C4">
        <w:t xml:space="preserve">                  </w:t>
      </w:r>
      <w:r w:rsidRPr="008154C4">
        <w:t xml:space="preserve">č. 651/2014 v rámci ústredia a úradov bola za rok 2024 poskytnutá v celkovom súhrnnom objeme 93,03 mil. </w:t>
      </w:r>
      <w:r w:rsidR="009418BA" w:rsidRPr="008154C4">
        <w:t>eur</w:t>
      </w:r>
      <w:r w:rsidRPr="008154C4">
        <w:t xml:space="preserve">, z toho 25,28 mil. </w:t>
      </w:r>
      <w:r w:rsidR="009418BA" w:rsidRPr="008154C4">
        <w:t>eur</w:t>
      </w:r>
      <w:r w:rsidRPr="008154C4">
        <w:t xml:space="preserve"> zo štátneho rozpočtu, pričom pomoc bola poskytnutá 823 oprávneným prijímateľom pomoci.</w:t>
      </w:r>
    </w:p>
    <w:p w14:paraId="72C5A449" w14:textId="22346882" w:rsidR="006D0EB4" w:rsidRPr="008154C4" w:rsidRDefault="006D0EB4" w:rsidP="006D0EB4">
      <w:pPr>
        <w:spacing w:after="120"/>
        <w:rPr>
          <w:color w:val="FF0000"/>
        </w:rPr>
      </w:pPr>
      <w:r w:rsidRPr="008154C4">
        <w:t xml:space="preserve">V porovnaní s rokom 2023 sa pomoc v roku 2024 súhrnne zvýšila o 16,49 mil. </w:t>
      </w:r>
      <w:r w:rsidR="009418BA" w:rsidRPr="008154C4">
        <w:t>eur</w:t>
      </w:r>
      <w:r w:rsidR="00330D70" w:rsidRPr="008154C4">
        <w:t>,</w:t>
      </w:r>
      <w:r w:rsidRPr="008154C4">
        <w:t xml:space="preserve"> tzn.                     o 21,54 %. </w:t>
      </w:r>
    </w:p>
    <w:tbl>
      <w:tblPr>
        <w:tblW w:w="9164" w:type="dxa"/>
        <w:tblInd w:w="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548"/>
        <w:gridCol w:w="4776"/>
        <w:gridCol w:w="1179"/>
        <w:gridCol w:w="850"/>
      </w:tblGrid>
      <w:tr w:rsidR="006D0EB4" w:rsidRPr="006D0EB4" w14:paraId="03290DCC" w14:textId="77777777" w:rsidTr="00482F04">
        <w:trPr>
          <w:trHeight w:val="233"/>
        </w:trPr>
        <w:tc>
          <w:tcPr>
            <w:tcW w:w="1811" w:type="dxa"/>
            <w:vMerge w:val="restart"/>
            <w:vAlign w:val="center"/>
          </w:tcPr>
          <w:p w14:paraId="233C81A7" w14:textId="77777777" w:rsidR="006D0EB4" w:rsidRPr="006D0EB4" w:rsidRDefault="006D0EB4" w:rsidP="00330D70">
            <w:pPr>
              <w:spacing w:after="0"/>
              <w:ind w:right="426" w:hanging="6"/>
              <w:rPr>
                <w:rFonts w:asciiTheme="minorHAnsi" w:hAnsiTheme="minorHAnsi" w:cstheme="minorHAnsi"/>
                <w:sz w:val="20"/>
                <w:szCs w:val="20"/>
              </w:rPr>
            </w:pPr>
          </w:p>
          <w:p w14:paraId="6346A454" w14:textId="77777777" w:rsidR="006D0EB4" w:rsidRPr="006D0EB4" w:rsidRDefault="006D0EB4" w:rsidP="00330D70">
            <w:pPr>
              <w:spacing w:after="0"/>
              <w:ind w:right="127" w:hanging="6"/>
              <w:jc w:val="left"/>
              <w:rPr>
                <w:rFonts w:asciiTheme="minorHAnsi" w:hAnsiTheme="minorHAnsi" w:cstheme="minorHAnsi"/>
                <w:b/>
                <w:sz w:val="20"/>
                <w:szCs w:val="20"/>
              </w:rPr>
            </w:pPr>
            <w:r w:rsidRPr="006D0EB4">
              <w:rPr>
                <w:rFonts w:asciiTheme="minorHAnsi" w:hAnsiTheme="minorHAnsi" w:cstheme="minorHAnsi"/>
                <w:b/>
                <w:sz w:val="20"/>
                <w:szCs w:val="20"/>
              </w:rPr>
              <w:t>Pomoc na zamestnanosť</w:t>
            </w:r>
          </w:p>
          <w:p w14:paraId="281B215B" w14:textId="77777777" w:rsidR="006D0EB4" w:rsidRPr="006D0EB4" w:rsidRDefault="006D0EB4" w:rsidP="00330D70">
            <w:pPr>
              <w:spacing w:after="0"/>
              <w:ind w:right="426" w:hanging="6"/>
              <w:rPr>
                <w:rFonts w:asciiTheme="minorHAnsi" w:hAnsiTheme="minorHAnsi" w:cstheme="minorHAnsi"/>
                <w:sz w:val="20"/>
                <w:szCs w:val="20"/>
              </w:rPr>
            </w:pPr>
          </w:p>
        </w:tc>
        <w:tc>
          <w:tcPr>
            <w:tcW w:w="5324" w:type="dxa"/>
            <w:gridSpan w:val="2"/>
            <w:vAlign w:val="center"/>
            <w:hideMark/>
          </w:tcPr>
          <w:p w14:paraId="33DB56AF" w14:textId="63A805E2" w:rsidR="006D0EB4" w:rsidRPr="006D0EB4" w:rsidRDefault="006D0EB4" w:rsidP="00330D70">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 xml:space="preserve">Celková pomoc na zamestnanosť </w:t>
            </w:r>
            <w:r w:rsidRPr="006D0EB4">
              <w:rPr>
                <w:rFonts w:asciiTheme="minorHAnsi" w:hAnsiTheme="minorHAnsi" w:cstheme="minorHAnsi"/>
                <w:sz w:val="20"/>
                <w:szCs w:val="20"/>
              </w:rPr>
              <w:t xml:space="preserve">(v mil. </w:t>
            </w:r>
            <w:r w:rsidR="009418BA">
              <w:rPr>
                <w:rFonts w:asciiTheme="minorHAnsi" w:hAnsiTheme="minorHAnsi" w:cstheme="minorHAnsi"/>
                <w:sz w:val="20"/>
                <w:szCs w:val="20"/>
              </w:rPr>
              <w:t>eur</w:t>
            </w:r>
            <w:r w:rsidRPr="006D0EB4">
              <w:rPr>
                <w:rFonts w:asciiTheme="minorHAnsi" w:hAnsiTheme="minorHAnsi" w:cstheme="minorHAnsi"/>
                <w:sz w:val="20"/>
                <w:szCs w:val="20"/>
              </w:rPr>
              <w:t>)</w:t>
            </w:r>
          </w:p>
        </w:tc>
        <w:tc>
          <w:tcPr>
            <w:tcW w:w="1179" w:type="dxa"/>
            <w:vAlign w:val="center"/>
            <w:hideMark/>
          </w:tcPr>
          <w:p w14:paraId="00993B04" w14:textId="77777777" w:rsidR="006D0EB4" w:rsidRPr="006D0EB4" w:rsidRDefault="006D0EB4" w:rsidP="00330D70">
            <w:pPr>
              <w:spacing w:after="0"/>
              <w:ind w:hanging="6"/>
              <w:jc w:val="center"/>
              <w:rPr>
                <w:rFonts w:asciiTheme="minorHAnsi" w:hAnsiTheme="minorHAnsi" w:cstheme="minorHAnsi"/>
                <w:b/>
                <w:sz w:val="20"/>
                <w:szCs w:val="20"/>
              </w:rPr>
            </w:pPr>
            <w:r w:rsidRPr="006D0EB4">
              <w:rPr>
                <w:rFonts w:asciiTheme="minorHAnsi" w:hAnsiTheme="minorHAnsi" w:cstheme="minorHAnsi"/>
                <w:b/>
                <w:sz w:val="20"/>
                <w:szCs w:val="20"/>
              </w:rPr>
              <w:t>93,03</w:t>
            </w:r>
          </w:p>
        </w:tc>
        <w:tc>
          <w:tcPr>
            <w:tcW w:w="850" w:type="dxa"/>
            <w:vAlign w:val="center"/>
            <w:hideMark/>
          </w:tcPr>
          <w:p w14:paraId="1179A7DA" w14:textId="2C18F5B1" w:rsidR="006D0EB4" w:rsidRPr="006D0EB4" w:rsidRDefault="00330D70" w:rsidP="00330D70">
            <w:pPr>
              <w:spacing w:after="0"/>
              <w:ind w:hanging="6"/>
              <w:jc w:val="center"/>
              <w:rPr>
                <w:rFonts w:asciiTheme="minorHAnsi" w:hAnsiTheme="minorHAnsi" w:cstheme="minorHAnsi"/>
                <w:b/>
                <w:sz w:val="20"/>
                <w:szCs w:val="20"/>
              </w:rPr>
            </w:pPr>
            <w:r>
              <w:rPr>
                <w:rFonts w:asciiTheme="minorHAnsi" w:hAnsiTheme="minorHAnsi" w:cstheme="minorHAnsi"/>
                <w:sz w:val="20"/>
                <w:szCs w:val="20"/>
              </w:rPr>
              <w:t>(</w:t>
            </w:r>
            <w:r w:rsidR="006D0EB4" w:rsidRPr="006D0EB4">
              <w:rPr>
                <w:rFonts w:asciiTheme="minorHAnsi" w:hAnsiTheme="minorHAnsi" w:cstheme="minorHAnsi"/>
                <w:sz w:val="20"/>
                <w:szCs w:val="20"/>
              </w:rPr>
              <w:t>v</w:t>
            </w:r>
            <w:r w:rsidR="006D0EB4" w:rsidRPr="006D0EB4">
              <w:rPr>
                <w:rFonts w:asciiTheme="minorHAnsi" w:hAnsiTheme="minorHAnsi" w:cstheme="minorHAnsi"/>
                <w:b/>
                <w:sz w:val="20"/>
                <w:szCs w:val="20"/>
              </w:rPr>
              <w:t xml:space="preserve"> %</w:t>
            </w:r>
            <w:r>
              <w:rPr>
                <w:rFonts w:asciiTheme="minorHAnsi" w:hAnsiTheme="minorHAnsi" w:cstheme="minorHAnsi"/>
                <w:b/>
                <w:sz w:val="20"/>
                <w:szCs w:val="20"/>
              </w:rPr>
              <w:t>)</w:t>
            </w:r>
          </w:p>
        </w:tc>
      </w:tr>
      <w:tr w:rsidR="006D0EB4" w:rsidRPr="006D0EB4" w14:paraId="76B126D2" w14:textId="77777777" w:rsidTr="00482F04">
        <w:trPr>
          <w:trHeight w:hRule="exact" w:val="507"/>
        </w:trPr>
        <w:tc>
          <w:tcPr>
            <w:tcW w:w="0" w:type="auto"/>
            <w:vMerge/>
            <w:vAlign w:val="center"/>
            <w:hideMark/>
          </w:tcPr>
          <w:p w14:paraId="5903018B" w14:textId="77777777" w:rsidR="006D0EB4" w:rsidRPr="006D0EB4" w:rsidRDefault="006D0EB4" w:rsidP="00330D70">
            <w:pPr>
              <w:spacing w:after="0"/>
              <w:ind w:hanging="6"/>
              <w:rPr>
                <w:rFonts w:asciiTheme="minorHAnsi" w:hAnsiTheme="minorHAnsi" w:cstheme="minorHAnsi"/>
                <w:sz w:val="20"/>
                <w:szCs w:val="20"/>
              </w:rPr>
            </w:pPr>
          </w:p>
        </w:tc>
        <w:tc>
          <w:tcPr>
            <w:tcW w:w="548" w:type="dxa"/>
            <w:vMerge w:val="restart"/>
            <w:textDirection w:val="btLr"/>
            <w:vAlign w:val="center"/>
            <w:hideMark/>
          </w:tcPr>
          <w:p w14:paraId="635F1D0E" w14:textId="77777777" w:rsidR="006D0EB4" w:rsidRPr="006D0EB4" w:rsidRDefault="006D0EB4" w:rsidP="00330D70">
            <w:pPr>
              <w:spacing w:after="0"/>
              <w:ind w:left="113" w:right="11" w:hanging="6"/>
              <w:jc w:val="center"/>
              <w:rPr>
                <w:rFonts w:asciiTheme="minorHAnsi" w:hAnsiTheme="minorHAnsi" w:cstheme="minorHAnsi"/>
                <w:sz w:val="20"/>
                <w:szCs w:val="20"/>
              </w:rPr>
            </w:pPr>
            <w:r w:rsidRPr="006D0EB4">
              <w:rPr>
                <w:rFonts w:asciiTheme="minorHAnsi" w:hAnsiTheme="minorHAnsi" w:cstheme="minorHAnsi"/>
                <w:sz w:val="20"/>
                <w:szCs w:val="20"/>
              </w:rPr>
              <w:t>z toho</w:t>
            </w:r>
          </w:p>
        </w:tc>
        <w:tc>
          <w:tcPr>
            <w:tcW w:w="4775" w:type="dxa"/>
            <w:vAlign w:val="center"/>
            <w:hideMark/>
          </w:tcPr>
          <w:p w14:paraId="52EA9C4B" w14:textId="77777777" w:rsidR="006D0EB4" w:rsidRPr="006D0EB4" w:rsidRDefault="006D0EB4" w:rsidP="00330D70">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Ústredie PSVR / zákon o službách zamestnanosti / zákon o sociálnej ekonomike</w:t>
            </w:r>
          </w:p>
        </w:tc>
        <w:tc>
          <w:tcPr>
            <w:tcW w:w="1179" w:type="dxa"/>
            <w:vAlign w:val="center"/>
            <w:hideMark/>
          </w:tcPr>
          <w:p w14:paraId="0D7ACCE7" w14:textId="77777777" w:rsidR="006D0EB4" w:rsidRPr="006D0EB4" w:rsidRDefault="006D0EB4" w:rsidP="00330D70">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90,67</w:t>
            </w:r>
          </w:p>
        </w:tc>
        <w:tc>
          <w:tcPr>
            <w:tcW w:w="850" w:type="dxa"/>
            <w:vAlign w:val="center"/>
            <w:hideMark/>
          </w:tcPr>
          <w:p w14:paraId="3B1383B9" w14:textId="77777777" w:rsidR="006D0EB4" w:rsidRPr="006D0EB4" w:rsidRDefault="006D0EB4" w:rsidP="00330D70">
            <w:pPr>
              <w:tabs>
                <w:tab w:val="left" w:pos="0"/>
              </w:tabs>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97,46</w:t>
            </w:r>
          </w:p>
        </w:tc>
      </w:tr>
      <w:tr w:rsidR="00330D70" w:rsidRPr="006D0EB4" w14:paraId="77AA7424" w14:textId="77777777" w:rsidTr="00482F04">
        <w:trPr>
          <w:trHeight w:hRule="exact" w:val="541"/>
        </w:trPr>
        <w:tc>
          <w:tcPr>
            <w:tcW w:w="0" w:type="auto"/>
            <w:vMerge/>
            <w:vAlign w:val="center"/>
            <w:hideMark/>
          </w:tcPr>
          <w:p w14:paraId="052B4599" w14:textId="77777777" w:rsidR="006D0EB4" w:rsidRPr="006D0EB4" w:rsidRDefault="006D0EB4" w:rsidP="00330D70">
            <w:pPr>
              <w:spacing w:after="0"/>
              <w:ind w:hanging="6"/>
              <w:rPr>
                <w:rFonts w:asciiTheme="minorHAnsi" w:hAnsiTheme="minorHAnsi" w:cstheme="minorHAnsi"/>
                <w:sz w:val="20"/>
                <w:szCs w:val="20"/>
              </w:rPr>
            </w:pPr>
          </w:p>
        </w:tc>
        <w:tc>
          <w:tcPr>
            <w:tcW w:w="548" w:type="dxa"/>
            <w:vMerge/>
            <w:vAlign w:val="center"/>
            <w:hideMark/>
          </w:tcPr>
          <w:p w14:paraId="6819A312" w14:textId="77777777" w:rsidR="006D0EB4" w:rsidRPr="006D0EB4" w:rsidRDefault="006D0EB4" w:rsidP="00330D70">
            <w:pPr>
              <w:spacing w:after="0"/>
              <w:ind w:hanging="6"/>
              <w:rPr>
                <w:rFonts w:asciiTheme="minorHAnsi" w:hAnsiTheme="minorHAnsi" w:cstheme="minorHAnsi"/>
                <w:sz w:val="20"/>
                <w:szCs w:val="20"/>
              </w:rPr>
            </w:pPr>
          </w:p>
        </w:tc>
        <w:tc>
          <w:tcPr>
            <w:tcW w:w="4775" w:type="dxa"/>
            <w:vAlign w:val="center"/>
            <w:hideMark/>
          </w:tcPr>
          <w:p w14:paraId="3A91D4FD" w14:textId="77777777" w:rsidR="006D0EB4" w:rsidRPr="006D0EB4" w:rsidRDefault="006D0EB4" w:rsidP="00330D70">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Ústredie PSVR / individuálne opatrenia investičnej pomoci</w:t>
            </w:r>
          </w:p>
        </w:tc>
        <w:tc>
          <w:tcPr>
            <w:tcW w:w="1179" w:type="dxa"/>
            <w:vAlign w:val="center"/>
            <w:hideMark/>
          </w:tcPr>
          <w:p w14:paraId="07A4B386" w14:textId="77777777" w:rsidR="006D0EB4" w:rsidRPr="006D0EB4" w:rsidRDefault="006D0EB4" w:rsidP="00330D70">
            <w:pPr>
              <w:spacing w:after="0"/>
              <w:ind w:right="88" w:hanging="6"/>
              <w:jc w:val="right"/>
              <w:rPr>
                <w:rFonts w:asciiTheme="minorHAnsi" w:hAnsiTheme="minorHAnsi" w:cstheme="minorHAnsi"/>
                <w:sz w:val="20"/>
                <w:szCs w:val="20"/>
              </w:rPr>
            </w:pPr>
            <w:r w:rsidRPr="006D0EB4">
              <w:rPr>
                <w:rFonts w:asciiTheme="minorHAnsi" w:hAnsiTheme="minorHAnsi" w:cstheme="minorHAnsi"/>
                <w:sz w:val="20"/>
                <w:szCs w:val="20"/>
              </w:rPr>
              <w:t>2,36</w:t>
            </w:r>
          </w:p>
        </w:tc>
        <w:tc>
          <w:tcPr>
            <w:tcW w:w="850" w:type="dxa"/>
            <w:vAlign w:val="center"/>
            <w:hideMark/>
          </w:tcPr>
          <w:p w14:paraId="5487C557" w14:textId="77777777" w:rsidR="006D0EB4" w:rsidRPr="006D0EB4" w:rsidRDefault="006D0EB4" w:rsidP="00330D70">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2,54</w:t>
            </w:r>
          </w:p>
        </w:tc>
      </w:tr>
    </w:tbl>
    <w:p w14:paraId="61368B9A" w14:textId="6F10A045" w:rsidR="006D0EB4" w:rsidRPr="008154C4" w:rsidRDefault="006D0EB4" w:rsidP="001D3A56">
      <w:pPr>
        <w:spacing w:before="120" w:after="0"/>
        <w:ind w:hanging="6"/>
      </w:pPr>
      <w:r w:rsidRPr="008154C4">
        <w:t xml:space="preserve">Štátna pomoc v roku 2024 na podporu zamestnanosti, t. j. pomoc na </w:t>
      </w:r>
      <w:r w:rsidR="006D6023" w:rsidRPr="008154C4">
        <w:t xml:space="preserve">prijímanie do zamestnania a zamestnávanie </w:t>
      </w:r>
      <w:r w:rsidRPr="008154C4">
        <w:t xml:space="preserve">znevýhodnených </w:t>
      </w:r>
      <w:r w:rsidR="00330D70" w:rsidRPr="008154C4">
        <w:t xml:space="preserve">zamestnancov </w:t>
      </w:r>
      <w:r w:rsidRPr="008154C4">
        <w:t>a</w:t>
      </w:r>
      <w:r w:rsidR="00330D70" w:rsidRPr="008154C4">
        <w:t xml:space="preserve"> zamestnancov </w:t>
      </w:r>
      <w:r w:rsidRPr="008154C4">
        <w:t xml:space="preserve">so zdravotným postihnutím v zmysle čl. 32 až 35 nariadenia č. 651/2014  bola poskytnutá v celkove výške 90,67 mil. </w:t>
      </w:r>
      <w:r w:rsidR="009418BA" w:rsidRPr="008154C4">
        <w:t>eur</w:t>
      </w:r>
      <w:r w:rsidRPr="008154C4">
        <w:t xml:space="preserve">, z toho </w:t>
      </w:r>
      <w:r w:rsidR="00330D70" w:rsidRPr="008154C4">
        <w:t xml:space="preserve">22,92 mil. </w:t>
      </w:r>
      <w:r w:rsidR="009418BA" w:rsidRPr="008154C4">
        <w:t>eur</w:t>
      </w:r>
      <w:r w:rsidRPr="008154C4">
        <w:t xml:space="preserve"> bolo zo zdrojov  štátneho rozpočtu. Pomoc bola poskytnutá celkom 815</w:t>
      </w:r>
      <w:r w:rsidRPr="008154C4">
        <w:rPr>
          <w:color w:val="FF0000"/>
        </w:rPr>
        <w:t xml:space="preserve"> </w:t>
      </w:r>
      <w:r w:rsidRPr="008154C4">
        <w:t>oprávneným prijímateľom a bola poskytnutá v rámci nasledujúcich schém pomoci:</w:t>
      </w:r>
    </w:p>
    <w:p w14:paraId="04967CF9" w14:textId="41A11B4C" w:rsidR="006D0EB4" w:rsidRPr="008154C4" w:rsidRDefault="006D0EB4" w:rsidP="001D3A56">
      <w:pPr>
        <w:numPr>
          <w:ilvl w:val="0"/>
          <w:numId w:val="49"/>
        </w:numPr>
        <w:spacing w:after="120"/>
        <w:ind w:left="426" w:hanging="426"/>
        <w:contextualSpacing/>
        <w:rPr>
          <w:lang w:eastAsia="en-US"/>
        </w:rPr>
      </w:pPr>
      <w:r w:rsidRPr="008154C4">
        <w:rPr>
          <w:lang w:eastAsia="en-US"/>
        </w:rPr>
        <w:t xml:space="preserve">Schéma štátnej pomoci na podporu vzdelávania a pomoci na prijímanie do zamestnania a zamestnávanie znevýhodnených zamestnancov a zamestnancov so zdravotným postihnutím v znení dodatku č. 4 - SA. 110863, kde pomoc bola v roku 2024 poskytnutá súhrnne v celkovej výške 0,89 mil. </w:t>
      </w:r>
      <w:r w:rsidR="009418BA" w:rsidRPr="008154C4">
        <w:rPr>
          <w:lang w:eastAsia="en-US"/>
        </w:rPr>
        <w:t>eur</w:t>
      </w:r>
      <w:r w:rsidRPr="008154C4">
        <w:rPr>
          <w:lang w:eastAsia="en-US"/>
        </w:rPr>
        <w:t xml:space="preserve"> pre 31 oprávnených prijímateľov.</w:t>
      </w:r>
    </w:p>
    <w:p w14:paraId="1C4510C2" w14:textId="283C76E7" w:rsidR="006D0EB4" w:rsidRPr="00CD0895" w:rsidRDefault="006D0EB4" w:rsidP="001D3A56">
      <w:pPr>
        <w:numPr>
          <w:ilvl w:val="0"/>
          <w:numId w:val="49"/>
        </w:numPr>
        <w:spacing w:after="120"/>
        <w:ind w:left="426" w:hanging="426"/>
        <w:contextualSpacing/>
        <w:rPr>
          <w:lang w:eastAsia="en-US"/>
        </w:rPr>
      </w:pPr>
      <w:r w:rsidRPr="00CD0895">
        <w:rPr>
          <w:lang w:eastAsia="en-US"/>
        </w:rPr>
        <w:lastRenderedPageBreak/>
        <w:t xml:space="preserve">Schéma štátnej pomoci na podporu vzdelávania a pomoci na prijímanie do zamestnania a zamestnávanie znevýhodnených zamestnancov a zamestnancov so zdravotným postihnutím - SA. 112963, kde pomoc bola v roku 2024 poskytnutá súhrnne v celkovej výške 81,87 mil. </w:t>
      </w:r>
      <w:r w:rsidR="009418BA" w:rsidRPr="00CD0895">
        <w:rPr>
          <w:lang w:eastAsia="en-US"/>
        </w:rPr>
        <w:t>eur</w:t>
      </w:r>
      <w:r w:rsidRPr="00CD0895">
        <w:rPr>
          <w:lang w:eastAsia="en-US"/>
        </w:rPr>
        <w:t xml:space="preserve"> pre 519 oprávnených prijímateľov.</w:t>
      </w:r>
    </w:p>
    <w:p w14:paraId="49CC6029" w14:textId="7260407D" w:rsidR="00CD0895" w:rsidRPr="00CD0895" w:rsidRDefault="006D0EB4" w:rsidP="001D3A56">
      <w:pPr>
        <w:numPr>
          <w:ilvl w:val="0"/>
          <w:numId w:val="49"/>
        </w:numPr>
        <w:spacing w:after="120"/>
        <w:ind w:left="426" w:hanging="426"/>
        <w:rPr>
          <w:lang w:eastAsia="en-US"/>
        </w:rPr>
      </w:pPr>
      <w:r w:rsidRPr="00CD0895">
        <w:rPr>
          <w:lang w:eastAsia="en-US"/>
        </w:rPr>
        <w:t xml:space="preserve">Schéma štátnej pomoci na podporu vzdelávania a pomoci na prijímanie do zamestnania a zamestnávanie znevýhodnených zamestnancov a zamestnancov so zdravotným postihnutím v znení dodatku č. 1 - SA. 115398, kde pomoc bola v roku 2023 poskytnutá súhrnne v celkovej výške 7,91 mil. </w:t>
      </w:r>
      <w:r w:rsidR="009418BA" w:rsidRPr="00CD0895">
        <w:rPr>
          <w:lang w:eastAsia="en-US"/>
        </w:rPr>
        <w:t>eur</w:t>
      </w:r>
      <w:r w:rsidRPr="00CD0895">
        <w:rPr>
          <w:lang w:eastAsia="en-US"/>
        </w:rPr>
        <w:t xml:space="preserve"> pre 265 oprávnených prijímateľov</w:t>
      </w:r>
      <w:r w:rsidR="00CD0895">
        <w:rPr>
          <w:lang w:eastAsia="en-US"/>
        </w:rPr>
        <w:t>.</w:t>
      </w:r>
    </w:p>
    <w:p w14:paraId="50290F53" w14:textId="710B9F62" w:rsidR="006D0EB4" w:rsidRPr="00CD0895" w:rsidRDefault="006D0EB4" w:rsidP="00CD0895">
      <w:pPr>
        <w:spacing w:before="120" w:after="120"/>
        <w:ind w:hanging="6"/>
      </w:pPr>
      <w:r w:rsidRPr="00CD0895">
        <w:t xml:space="preserve">Kým štátna pomoc na podporu zamestnanosti, vrátane vzdelávania v roku 2023 predstavovala v úhrne čiastku 73,88 mil. </w:t>
      </w:r>
      <w:r w:rsidR="009418BA" w:rsidRPr="00CD0895">
        <w:t>eur</w:t>
      </w:r>
      <w:r w:rsidRPr="00CD0895">
        <w:t xml:space="preserve">, v roku 2024 to bola suma 90,67 mil. </w:t>
      </w:r>
      <w:r w:rsidR="009418BA" w:rsidRPr="00CD0895">
        <w:t>eur</w:t>
      </w:r>
      <w:r w:rsidRPr="00CD0895">
        <w:t xml:space="preserve">, čo predstavuje zvýšenie  štátnej pomoci na podporu zamestnanosti  a vzdelávania o 16,79 mil. </w:t>
      </w:r>
      <w:r w:rsidR="009418BA" w:rsidRPr="00CD0895">
        <w:t>eur</w:t>
      </w:r>
      <w:r w:rsidRPr="00CD0895">
        <w:t xml:space="preserve">, tzn. nárast o 22,72 %. </w:t>
      </w:r>
    </w:p>
    <w:tbl>
      <w:tblPr>
        <w:tblW w:w="9164" w:type="dxa"/>
        <w:tblInd w:w="-15" w:type="dxa"/>
        <w:tblLayout w:type="fixed"/>
        <w:tblCellMar>
          <w:left w:w="70" w:type="dxa"/>
          <w:right w:w="70" w:type="dxa"/>
        </w:tblCellMar>
        <w:tblLook w:val="04A0" w:firstRow="1" w:lastRow="0" w:firstColumn="1" w:lastColumn="0" w:noHBand="0" w:noVBand="1"/>
      </w:tblPr>
      <w:tblGrid>
        <w:gridCol w:w="1584"/>
        <w:gridCol w:w="402"/>
        <w:gridCol w:w="1000"/>
        <w:gridCol w:w="885"/>
        <w:gridCol w:w="1984"/>
        <w:gridCol w:w="1000"/>
        <w:gridCol w:w="1144"/>
        <w:gridCol w:w="1165"/>
      </w:tblGrid>
      <w:tr w:rsidR="006D0EB4" w:rsidRPr="006D0EB4" w14:paraId="0CE6172C" w14:textId="77777777" w:rsidTr="00482F04">
        <w:trPr>
          <w:trHeight w:val="329"/>
        </w:trPr>
        <w:tc>
          <w:tcPr>
            <w:tcW w:w="1584" w:type="dxa"/>
            <w:vMerge w:val="restart"/>
            <w:tcBorders>
              <w:top w:val="single" w:sz="12" w:space="0" w:color="auto"/>
              <w:left w:val="single" w:sz="12" w:space="0" w:color="auto"/>
              <w:bottom w:val="nil"/>
              <w:right w:val="double" w:sz="2" w:space="0" w:color="auto"/>
            </w:tcBorders>
            <w:vAlign w:val="center"/>
            <w:hideMark/>
          </w:tcPr>
          <w:p w14:paraId="523DB57F" w14:textId="77777777" w:rsidR="006D0EB4" w:rsidRPr="006D0EB4" w:rsidRDefault="006D0EB4" w:rsidP="001D3A56">
            <w:pPr>
              <w:spacing w:after="0"/>
              <w:ind w:hanging="6"/>
              <w:rPr>
                <w:rFonts w:asciiTheme="minorHAnsi" w:hAnsiTheme="minorHAnsi" w:cstheme="minorHAnsi"/>
                <w:b/>
                <w:sz w:val="20"/>
                <w:szCs w:val="20"/>
              </w:rPr>
            </w:pPr>
          </w:p>
          <w:p w14:paraId="2468BAE1" w14:textId="77777777" w:rsidR="006D0EB4" w:rsidRPr="006D0EB4" w:rsidRDefault="006D0EB4" w:rsidP="001D3A56">
            <w:pPr>
              <w:spacing w:after="0"/>
              <w:ind w:hanging="6"/>
              <w:rPr>
                <w:rFonts w:asciiTheme="minorHAnsi" w:hAnsiTheme="minorHAnsi" w:cstheme="minorHAnsi"/>
                <w:b/>
                <w:sz w:val="20"/>
                <w:szCs w:val="20"/>
              </w:rPr>
            </w:pPr>
            <w:r w:rsidRPr="006D0EB4">
              <w:rPr>
                <w:rFonts w:asciiTheme="minorHAnsi" w:hAnsiTheme="minorHAnsi" w:cstheme="minorHAnsi"/>
                <w:b/>
                <w:sz w:val="20"/>
                <w:szCs w:val="20"/>
              </w:rPr>
              <w:t>Poskytnutá pomoc v zmysle čl. 31</w:t>
            </w:r>
            <w:r w:rsidRPr="006D0EB4">
              <w:rPr>
                <w:rFonts w:asciiTheme="minorHAnsi" w:hAnsiTheme="minorHAnsi" w:cstheme="minorHAnsi"/>
                <w:sz w:val="20"/>
                <w:szCs w:val="20"/>
              </w:rPr>
              <w:t xml:space="preserve"> - </w:t>
            </w:r>
            <w:r w:rsidRPr="006D0EB4">
              <w:rPr>
                <w:rFonts w:asciiTheme="minorHAnsi" w:hAnsiTheme="minorHAnsi" w:cstheme="minorHAnsi"/>
                <w:b/>
                <w:sz w:val="20"/>
                <w:szCs w:val="20"/>
              </w:rPr>
              <w:t xml:space="preserve">pomoc na podporu vzdelávania a čl. 32 - 35  nariadenia Komisie (EÚ)        </w:t>
            </w:r>
          </w:p>
          <w:p w14:paraId="60D6193C" w14:textId="77777777" w:rsidR="006D0EB4" w:rsidRPr="006D0EB4" w:rsidRDefault="006D0EB4" w:rsidP="001D3A56">
            <w:pPr>
              <w:spacing w:after="0"/>
              <w:ind w:hanging="6"/>
              <w:rPr>
                <w:rFonts w:asciiTheme="minorHAnsi" w:hAnsiTheme="minorHAnsi" w:cstheme="minorHAnsi"/>
                <w:sz w:val="20"/>
                <w:szCs w:val="20"/>
              </w:rPr>
            </w:pPr>
            <w:r w:rsidRPr="006D0EB4">
              <w:rPr>
                <w:rFonts w:asciiTheme="minorHAnsi" w:hAnsiTheme="minorHAnsi" w:cstheme="minorHAnsi"/>
                <w:b/>
                <w:sz w:val="20"/>
                <w:szCs w:val="20"/>
              </w:rPr>
              <w:t>č. 651/2014</w:t>
            </w:r>
          </w:p>
        </w:tc>
        <w:tc>
          <w:tcPr>
            <w:tcW w:w="4271" w:type="dxa"/>
            <w:gridSpan w:val="4"/>
            <w:tcBorders>
              <w:top w:val="single" w:sz="12" w:space="0" w:color="auto"/>
              <w:left w:val="double" w:sz="2" w:space="0" w:color="auto"/>
              <w:bottom w:val="nil"/>
              <w:right w:val="single" w:sz="4" w:space="0" w:color="auto"/>
            </w:tcBorders>
            <w:vAlign w:val="center"/>
            <w:hideMark/>
          </w:tcPr>
          <w:p w14:paraId="1093084A" w14:textId="05DFAFCC"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b/>
                <w:sz w:val="20"/>
                <w:szCs w:val="20"/>
              </w:rPr>
              <w:t xml:space="preserve">Podľa typu podniku  </w:t>
            </w:r>
            <w:r w:rsidRPr="006D0EB4">
              <w:rPr>
                <w:rFonts w:asciiTheme="minorHAnsi" w:hAnsiTheme="minorHAnsi" w:cstheme="minorHAnsi"/>
                <w:sz w:val="20"/>
                <w:szCs w:val="20"/>
              </w:rPr>
              <w:t xml:space="preserve">(v mil. </w:t>
            </w:r>
            <w:r w:rsidR="009418BA">
              <w:rPr>
                <w:rFonts w:asciiTheme="minorHAnsi" w:hAnsiTheme="minorHAnsi" w:cstheme="minorHAnsi"/>
                <w:sz w:val="20"/>
                <w:szCs w:val="20"/>
              </w:rPr>
              <w:t>eur</w:t>
            </w:r>
            <w:r w:rsidRPr="006D0EB4">
              <w:rPr>
                <w:rFonts w:asciiTheme="minorHAnsi" w:hAnsiTheme="minorHAnsi" w:cstheme="minorHAnsi"/>
                <w:sz w:val="20"/>
                <w:szCs w:val="20"/>
              </w:rPr>
              <w:t>)</w:t>
            </w:r>
          </w:p>
        </w:tc>
        <w:tc>
          <w:tcPr>
            <w:tcW w:w="1000" w:type="dxa"/>
            <w:tcBorders>
              <w:top w:val="single" w:sz="12" w:space="0" w:color="auto"/>
              <w:left w:val="single" w:sz="4" w:space="0" w:color="auto"/>
              <w:bottom w:val="nil"/>
              <w:right w:val="single" w:sz="4" w:space="0" w:color="auto"/>
            </w:tcBorders>
            <w:vAlign w:val="center"/>
            <w:hideMark/>
          </w:tcPr>
          <w:p w14:paraId="73B1AB2A" w14:textId="77777777" w:rsidR="006D0EB4" w:rsidRPr="006D0EB4" w:rsidRDefault="006D0EB4" w:rsidP="001D3A56">
            <w:pPr>
              <w:spacing w:after="0"/>
              <w:ind w:hanging="6"/>
              <w:jc w:val="center"/>
              <w:rPr>
                <w:rFonts w:asciiTheme="minorHAnsi" w:hAnsiTheme="minorHAnsi" w:cstheme="minorHAnsi"/>
                <w:b/>
                <w:sz w:val="20"/>
                <w:szCs w:val="20"/>
              </w:rPr>
            </w:pPr>
            <w:r w:rsidRPr="006D0EB4">
              <w:rPr>
                <w:rFonts w:asciiTheme="minorHAnsi" w:hAnsiTheme="minorHAnsi" w:cstheme="minorHAnsi"/>
                <w:b/>
                <w:sz w:val="20"/>
                <w:szCs w:val="20"/>
              </w:rPr>
              <w:t>Počet príjemcov</w:t>
            </w:r>
          </w:p>
        </w:tc>
        <w:tc>
          <w:tcPr>
            <w:tcW w:w="1144" w:type="dxa"/>
            <w:tcBorders>
              <w:top w:val="single" w:sz="12" w:space="0" w:color="auto"/>
              <w:left w:val="nil"/>
              <w:bottom w:val="nil"/>
              <w:right w:val="single" w:sz="4" w:space="0" w:color="auto"/>
            </w:tcBorders>
            <w:noWrap/>
            <w:vAlign w:val="center"/>
            <w:hideMark/>
          </w:tcPr>
          <w:p w14:paraId="02005183" w14:textId="77777777" w:rsidR="006D0EB4" w:rsidRPr="006D0EB4" w:rsidRDefault="006D0EB4" w:rsidP="001D3A56">
            <w:pPr>
              <w:tabs>
                <w:tab w:val="left" w:pos="0"/>
              </w:tabs>
              <w:spacing w:after="0"/>
              <w:ind w:hanging="6"/>
              <w:jc w:val="center"/>
              <w:rPr>
                <w:rFonts w:asciiTheme="minorHAnsi" w:hAnsiTheme="minorHAnsi" w:cstheme="minorHAnsi"/>
                <w:b/>
                <w:sz w:val="20"/>
                <w:szCs w:val="20"/>
              </w:rPr>
            </w:pPr>
            <w:r w:rsidRPr="006D0EB4">
              <w:rPr>
                <w:rFonts w:asciiTheme="minorHAnsi" w:hAnsiTheme="minorHAnsi" w:cstheme="minorHAnsi"/>
                <w:b/>
                <w:sz w:val="20"/>
                <w:szCs w:val="20"/>
              </w:rPr>
              <w:t>90,67</w:t>
            </w:r>
          </w:p>
        </w:tc>
        <w:tc>
          <w:tcPr>
            <w:tcW w:w="1164" w:type="dxa"/>
            <w:tcBorders>
              <w:top w:val="single" w:sz="12" w:space="0" w:color="auto"/>
              <w:left w:val="nil"/>
              <w:bottom w:val="nil"/>
              <w:right w:val="single" w:sz="12" w:space="0" w:color="auto"/>
            </w:tcBorders>
            <w:noWrap/>
            <w:vAlign w:val="center"/>
            <w:hideMark/>
          </w:tcPr>
          <w:p w14:paraId="6143CDC1" w14:textId="77777777" w:rsidR="006D0EB4" w:rsidRPr="006D0EB4" w:rsidRDefault="006D0EB4" w:rsidP="001D3A56">
            <w:pPr>
              <w:spacing w:after="0"/>
              <w:ind w:hanging="6"/>
              <w:jc w:val="center"/>
              <w:rPr>
                <w:rFonts w:asciiTheme="minorHAnsi" w:hAnsiTheme="minorHAnsi" w:cstheme="minorHAnsi"/>
                <w:b/>
                <w:sz w:val="20"/>
                <w:szCs w:val="20"/>
              </w:rPr>
            </w:pPr>
            <w:r w:rsidRPr="006D0EB4">
              <w:rPr>
                <w:rFonts w:asciiTheme="minorHAnsi" w:hAnsiTheme="minorHAnsi" w:cstheme="minorHAnsi"/>
                <w:b/>
                <w:sz w:val="20"/>
                <w:szCs w:val="20"/>
              </w:rPr>
              <w:t>podiel</w:t>
            </w:r>
          </w:p>
          <w:p w14:paraId="013943AE" w14:textId="77777777" w:rsidR="006D0EB4" w:rsidRPr="006D0EB4" w:rsidRDefault="006D0EB4" w:rsidP="001D3A56">
            <w:pPr>
              <w:spacing w:after="0"/>
              <w:ind w:hanging="6"/>
              <w:jc w:val="center"/>
              <w:rPr>
                <w:rFonts w:asciiTheme="minorHAnsi" w:hAnsiTheme="minorHAnsi" w:cstheme="minorHAnsi"/>
                <w:sz w:val="20"/>
                <w:szCs w:val="20"/>
              </w:rPr>
            </w:pPr>
            <w:r w:rsidRPr="006D0EB4">
              <w:rPr>
                <w:rFonts w:asciiTheme="minorHAnsi" w:hAnsiTheme="minorHAnsi" w:cstheme="minorHAnsi"/>
                <w:sz w:val="20"/>
                <w:szCs w:val="20"/>
              </w:rPr>
              <w:t>(v %)</w:t>
            </w:r>
          </w:p>
        </w:tc>
      </w:tr>
      <w:tr w:rsidR="006D0EB4" w:rsidRPr="006D0EB4" w14:paraId="097F63E7" w14:textId="77777777" w:rsidTr="00482F04">
        <w:trPr>
          <w:trHeight w:val="234"/>
        </w:trPr>
        <w:tc>
          <w:tcPr>
            <w:tcW w:w="1584" w:type="dxa"/>
            <w:vMerge/>
            <w:tcBorders>
              <w:top w:val="single" w:sz="12" w:space="0" w:color="auto"/>
              <w:left w:val="single" w:sz="12" w:space="0" w:color="auto"/>
              <w:bottom w:val="nil"/>
              <w:right w:val="double" w:sz="2" w:space="0" w:color="auto"/>
            </w:tcBorders>
            <w:vAlign w:val="center"/>
            <w:hideMark/>
          </w:tcPr>
          <w:p w14:paraId="7213A5DC"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val="restart"/>
            <w:tcBorders>
              <w:top w:val="single" w:sz="2" w:space="0" w:color="auto"/>
              <w:left w:val="double" w:sz="2" w:space="0" w:color="auto"/>
              <w:bottom w:val="single" w:sz="12" w:space="0" w:color="auto"/>
              <w:right w:val="single" w:sz="4" w:space="0" w:color="auto"/>
            </w:tcBorders>
            <w:textDirection w:val="btLr"/>
            <w:hideMark/>
          </w:tcPr>
          <w:p w14:paraId="76CEDB12" w14:textId="77777777" w:rsidR="006D0EB4" w:rsidRPr="006D0EB4" w:rsidRDefault="006D0EB4" w:rsidP="001D3A56">
            <w:pPr>
              <w:spacing w:after="0"/>
              <w:ind w:left="113" w:right="426" w:hanging="6"/>
              <w:jc w:val="right"/>
              <w:rPr>
                <w:rFonts w:asciiTheme="minorHAnsi" w:hAnsiTheme="minorHAnsi" w:cstheme="minorHAnsi"/>
                <w:sz w:val="20"/>
                <w:szCs w:val="20"/>
              </w:rPr>
            </w:pPr>
            <w:r w:rsidRPr="006D0EB4">
              <w:rPr>
                <w:rFonts w:asciiTheme="minorHAnsi" w:hAnsiTheme="minorHAnsi" w:cstheme="minorHAnsi"/>
                <w:sz w:val="20"/>
                <w:szCs w:val="20"/>
              </w:rPr>
              <w:t>z toho</w:t>
            </w:r>
          </w:p>
        </w:tc>
        <w:tc>
          <w:tcPr>
            <w:tcW w:w="1000" w:type="dxa"/>
            <w:vMerge w:val="restart"/>
            <w:tcBorders>
              <w:top w:val="single" w:sz="8" w:space="0" w:color="auto"/>
              <w:left w:val="single" w:sz="4" w:space="0" w:color="auto"/>
              <w:bottom w:val="single" w:sz="4" w:space="0" w:color="auto"/>
              <w:right w:val="single" w:sz="4" w:space="0" w:color="auto"/>
            </w:tcBorders>
            <w:vAlign w:val="center"/>
            <w:hideMark/>
          </w:tcPr>
          <w:p w14:paraId="78B74A94"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MSP</w:t>
            </w:r>
          </w:p>
        </w:tc>
        <w:tc>
          <w:tcPr>
            <w:tcW w:w="2868" w:type="dxa"/>
            <w:gridSpan w:val="2"/>
            <w:tcBorders>
              <w:top w:val="single" w:sz="8" w:space="0" w:color="auto"/>
              <w:left w:val="single" w:sz="4" w:space="0" w:color="auto"/>
              <w:bottom w:val="single" w:sz="4" w:space="0" w:color="auto"/>
              <w:right w:val="single" w:sz="4" w:space="0" w:color="auto"/>
            </w:tcBorders>
            <w:vAlign w:val="center"/>
            <w:hideMark/>
          </w:tcPr>
          <w:p w14:paraId="2AB51883"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Mikropodniky</w:t>
            </w:r>
          </w:p>
        </w:tc>
        <w:tc>
          <w:tcPr>
            <w:tcW w:w="1000" w:type="dxa"/>
            <w:tcBorders>
              <w:top w:val="single" w:sz="8" w:space="0" w:color="auto"/>
              <w:left w:val="single" w:sz="4" w:space="0" w:color="auto"/>
              <w:bottom w:val="single" w:sz="4" w:space="0" w:color="auto"/>
              <w:right w:val="single" w:sz="4" w:space="0" w:color="auto"/>
            </w:tcBorders>
            <w:vAlign w:val="center"/>
            <w:hideMark/>
          </w:tcPr>
          <w:p w14:paraId="007A201A"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465</w:t>
            </w:r>
          </w:p>
        </w:tc>
        <w:tc>
          <w:tcPr>
            <w:tcW w:w="1144" w:type="dxa"/>
            <w:tcBorders>
              <w:top w:val="single" w:sz="8" w:space="0" w:color="auto"/>
              <w:left w:val="nil"/>
              <w:bottom w:val="single" w:sz="4" w:space="0" w:color="auto"/>
              <w:right w:val="single" w:sz="4" w:space="0" w:color="auto"/>
            </w:tcBorders>
            <w:vAlign w:val="center"/>
            <w:hideMark/>
          </w:tcPr>
          <w:p w14:paraId="682E35FF" w14:textId="77777777" w:rsidR="006D0EB4" w:rsidRPr="006D0EB4" w:rsidRDefault="006D0EB4" w:rsidP="001D3A56">
            <w:pPr>
              <w:spacing w:after="0"/>
              <w:ind w:hanging="6"/>
              <w:jc w:val="right"/>
              <w:rPr>
                <w:rFonts w:asciiTheme="minorHAnsi" w:hAnsiTheme="minorHAnsi" w:cstheme="minorHAnsi"/>
                <w:bCs/>
                <w:sz w:val="20"/>
                <w:szCs w:val="20"/>
              </w:rPr>
            </w:pPr>
            <w:r w:rsidRPr="006D0EB4">
              <w:rPr>
                <w:rFonts w:asciiTheme="minorHAnsi" w:hAnsiTheme="minorHAnsi" w:cstheme="minorHAnsi"/>
                <w:bCs/>
                <w:sz w:val="20"/>
                <w:szCs w:val="20"/>
              </w:rPr>
              <w:t>33,9</w:t>
            </w:r>
          </w:p>
        </w:tc>
        <w:tc>
          <w:tcPr>
            <w:tcW w:w="1164" w:type="dxa"/>
            <w:tcBorders>
              <w:top w:val="single" w:sz="8" w:space="0" w:color="auto"/>
              <w:left w:val="nil"/>
              <w:bottom w:val="single" w:sz="4" w:space="0" w:color="auto"/>
              <w:right w:val="single" w:sz="12" w:space="0" w:color="auto"/>
            </w:tcBorders>
            <w:noWrap/>
            <w:vAlign w:val="center"/>
            <w:hideMark/>
          </w:tcPr>
          <w:p w14:paraId="4FDA6C73"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37,39</w:t>
            </w:r>
          </w:p>
        </w:tc>
      </w:tr>
      <w:tr w:rsidR="006D0EB4" w:rsidRPr="006D0EB4" w14:paraId="56D9B25E" w14:textId="77777777" w:rsidTr="00482F04">
        <w:trPr>
          <w:trHeight w:val="234"/>
        </w:trPr>
        <w:tc>
          <w:tcPr>
            <w:tcW w:w="1584" w:type="dxa"/>
            <w:vMerge/>
            <w:tcBorders>
              <w:top w:val="single" w:sz="12" w:space="0" w:color="auto"/>
              <w:left w:val="single" w:sz="12" w:space="0" w:color="auto"/>
              <w:bottom w:val="nil"/>
              <w:right w:val="double" w:sz="2" w:space="0" w:color="auto"/>
            </w:tcBorders>
            <w:vAlign w:val="center"/>
            <w:hideMark/>
          </w:tcPr>
          <w:p w14:paraId="77284C83"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12" w:space="0" w:color="auto"/>
              <w:right w:val="single" w:sz="4" w:space="0" w:color="auto"/>
            </w:tcBorders>
            <w:vAlign w:val="center"/>
            <w:hideMark/>
          </w:tcPr>
          <w:p w14:paraId="600C3540" w14:textId="77777777" w:rsidR="006D0EB4" w:rsidRPr="006D0EB4" w:rsidRDefault="006D0EB4" w:rsidP="001D3A56">
            <w:pPr>
              <w:spacing w:after="0"/>
              <w:ind w:hanging="6"/>
              <w:rPr>
                <w:rFonts w:asciiTheme="minorHAnsi" w:hAnsiTheme="minorHAnsi" w:cstheme="minorHAnsi"/>
                <w:sz w:val="20"/>
                <w:szCs w:val="20"/>
              </w:rPr>
            </w:pPr>
          </w:p>
        </w:tc>
        <w:tc>
          <w:tcPr>
            <w:tcW w:w="1000" w:type="dxa"/>
            <w:vMerge/>
            <w:tcBorders>
              <w:top w:val="single" w:sz="8" w:space="0" w:color="auto"/>
              <w:left w:val="single" w:sz="4" w:space="0" w:color="auto"/>
              <w:bottom w:val="single" w:sz="4" w:space="0" w:color="auto"/>
              <w:right w:val="single" w:sz="4" w:space="0" w:color="auto"/>
            </w:tcBorders>
            <w:vAlign w:val="center"/>
            <w:hideMark/>
          </w:tcPr>
          <w:p w14:paraId="4F63B53C" w14:textId="77777777" w:rsidR="006D0EB4" w:rsidRPr="006D0EB4" w:rsidRDefault="006D0EB4" w:rsidP="001D3A56">
            <w:pPr>
              <w:spacing w:after="0"/>
              <w:ind w:hanging="6"/>
              <w:rPr>
                <w:rFonts w:asciiTheme="minorHAnsi" w:hAnsiTheme="minorHAnsi" w:cstheme="minorHAnsi"/>
                <w:sz w:val="20"/>
                <w:szCs w:val="20"/>
              </w:rPr>
            </w:pPr>
          </w:p>
        </w:tc>
        <w:tc>
          <w:tcPr>
            <w:tcW w:w="2868" w:type="dxa"/>
            <w:gridSpan w:val="2"/>
            <w:tcBorders>
              <w:top w:val="single" w:sz="8" w:space="0" w:color="auto"/>
              <w:left w:val="single" w:sz="4" w:space="0" w:color="auto"/>
              <w:bottom w:val="single" w:sz="4" w:space="0" w:color="auto"/>
              <w:right w:val="single" w:sz="4" w:space="0" w:color="auto"/>
            </w:tcBorders>
            <w:vAlign w:val="center"/>
            <w:hideMark/>
          </w:tcPr>
          <w:p w14:paraId="3F2CA899"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Malé podniky</w:t>
            </w:r>
          </w:p>
        </w:tc>
        <w:tc>
          <w:tcPr>
            <w:tcW w:w="1000" w:type="dxa"/>
            <w:tcBorders>
              <w:top w:val="single" w:sz="8" w:space="0" w:color="auto"/>
              <w:left w:val="single" w:sz="4" w:space="0" w:color="auto"/>
              <w:bottom w:val="single" w:sz="4" w:space="0" w:color="auto"/>
              <w:right w:val="single" w:sz="4" w:space="0" w:color="auto"/>
            </w:tcBorders>
            <w:vAlign w:val="center"/>
            <w:hideMark/>
          </w:tcPr>
          <w:p w14:paraId="2F4CBB57"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274</w:t>
            </w:r>
          </w:p>
        </w:tc>
        <w:tc>
          <w:tcPr>
            <w:tcW w:w="1144" w:type="dxa"/>
            <w:tcBorders>
              <w:top w:val="single" w:sz="8" w:space="0" w:color="auto"/>
              <w:left w:val="nil"/>
              <w:bottom w:val="single" w:sz="4" w:space="0" w:color="auto"/>
              <w:right w:val="single" w:sz="4" w:space="0" w:color="auto"/>
            </w:tcBorders>
            <w:vAlign w:val="center"/>
            <w:hideMark/>
          </w:tcPr>
          <w:p w14:paraId="2DBBD691" w14:textId="77777777" w:rsidR="006D0EB4" w:rsidRPr="006D0EB4" w:rsidRDefault="006D0EB4" w:rsidP="001D3A56">
            <w:pPr>
              <w:spacing w:after="0"/>
              <w:ind w:hanging="6"/>
              <w:jc w:val="right"/>
              <w:rPr>
                <w:rFonts w:asciiTheme="minorHAnsi" w:hAnsiTheme="minorHAnsi" w:cstheme="minorHAnsi"/>
                <w:bCs/>
                <w:sz w:val="20"/>
                <w:szCs w:val="20"/>
              </w:rPr>
            </w:pPr>
            <w:r w:rsidRPr="006D0EB4">
              <w:rPr>
                <w:rFonts w:asciiTheme="minorHAnsi" w:hAnsiTheme="minorHAnsi" w:cstheme="minorHAnsi"/>
                <w:bCs/>
                <w:sz w:val="20"/>
                <w:szCs w:val="20"/>
              </w:rPr>
              <w:t>38,61</w:t>
            </w:r>
          </w:p>
        </w:tc>
        <w:tc>
          <w:tcPr>
            <w:tcW w:w="1164" w:type="dxa"/>
            <w:tcBorders>
              <w:top w:val="single" w:sz="8" w:space="0" w:color="auto"/>
              <w:left w:val="nil"/>
              <w:bottom w:val="single" w:sz="4" w:space="0" w:color="auto"/>
              <w:right w:val="single" w:sz="12" w:space="0" w:color="auto"/>
            </w:tcBorders>
            <w:noWrap/>
            <w:vAlign w:val="center"/>
            <w:hideMark/>
          </w:tcPr>
          <w:p w14:paraId="1A2349FA"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42,58</w:t>
            </w:r>
          </w:p>
        </w:tc>
      </w:tr>
      <w:tr w:rsidR="006D0EB4" w:rsidRPr="006D0EB4" w14:paraId="55F376BE" w14:textId="77777777" w:rsidTr="00482F04">
        <w:trPr>
          <w:trHeight w:val="234"/>
        </w:trPr>
        <w:tc>
          <w:tcPr>
            <w:tcW w:w="1584" w:type="dxa"/>
            <w:vMerge/>
            <w:tcBorders>
              <w:top w:val="single" w:sz="12" w:space="0" w:color="auto"/>
              <w:left w:val="single" w:sz="12" w:space="0" w:color="auto"/>
              <w:bottom w:val="nil"/>
              <w:right w:val="double" w:sz="2" w:space="0" w:color="auto"/>
            </w:tcBorders>
            <w:vAlign w:val="center"/>
            <w:hideMark/>
          </w:tcPr>
          <w:p w14:paraId="789CA2FA"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12" w:space="0" w:color="auto"/>
              <w:right w:val="single" w:sz="4" w:space="0" w:color="auto"/>
            </w:tcBorders>
            <w:vAlign w:val="center"/>
            <w:hideMark/>
          </w:tcPr>
          <w:p w14:paraId="2C254110" w14:textId="77777777" w:rsidR="006D0EB4" w:rsidRPr="006D0EB4" w:rsidRDefault="006D0EB4" w:rsidP="001D3A56">
            <w:pPr>
              <w:spacing w:after="0"/>
              <w:ind w:hanging="6"/>
              <w:rPr>
                <w:rFonts w:asciiTheme="minorHAnsi" w:hAnsiTheme="minorHAnsi" w:cstheme="minorHAnsi"/>
                <w:sz w:val="20"/>
                <w:szCs w:val="20"/>
              </w:rPr>
            </w:pPr>
          </w:p>
        </w:tc>
        <w:tc>
          <w:tcPr>
            <w:tcW w:w="1000" w:type="dxa"/>
            <w:vMerge/>
            <w:tcBorders>
              <w:top w:val="single" w:sz="8" w:space="0" w:color="auto"/>
              <w:left w:val="single" w:sz="4" w:space="0" w:color="auto"/>
              <w:bottom w:val="single" w:sz="4" w:space="0" w:color="auto"/>
              <w:right w:val="single" w:sz="4" w:space="0" w:color="auto"/>
            </w:tcBorders>
            <w:vAlign w:val="center"/>
            <w:hideMark/>
          </w:tcPr>
          <w:p w14:paraId="2C3DE08D" w14:textId="77777777" w:rsidR="006D0EB4" w:rsidRPr="006D0EB4" w:rsidRDefault="006D0EB4" w:rsidP="001D3A56">
            <w:pPr>
              <w:spacing w:after="0"/>
              <w:ind w:hanging="6"/>
              <w:rPr>
                <w:rFonts w:asciiTheme="minorHAnsi" w:hAnsiTheme="minorHAnsi" w:cstheme="minorHAnsi"/>
                <w:sz w:val="20"/>
                <w:szCs w:val="20"/>
              </w:rPr>
            </w:pPr>
          </w:p>
        </w:tc>
        <w:tc>
          <w:tcPr>
            <w:tcW w:w="2868" w:type="dxa"/>
            <w:gridSpan w:val="2"/>
            <w:tcBorders>
              <w:top w:val="single" w:sz="8" w:space="0" w:color="auto"/>
              <w:left w:val="single" w:sz="4" w:space="0" w:color="auto"/>
              <w:bottom w:val="single" w:sz="4" w:space="0" w:color="auto"/>
              <w:right w:val="single" w:sz="4" w:space="0" w:color="auto"/>
            </w:tcBorders>
            <w:vAlign w:val="center"/>
            <w:hideMark/>
          </w:tcPr>
          <w:p w14:paraId="5CDC3D9D"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Stredné podniky</w:t>
            </w:r>
          </w:p>
        </w:tc>
        <w:tc>
          <w:tcPr>
            <w:tcW w:w="1000" w:type="dxa"/>
            <w:tcBorders>
              <w:top w:val="single" w:sz="8" w:space="0" w:color="auto"/>
              <w:left w:val="single" w:sz="4" w:space="0" w:color="auto"/>
              <w:bottom w:val="single" w:sz="4" w:space="0" w:color="auto"/>
              <w:right w:val="single" w:sz="4" w:space="0" w:color="auto"/>
            </w:tcBorders>
            <w:vAlign w:val="center"/>
            <w:hideMark/>
          </w:tcPr>
          <w:p w14:paraId="08349950"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29</w:t>
            </w:r>
          </w:p>
        </w:tc>
        <w:tc>
          <w:tcPr>
            <w:tcW w:w="1144" w:type="dxa"/>
            <w:tcBorders>
              <w:top w:val="single" w:sz="8" w:space="0" w:color="auto"/>
              <w:left w:val="nil"/>
              <w:bottom w:val="single" w:sz="4" w:space="0" w:color="auto"/>
              <w:right w:val="single" w:sz="4" w:space="0" w:color="auto"/>
            </w:tcBorders>
            <w:vAlign w:val="center"/>
            <w:hideMark/>
          </w:tcPr>
          <w:p w14:paraId="64EA4D67" w14:textId="77777777" w:rsidR="006D0EB4" w:rsidRPr="006D0EB4" w:rsidRDefault="006D0EB4" w:rsidP="001D3A56">
            <w:pPr>
              <w:spacing w:after="0"/>
              <w:ind w:hanging="6"/>
              <w:jc w:val="right"/>
              <w:rPr>
                <w:rFonts w:asciiTheme="minorHAnsi" w:hAnsiTheme="minorHAnsi" w:cstheme="minorHAnsi"/>
                <w:bCs/>
                <w:sz w:val="20"/>
                <w:szCs w:val="20"/>
              </w:rPr>
            </w:pPr>
            <w:r w:rsidRPr="006D0EB4">
              <w:rPr>
                <w:rFonts w:asciiTheme="minorHAnsi" w:hAnsiTheme="minorHAnsi" w:cstheme="minorHAnsi"/>
                <w:bCs/>
                <w:sz w:val="20"/>
                <w:szCs w:val="20"/>
              </w:rPr>
              <w:t>13,51</w:t>
            </w:r>
          </w:p>
        </w:tc>
        <w:tc>
          <w:tcPr>
            <w:tcW w:w="1164" w:type="dxa"/>
            <w:tcBorders>
              <w:top w:val="single" w:sz="8" w:space="0" w:color="auto"/>
              <w:left w:val="nil"/>
              <w:bottom w:val="single" w:sz="4" w:space="0" w:color="auto"/>
              <w:right w:val="single" w:sz="12" w:space="0" w:color="auto"/>
            </w:tcBorders>
            <w:noWrap/>
            <w:vAlign w:val="center"/>
            <w:hideMark/>
          </w:tcPr>
          <w:p w14:paraId="0BA8633B"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14,90</w:t>
            </w:r>
          </w:p>
        </w:tc>
      </w:tr>
      <w:tr w:rsidR="006D0EB4" w:rsidRPr="006D0EB4" w14:paraId="2163F6D9" w14:textId="77777777" w:rsidTr="00482F04">
        <w:trPr>
          <w:trHeight w:val="234"/>
        </w:trPr>
        <w:tc>
          <w:tcPr>
            <w:tcW w:w="1584" w:type="dxa"/>
            <w:vMerge/>
            <w:tcBorders>
              <w:top w:val="single" w:sz="12" w:space="0" w:color="auto"/>
              <w:left w:val="single" w:sz="12" w:space="0" w:color="auto"/>
              <w:bottom w:val="nil"/>
              <w:right w:val="double" w:sz="2" w:space="0" w:color="auto"/>
            </w:tcBorders>
            <w:vAlign w:val="center"/>
            <w:hideMark/>
          </w:tcPr>
          <w:p w14:paraId="781F4C95"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12" w:space="0" w:color="auto"/>
              <w:right w:val="single" w:sz="4" w:space="0" w:color="auto"/>
            </w:tcBorders>
            <w:vAlign w:val="center"/>
            <w:hideMark/>
          </w:tcPr>
          <w:p w14:paraId="63C9F01B" w14:textId="77777777" w:rsidR="006D0EB4" w:rsidRPr="006D0EB4" w:rsidRDefault="006D0EB4" w:rsidP="001D3A56">
            <w:pPr>
              <w:spacing w:after="0"/>
              <w:ind w:hanging="6"/>
              <w:rPr>
                <w:rFonts w:asciiTheme="minorHAnsi" w:hAnsiTheme="minorHAnsi" w:cstheme="minorHAnsi"/>
                <w:sz w:val="20"/>
                <w:szCs w:val="20"/>
              </w:rPr>
            </w:pPr>
          </w:p>
        </w:tc>
        <w:tc>
          <w:tcPr>
            <w:tcW w:w="3868" w:type="dxa"/>
            <w:gridSpan w:val="3"/>
            <w:tcBorders>
              <w:top w:val="single" w:sz="4" w:space="0" w:color="auto"/>
              <w:left w:val="single" w:sz="4" w:space="0" w:color="auto"/>
              <w:bottom w:val="single" w:sz="12" w:space="0" w:color="auto"/>
              <w:right w:val="single" w:sz="4" w:space="0" w:color="auto"/>
            </w:tcBorders>
            <w:vAlign w:val="center"/>
            <w:hideMark/>
          </w:tcPr>
          <w:p w14:paraId="550D1EF0"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Veľké podniky</w:t>
            </w:r>
          </w:p>
        </w:tc>
        <w:tc>
          <w:tcPr>
            <w:tcW w:w="1000" w:type="dxa"/>
            <w:tcBorders>
              <w:top w:val="single" w:sz="4" w:space="0" w:color="auto"/>
              <w:left w:val="single" w:sz="4" w:space="0" w:color="auto"/>
              <w:bottom w:val="single" w:sz="12" w:space="0" w:color="auto"/>
              <w:right w:val="single" w:sz="4" w:space="0" w:color="auto"/>
            </w:tcBorders>
            <w:vAlign w:val="center"/>
            <w:hideMark/>
          </w:tcPr>
          <w:p w14:paraId="7368C2F0"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47</w:t>
            </w:r>
          </w:p>
        </w:tc>
        <w:tc>
          <w:tcPr>
            <w:tcW w:w="1144" w:type="dxa"/>
            <w:tcBorders>
              <w:top w:val="single" w:sz="4" w:space="0" w:color="auto"/>
              <w:left w:val="nil"/>
              <w:bottom w:val="single" w:sz="12" w:space="0" w:color="auto"/>
              <w:right w:val="single" w:sz="4" w:space="0" w:color="auto"/>
            </w:tcBorders>
            <w:vAlign w:val="center"/>
            <w:hideMark/>
          </w:tcPr>
          <w:p w14:paraId="150B64A8" w14:textId="77777777" w:rsidR="006D0EB4" w:rsidRPr="006D0EB4" w:rsidRDefault="006D0EB4" w:rsidP="001D3A56">
            <w:pPr>
              <w:spacing w:after="0"/>
              <w:ind w:hanging="6"/>
              <w:jc w:val="right"/>
              <w:rPr>
                <w:rFonts w:asciiTheme="minorHAnsi" w:hAnsiTheme="minorHAnsi" w:cstheme="minorHAnsi"/>
                <w:bCs/>
                <w:sz w:val="20"/>
                <w:szCs w:val="20"/>
              </w:rPr>
            </w:pPr>
            <w:r w:rsidRPr="006D0EB4">
              <w:rPr>
                <w:rFonts w:asciiTheme="minorHAnsi" w:hAnsiTheme="minorHAnsi" w:cstheme="minorHAnsi"/>
                <w:bCs/>
                <w:sz w:val="20"/>
                <w:szCs w:val="20"/>
              </w:rPr>
              <w:t>4,65</w:t>
            </w:r>
          </w:p>
        </w:tc>
        <w:tc>
          <w:tcPr>
            <w:tcW w:w="1164" w:type="dxa"/>
            <w:tcBorders>
              <w:top w:val="single" w:sz="8" w:space="0" w:color="auto"/>
              <w:left w:val="nil"/>
              <w:bottom w:val="single" w:sz="12" w:space="0" w:color="auto"/>
              <w:right w:val="single" w:sz="12" w:space="0" w:color="auto"/>
            </w:tcBorders>
            <w:noWrap/>
            <w:vAlign w:val="center"/>
            <w:hideMark/>
          </w:tcPr>
          <w:p w14:paraId="7121310F"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5,13</w:t>
            </w:r>
          </w:p>
        </w:tc>
      </w:tr>
      <w:tr w:rsidR="006D0EB4" w:rsidRPr="006D0EB4" w14:paraId="461F2A1A" w14:textId="77777777" w:rsidTr="00482F04">
        <w:trPr>
          <w:trHeight w:val="299"/>
        </w:trPr>
        <w:tc>
          <w:tcPr>
            <w:tcW w:w="1584" w:type="dxa"/>
            <w:vMerge/>
            <w:tcBorders>
              <w:top w:val="single" w:sz="12" w:space="0" w:color="auto"/>
              <w:left w:val="single" w:sz="12" w:space="0" w:color="auto"/>
              <w:bottom w:val="nil"/>
              <w:right w:val="double" w:sz="2" w:space="0" w:color="auto"/>
            </w:tcBorders>
            <w:vAlign w:val="center"/>
            <w:hideMark/>
          </w:tcPr>
          <w:p w14:paraId="1301B9FA" w14:textId="77777777" w:rsidR="006D0EB4" w:rsidRPr="006D0EB4" w:rsidRDefault="006D0EB4" w:rsidP="001D3A56">
            <w:pPr>
              <w:spacing w:after="0"/>
              <w:ind w:hanging="6"/>
              <w:rPr>
                <w:rFonts w:asciiTheme="minorHAnsi" w:hAnsiTheme="minorHAnsi" w:cstheme="minorHAnsi"/>
                <w:sz w:val="20"/>
                <w:szCs w:val="20"/>
              </w:rPr>
            </w:pPr>
          </w:p>
        </w:tc>
        <w:tc>
          <w:tcPr>
            <w:tcW w:w="2287" w:type="dxa"/>
            <w:gridSpan w:val="3"/>
            <w:tcBorders>
              <w:top w:val="single" w:sz="12" w:space="0" w:color="auto"/>
              <w:left w:val="double" w:sz="2" w:space="0" w:color="auto"/>
              <w:bottom w:val="single" w:sz="2" w:space="0" w:color="auto"/>
              <w:right w:val="single" w:sz="2" w:space="0" w:color="auto"/>
            </w:tcBorders>
            <w:vAlign w:val="center"/>
            <w:hideMark/>
          </w:tcPr>
          <w:p w14:paraId="444868D0" w14:textId="77777777" w:rsidR="006D0EB4" w:rsidRPr="006D0EB4" w:rsidRDefault="006D0EB4" w:rsidP="001D3A56">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Podľa NUTS II</w:t>
            </w:r>
          </w:p>
        </w:tc>
        <w:tc>
          <w:tcPr>
            <w:tcW w:w="1983" w:type="dxa"/>
            <w:tcBorders>
              <w:top w:val="single" w:sz="12" w:space="0" w:color="auto"/>
              <w:left w:val="single" w:sz="2" w:space="0" w:color="auto"/>
              <w:bottom w:val="single" w:sz="2" w:space="0" w:color="auto"/>
              <w:right w:val="single" w:sz="4" w:space="0" w:color="auto"/>
            </w:tcBorders>
            <w:vAlign w:val="center"/>
            <w:hideMark/>
          </w:tcPr>
          <w:p w14:paraId="28E9C7DC" w14:textId="77777777" w:rsidR="006D0EB4" w:rsidRPr="006D0EB4" w:rsidRDefault="006D0EB4" w:rsidP="001D3A56">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Podľa NUTS III</w:t>
            </w:r>
          </w:p>
        </w:tc>
        <w:tc>
          <w:tcPr>
            <w:tcW w:w="1000" w:type="dxa"/>
            <w:tcBorders>
              <w:top w:val="single" w:sz="12" w:space="0" w:color="auto"/>
              <w:left w:val="single" w:sz="2" w:space="0" w:color="auto"/>
              <w:bottom w:val="single" w:sz="2" w:space="0" w:color="auto"/>
              <w:right w:val="single" w:sz="4" w:space="0" w:color="auto"/>
            </w:tcBorders>
            <w:vAlign w:val="center"/>
          </w:tcPr>
          <w:p w14:paraId="2BA503A9" w14:textId="77777777" w:rsidR="006D0EB4" w:rsidRPr="006D0EB4" w:rsidRDefault="006D0EB4" w:rsidP="001D3A56">
            <w:pPr>
              <w:spacing w:after="0"/>
              <w:ind w:right="426" w:hanging="6"/>
              <w:rPr>
                <w:rFonts w:asciiTheme="minorHAnsi" w:hAnsiTheme="minorHAnsi" w:cstheme="minorHAnsi"/>
                <w:b/>
                <w:sz w:val="20"/>
                <w:szCs w:val="20"/>
              </w:rPr>
            </w:pPr>
          </w:p>
        </w:tc>
        <w:tc>
          <w:tcPr>
            <w:tcW w:w="1144" w:type="dxa"/>
            <w:tcBorders>
              <w:top w:val="single" w:sz="12" w:space="0" w:color="auto"/>
              <w:left w:val="single" w:sz="2" w:space="0" w:color="auto"/>
              <w:bottom w:val="single" w:sz="2" w:space="0" w:color="auto"/>
              <w:right w:val="single" w:sz="4" w:space="0" w:color="auto"/>
            </w:tcBorders>
            <w:vAlign w:val="center"/>
            <w:hideMark/>
          </w:tcPr>
          <w:p w14:paraId="748A41D5" w14:textId="77777777" w:rsidR="006D0EB4" w:rsidRPr="006D0EB4" w:rsidRDefault="006D0EB4" w:rsidP="001D3A56">
            <w:pPr>
              <w:spacing w:after="0"/>
              <w:ind w:hanging="6"/>
              <w:jc w:val="center"/>
              <w:rPr>
                <w:rFonts w:asciiTheme="minorHAnsi" w:hAnsiTheme="minorHAnsi" w:cstheme="minorHAnsi"/>
                <w:b/>
                <w:sz w:val="20"/>
                <w:szCs w:val="20"/>
              </w:rPr>
            </w:pPr>
            <w:r w:rsidRPr="006D0EB4">
              <w:rPr>
                <w:rFonts w:asciiTheme="minorHAnsi" w:hAnsiTheme="minorHAnsi" w:cstheme="minorHAnsi"/>
                <w:b/>
                <w:sz w:val="20"/>
                <w:szCs w:val="20"/>
              </w:rPr>
              <w:t>90,67</w:t>
            </w:r>
          </w:p>
        </w:tc>
        <w:tc>
          <w:tcPr>
            <w:tcW w:w="1164" w:type="dxa"/>
            <w:tcBorders>
              <w:top w:val="single" w:sz="12" w:space="0" w:color="auto"/>
              <w:left w:val="single" w:sz="4" w:space="0" w:color="auto"/>
              <w:bottom w:val="single" w:sz="2" w:space="0" w:color="auto"/>
              <w:right w:val="single" w:sz="12" w:space="0" w:color="auto"/>
            </w:tcBorders>
            <w:vAlign w:val="center"/>
            <w:hideMark/>
          </w:tcPr>
          <w:p w14:paraId="770C879B" w14:textId="77777777" w:rsidR="006D0EB4" w:rsidRPr="006D0EB4" w:rsidRDefault="006D0EB4" w:rsidP="001D3A56">
            <w:pPr>
              <w:spacing w:after="0"/>
              <w:ind w:hanging="6"/>
              <w:jc w:val="center"/>
              <w:rPr>
                <w:rFonts w:asciiTheme="minorHAnsi" w:hAnsiTheme="minorHAnsi" w:cstheme="minorHAnsi"/>
                <w:b/>
                <w:sz w:val="20"/>
                <w:szCs w:val="20"/>
              </w:rPr>
            </w:pPr>
            <w:r w:rsidRPr="006D0EB4">
              <w:rPr>
                <w:rFonts w:asciiTheme="minorHAnsi" w:hAnsiTheme="minorHAnsi" w:cstheme="minorHAnsi"/>
                <w:b/>
                <w:sz w:val="20"/>
                <w:szCs w:val="20"/>
              </w:rPr>
              <w:t>podiel</w:t>
            </w:r>
          </w:p>
          <w:p w14:paraId="36BB2FA2" w14:textId="77777777" w:rsidR="006D0EB4" w:rsidRPr="006D0EB4" w:rsidRDefault="006D0EB4" w:rsidP="001D3A56">
            <w:pPr>
              <w:spacing w:after="0"/>
              <w:ind w:hanging="6"/>
              <w:jc w:val="center"/>
              <w:rPr>
                <w:rFonts w:asciiTheme="minorHAnsi" w:hAnsiTheme="minorHAnsi" w:cstheme="minorHAnsi"/>
                <w:sz w:val="20"/>
                <w:szCs w:val="20"/>
              </w:rPr>
            </w:pPr>
            <w:r w:rsidRPr="006D0EB4">
              <w:rPr>
                <w:rFonts w:asciiTheme="minorHAnsi" w:hAnsiTheme="minorHAnsi" w:cstheme="minorHAnsi"/>
                <w:sz w:val="20"/>
                <w:szCs w:val="20"/>
              </w:rPr>
              <w:t>(v %)</w:t>
            </w:r>
          </w:p>
        </w:tc>
      </w:tr>
      <w:tr w:rsidR="006D0EB4" w:rsidRPr="00330D70" w14:paraId="145DB89F" w14:textId="77777777" w:rsidTr="00482F04">
        <w:trPr>
          <w:trHeight w:hRule="exact" w:val="482"/>
        </w:trPr>
        <w:tc>
          <w:tcPr>
            <w:tcW w:w="1584" w:type="dxa"/>
            <w:vMerge/>
            <w:tcBorders>
              <w:top w:val="single" w:sz="12" w:space="0" w:color="auto"/>
              <w:left w:val="single" w:sz="12" w:space="0" w:color="auto"/>
              <w:bottom w:val="nil"/>
              <w:right w:val="double" w:sz="2" w:space="0" w:color="auto"/>
            </w:tcBorders>
            <w:vAlign w:val="center"/>
            <w:hideMark/>
          </w:tcPr>
          <w:p w14:paraId="349EEF87"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val="restart"/>
            <w:tcBorders>
              <w:top w:val="single" w:sz="2" w:space="0" w:color="auto"/>
              <w:left w:val="double" w:sz="2" w:space="0" w:color="auto"/>
              <w:bottom w:val="single" w:sz="4" w:space="0" w:color="auto"/>
              <w:right w:val="single" w:sz="2" w:space="0" w:color="auto"/>
            </w:tcBorders>
            <w:textDirection w:val="btLr"/>
            <w:hideMark/>
          </w:tcPr>
          <w:p w14:paraId="5057DDD7" w14:textId="77777777" w:rsidR="006D0EB4" w:rsidRPr="006D0EB4" w:rsidRDefault="006D0EB4" w:rsidP="001D3A56">
            <w:pPr>
              <w:spacing w:after="0"/>
              <w:ind w:left="113" w:right="426" w:hanging="6"/>
              <w:jc w:val="center"/>
              <w:rPr>
                <w:rFonts w:asciiTheme="minorHAnsi" w:hAnsiTheme="minorHAnsi" w:cstheme="minorHAnsi"/>
                <w:sz w:val="20"/>
                <w:szCs w:val="20"/>
              </w:rPr>
            </w:pPr>
            <w:r w:rsidRPr="006D0EB4">
              <w:rPr>
                <w:rFonts w:asciiTheme="minorHAnsi" w:hAnsiTheme="minorHAnsi" w:cstheme="minorHAnsi"/>
                <w:sz w:val="20"/>
                <w:szCs w:val="20"/>
              </w:rPr>
              <w:t>z toho</w:t>
            </w:r>
          </w:p>
        </w:tc>
        <w:tc>
          <w:tcPr>
            <w:tcW w:w="1884" w:type="dxa"/>
            <w:gridSpan w:val="2"/>
            <w:tcBorders>
              <w:top w:val="single" w:sz="2" w:space="0" w:color="auto"/>
              <w:left w:val="single" w:sz="2" w:space="0" w:color="auto"/>
              <w:bottom w:val="single" w:sz="2" w:space="0" w:color="auto"/>
              <w:right w:val="single" w:sz="2" w:space="0" w:color="auto"/>
            </w:tcBorders>
            <w:vAlign w:val="center"/>
            <w:hideMark/>
          </w:tcPr>
          <w:p w14:paraId="55E66C1A" w14:textId="77777777" w:rsidR="006D0EB4" w:rsidRPr="006D0EB4" w:rsidRDefault="006D0EB4" w:rsidP="001D3A56">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Bratislavský kraj</w:t>
            </w:r>
          </w:p>
        </w:tc>
        <w:tc>
          <w:tcPr>
            <w:tcW w:w="1983" w:type="dxa"/>
            <w:tcBorders>
              <w:top w:val="single" w:sz="2" w:space="0" w:color="auto"/>
              <w:left w:val="single" w:sz="2" w:space="0" w:color="auto"/>
              <w:bottom w:val="single" w:sz="2" w:space="0" w:color="auto"/>
              <w:right w:val="single" w:sz="4" w:space="0" w:color="auto"/>
            </w:tcBorders>
            <w:vAlign w:val="center"/>
            <w:hideMark/>
          </w:tcPr>
          <w:p w14:paraId="03CE09F9"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Bratislavský kraj</w:t>
            </w:r>
          </w:p>
        </w:tc>
        <w:tc>
          <w:tcPr>
            <w:tcW w:w="1000" w:type="dxa"/>
            <w:tcBorders>
              <w:top w:val="single" w:sz="2" w:space="0" w:color="auto"/>
              <w:left w:val="single" w:sz="2" w:space="0" w:color="auto"/>
              <w:bottom w:val="single" w:sz="4" w:space="0" w:color="auto"/>
              <w:right w:val="single" w:sz="4" w:space="0" w:color="auto"/>
            </w:tcBorders>
            <w:vAlign w:val="center"/>
            <w:hideMark/>
          </w:tcPr>
          <w:p w14:paraId="126157D9"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48</w:t>
            </w:r>
          </w:p>
        </w:tc>
        <w:tc>
          <w:tcPr>
            <w:tcW w:w="1144" w:type="dxa"/>
            <w:tcBorders>
              <w:top w:val="single" w:sz="2" w:space="0" w:color="auto"/>
              <w:left w:val="single" w:sz="2" w:space="0" w:color="auto"/>
              <w:bottom w:val="single" w:sz="2" w:space="0" w:color="auto"/>
              <w:right w:val="single" w:sz="4" w:space="0" w:color="auto"/>
            </w:tcBorders>
            <w:vAlign w:val="center"/>
            <w:hideMark/>
          </w:tcPr>
          <w:p w14:paraId="3B73D0C3"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4,61</w:t>
            </w:r>
          </w:p>
        </w:tc>
        <w:tc>
          <w:tcPr>
            <w:tcW w:w="1164" w:type="dxa"/>
            <w:tcBorders>
              <w:top w:val="single" w:sz="2" w:space="0" w:color="auto"/>
              <w:left w:val="single" w:sz="4" w:space="0" w:color="auto"/>
              <w:bottom w:val="single" w:sz="2" w:space="0" w:color="auto"/>
              <w:right w:val="single" w:sz="12" w:space="0" w:color="auto"/>
            </w:tcBorders>
            <w:vAlign w:val="center"/>
            <w:hideMark/>
          </w:tcPr>
          <w:p w14:paraId="651C93C4"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5,08</w:t>
            </w:r>
          </w:p>
        </w:tc>
      </w:tr>
      <w:tr w:rsidR="006D0EB4" w:rsidRPr="006D0EB4" w14:paraId="485BF4D0" w14:textId="77777777" w:rsidTr="00482F04">
        <w:trPr>
          <w:trHeight w:val="236"/>
        </w:trPr>
        <w:tc>
          <w:tcPr>
            <w:tcW w:w="1584" w:type="dxa"/>
            <w:vMerge/>
            <w:tcBorders>
              <w:top w:val="single" w:sz="12" w:space="0" w:color="auto"/>
              <w:left w:val="single" w:sz="12" w:space="0" w:color="auto"/>
              <w:bottom w:val="nil"/>
              <w:right w:val="double" w:sz="2" w:space="0" w:color="auto"/>
            </w:tcBorders>
            <w:vAlign w:val="center"/>
            <w:hideMark/>
          </w:tcPr>
          <w:p w14:paraId="6A806D3F"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4" w:space="0" w:color="auto"/>
              <w:right w:val="single" w:sz="2" w:space="0" w:color="auto"/>
            </w:tcBorders>
            <w:vAlign w:val="center"/>
            <w:hideMark/>
          </w:tcPr>
          <w:p w14:paraId="5BEC00A6" w14:textId="77777777" w:rsidR="006D0EB4" w:rsidRPr="006D0EB4" w:rsidRDefault="006D0EB4" w:rsidP="001D3A56">
            <w:pPr>
              <w:spacing w:after="0"/>
              <w:ind w:hanging="6"/>
              <w:rPr>
                <w:rFonts w:asciiTheme="minorHAnsi" w:hAnsiTheme="minorHAnsi" w:cstheme="minorHAnsi"/>
                <w:sz w:val="20"/>
                <w:szCs w:val="20"/>
              </w:rPr>
            </w:pPr>
          </w:p>
        </w:tc>
        <w:tc>
          <w:tcPr>
            <w:tcW w:w="1884"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07E1B653" w14:textId="77777777" w:rsidR="006D0EB4" w:rsidRPr="006D0EB4" w:rsidRDefault="006D0EB4" w:rsidP="001D3A56">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Západné Slovensko</w:t>
            </w:r>
          </w:p>
        </w:tc>
        <w:tc>
          <w:tcPr>
            <w:tcW w:w="1983" w:type="dxa"/>
            <w:tcBorders>
              <w:top w:val="single" w:sz="2" w:space="0" w:color="auto"/>
              <w:left w:val="single" w:sz="2" w:space="0" w:color="auto"/>
              <w:bottom w:val="single" w:sz="4" w:space="0" w:color="auto"/>
              <w:right w:val="single" w:sz="4" w:space="0" w:color="auto"/>
            </w:tcBorders>
            <w:vAlign w:val="center"/>
            <w:hideMark/>
          </w:tcPr>
          <w:p w14:paraId="791C55B5"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Trnavský kraj</w:t>
            </w:r>
          </w:p>
        </w:tc>
        <w:tc>
          <w:tcPr>
            <w:tcW w:w="1000" w:type="dxa"/>
            <w:tcBorders>
              <w:top w:val="single" w:sz="4" w:space="0" w:color="auto"/>
              <w:left w:val="single" w:sz="2" w:space="0" w:color="auto"/>
              <w:bottom w:val="single" w:sz="4" w:space="0" w:color="auto"/>
              <w:right w:val="single" w:sz="4" w:space="0" w:color="auto"/>
            </w:tcBorders>
            <w:vAlign w:val="center"/>
            <w:hideMark/>
          </w:tcPr>
          <w:p w14:paraId="4F10EC80"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61</w:t>
            </w:r>
          </w:p>
        </w:tc>
        <w:tc>
          <w:tcPr>
            <w:tcW w:w="1144" w:type="dxa"/>
            <w:tcBorders>
              <w:top w:val="single" w:sz="2" w:space="0" w:color="auto"/>
              <w:left w:val="single" w:sz="2" w:space="0" w:color="auto"/>
              <w:bottom w:val="single" w:sz="4" w:space="0" w:color="auto"/>
              <w:right w:val="single" w:sz="4" w:space="0" w:color="auto"/>
            </w:tcBorders>
            <w:vAlign w:val="center"/>
            <w:hideMark/>
          </w:tcPr>
          <w:p w14:paraId="574DCC21"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6,36</w:t>
            </w:r>
          </w:p>
        </w:tc>
        <w:tc>
          <w:tcPr>
            <w:tcW w:w="1164" w:type="dxa"/>
            <w:tcBorders>
              <w:top w:val="single" w:sz="2" w:space="0" w:color="auto"/>
              <w:left w:val="single" w:sz="4" w:space="0" w:color="auto"/>
              <w:bottom w:val="single" w:sz="4" w:space="0" w:color="auto"/>
              <w:right w:val="single" w:sz="12" w:space="0" w:color="auto"/>
            </w:tcBorders>
            <w:vAlign w:val="center"/>
            <w:hideMark/>
          </w:tcPr>
          <w:p w14:paraId="5E9D01D3"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7,01</w:t>
            </w:r>
          </w:p>
        </w:tc>
      </w:tr>
      <w:tr w:rsidR="006D0EB4" w:rsidRPr="006D0EB4" w14:paraId="2E6B9029" w14:textId="77777777" w:rsidTr="00482F04">
        <w:trPr>
          <w:trHeight w:val="236"/>
        </w:trPr>
        <w:tc>
          <w:tcPr>
            <w:tcW w:w="1584" w:type="dxa"/>
            <w:vMerge/>
            <w:tcBorders>
              <w:top w:val="single" w:sz="12" w:space="0" w:color="auto"/>
              <w:left w:val="single" w:sz="12" w:space="0" w:color="auto"/>
              <w:bottom w:val="nil"/>
              <w:right w:val="double" w:sz="2" w:space="0" w:color="auto"/>
            </w:tcBorders>
            <w:vAlign w:val="center"/>
            <w:hideMark/>
          </w:tcPr>
          <w:p w14:paraId="0ACB9E64"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4" w:space="0" w:color="auto"/>
              <w:right w:val="single" w:sz="2" w:space="0" w:color="auto"/>
            </w:tcBorders>
            <w:vAlign w:val="center"/>
            <w:hideMark/>
          </w:tcPr>
          <w:p w14:paraId="4088191A" w14:textId="77777777" w:rsidR="006D0EB4" w:rsidRPr="006D0EB4" w:rsidRDefault="006D0EB4" w:rsidP="001D3A56">
            <w:pPr>
              <w:spacing w:after="0"/>
              <w:ind w:hanging="6"/>
              <w:rPr>
                <w:rFonts w:asciiTheme="minorHAnsi" w:hAnsiTheme="minorHAnsi" w:cstheme="minorHAnsi"/>
                <w:sz w:val="20"/>
                <w:szCs w:val="20"/>
              </w:rPr>
            </w:pPr>
          </w:p>
        </w:tc>
        <w:tc>
          <w:tcPr>
            <w:tcW w:w="1884" w:type="dxa"/>
            <w:gridSpan w:val="2"/>
            <w:vMerge/>
            <w:tcBorders>
              <w:top w:val="single" w:sz="2" w:space="0" w:color="auto"/>
              <w:left w:val="single" w:sz="2" w:space="0" w:color="auto"/>
              <w:bottom w:val="single" w:sz="2" w:space="0" w:color="auto"/>
              <w:right w:val="single" w:sz="2" w:space="0" w:color="auto"/>
            </w:tcBorders>
            <w:vAlign w:val="center"/>
            <w:hideMark/>
          </w:tcPr>
          <w:p w14:paraId="4037CBD1" w14:textId="77777777" w:rsidR="006D0EB4" w:rsidRPr="006D0EB4" w:rsidRDefault="006D0EB4" w:rsidP="001D3A56">
            <w:pPr>
              <w:spacing w:after="0"/>
              <w:ind w:hanging="6"/>
              <w:rPr>
                <w:rFonts w:asciiTheme="minorHAnsi" w:hAnsiTheme="minorHAnsi" w:cstheme="minorHAnsi"/>
                <w:b/>
                <w:sz w:val="20"/>
                <w:szCs w:val="20"/>
              </w:rPr>
            </w:pPr>
          </w:p>
        </w:tc>
        <w:tc>
          <w:tcPr>
            <w:tcW w:w="1983" w:type="dxa"/>
            <w:tcBorders>
              <w:top w:val="single" w:sz="4" w:space="0" w:color="auto"/>
              <w:left w:val="single" w:sz="2" w:space="0" w:color="auto"/>
              <w:bottom w:val="single" w:sz="4" w:space="0" w:color="auto"/>
              <w:right w:val="single" w:sz="4" w:space="0" w:color="auto"/>
            </w:tcBorders>
            <w:vAlign w:val="center"/>
            <w:hideMark/>
          </w:tcPr>
          <w:p w14:paraId="3792F4CE"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Trenčiansky kraj</w:t>
            </w:r>
          </w:p>
        </w:tc>
        <w:tc>
          <w:tcPr>
            <w:tcW w:w="1000" w:type="dxa"/>
            <w:tcBorders>
              <w:top w:val="single" w:sz="4" w:space="0" w:color="auto"/>
              <w:left w:val="single" w:sz="2" w:space="0" w:color="auto"/>
              <w:bottom w:val="single" w:sz="4" w:space="0" w:color="auto"/>
              <w:right w:val="single" w:sz="4" w:space="0" w:color="auto"/>
            </w:tcBorders>
            <w:vAlign w:val="center"/>
            <w:hideMark/>
          </w:tcPr>
          <w:p w14:paraId="1BC6618C"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105</w:t>
            </w:r>
          </w:p>
        </w:tc>
        <w:tc>
          <w:tcPr>
            <w:tcW w:w="1144" w:type="dxa"/>
            <w:tcBorders>
              <w:top w:val="single" w:sz="4" w:space="0" w:color="auto"/>
              <w:left w:val="single" w:sz="2" w:space="0" w:color="auto"/>
              <w:bottom w:val="single" w:sz="4" w:space="0" w:color="auto"/>
              <w:right w:val="single" w:sz="4" w:space="0" w:color="auto"/>
            </w:tcBorders>
            <w:vAlign w:val="center"/>
            <w:hideMark/>
          </w:tcPr>
          <w:p w14:paraId="2499021E"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12,95</w:t>
            </w:r>
          </w:p>
        </w:tc>
        <w:tc>
          <w:tcPr>
            <w:tcW w:w="1164" w:type="dxa"/>
            <w:tcBorders>
              <w:top w:val="single" w:sz="4" w:space="0" w:color="auto"/>
              <w:left w:val="single" w:sz="4" w:space="0" w:color="auto"/>
              <w:bottom w:val="single" w:sz="4" w:space="0" w:color="auto"/>
              <w:right w:val="single" w:sz="12" w:space="0" w:color="auto"/>
            </w:tcBorders>
            <w:vAlign w:val="center"/>
            <w:hideMark/>
          </w:tcPr>
          <w:p w14:paraId="1CF2EC9A"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14,28</w:t>
            </w:r>
          </w:p>
        </w:tc>
      </w:tr>
      <w:tr w:rsidR="006D0EB4" w:rsidRPr="006D0EB4" w14:paraId="7F74D1C5" w14:textId="77777777" w:rsidTr="00482F04">
        <w:trPr>
          <w:trHeight w:val="236"/>
        </w:trPr>
        <w:tc>
          <w:tcPr>
            <w:tcW w:w="1584" w:type="dxa"/>
            <w:vMerge/>
            <w:tcBorders>
              <w:top w:val="single" w:sz="12" w:space="0" w:color="auto"/>
              <w:left w:val="single" w:sz="12" w:space="0" w:color="auto"/>
              <w:bottom w:val="nil"/>
              <w:right w:val="double" w:sz="2" w:space="0" w:color="auto"/>
            </w:tcBorders>
            <w:vAlign w:val="center"/>
            <w:hideMark/>
          </w:tcPr>
          <w:p w14:paraId="6F8641EB"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4" w:space="0" w:color="auto"/>
              <w:right w:val="single" w:sz="2" w:space="0" w:color="auto"/>
            </w:tcBorders>
            <w:vAlign w:val="center"/>
            <w:hideMark/>
          </w:tcPr>
          <w:p w14:paraId="0C9BCA16" w14:textId="77777777" w:rsidR="006D0EB4" w:rsidRPr="006D0EB4" w:rsidRDefault="006D0EB4" w:rsidP="001D3A56">
            <w:pPr>
              <w:spacing w:after="0"/>
              <w:ind w:hanging="6"/>
              <w:rPr>
                <w:rFonts w:asciiTheme="minorHAnsi" w:hAnsiTheme="minorHAnsi" w:cstheme="minorHAnsi"/>
                <w:sz w:val="20"/>
                <w:szCs w:val="20"/>
              </w:rPr>
            </w:pPr>
          </w:p>
        </w:tc>
        <w:tc>
          <w:tcPr>
            <w:tcW w:w="1884" w:type="dxa"/>
            <w:gridSpan w:val="2"/>
            <w:vMerge/>
            <w:tcBorders>
              <w:top w:val="single" w:sz="2" w:space="0" w:color="auto"/>
              <w:left w:val="single" w:sz="2" w:space="0" w:color="auto"/>
              <w:bottom w:val="single" w:sz="2" w:space="0" w:color="auto"/>
              <w:right w:val="single" w:sz="2" w:space="0" w:color="auto"/>
            </w:tcBorders>
            <w:vAlign w:val="center"/>
            <w:hideMark/>
          </w:tcPr>
          <w:p w14:paraId="4FA46F41" w14:textId="77777777" w:rsidR="006D0EB4" w:rsidRPr="006D0EB4" w:rsidRDefault="006D0EB4" w:rsidP="001D3A56">
            <w:pPr>
              <w:spacing w:after="0"/>
              <w:ind w:hanging="6"/>
              <w:rPr>
                <w:rFonts w:asciiTheme="minorHAnsi" w:hAnsiTheme="minorHAnsi" w:cstheme="minorHAnsi"/>
                <w:b/>
                <w:sz w:val="20"/>
                <w:szCs w:val="20"/>
              </w:rPr>
            </w:pPr>
          </w:p>
        </w:tc>
        <w:tc>
          <w:tcPr>
            <w:tcW w:w="1983" w:type="dxa"/>
            <w:tcBorders>
              <w:top w:val="single" w:sz="4" w:space="0" w:color="auto"/>
              <w:left w:val="single" w:sz="2" w:space="0" w:color="auto"/>
              <w:bottom w:val="single" w:sz="4" w:space="0" w:color="auto"/>
              <w:right w:val="single" w:sz="4" w:space="0" w:color="auto"/>
            </w:tcBorders>
            <w:vAlign w:val="center"/>
            <w:hideMark/>
          </w:tcPr>
          <w:p w14:paraId="724CF278"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Nitriansky kraj</w:t>
            </w:r>
          </w:p>
        </w:tc>
        <w:tc>
          <w:tcPr>
            <w:tcW w:w="1000" w:type="dxa"/>
            <w:tcBorders>
              <w:top w:val="single" w:sz="4" w:space="0" w:color="auto"/>
              <w:left w:val="single" w:sz="2" w:space="0" w:color="auto"/>
              <w:bottom w:val="single" w:sz="4" w:space="0" w:color="auto"/>
              <w:right w:val="single" w:sz="4" w:space="0" w:color="auto"/>
            </w:tcBorders>
            <w:vAlign w:val="center"/>
            <w:hideMark/>
          </w:tcPr>
          <w:p w14:paraId="0CFEC7FA"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74</w:t>
            </w:r>
          </w:p>
        </w:tc>
        <w:tc>
          <w:tcPr>
            <w:tcW w:w="1144" w:type="dxa"/>
            <w:tcBorders>
              <w:top w:val="single" w:sz="4" w:space="0" w:color="auto"/>
              <w:left w:val="single" w:sz="2" w:space="0" w:color="auto"/>
              <w:bottom w:val="single" w:sz="2" w:space="0" w:color="auto"/>
              <w:right w:val="single" w:sz="4" w:space="0" w:color="auto"/>
            </w:tcBorders>
            <w:vAlign w:val="center"/>
            <w:hideMark/>
          </w:tcPr>
          <w:p w14:paraId="254A8854"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6,00</w:t>
            </w:r>
          </w:p>
        </w:tc>
        <w:tc>
          <w:tcPr>
            <w:tcW w:w="1164" w:type="dxa"/>
            <w:tcBorders>
              <w:top w:val="single" w:sz="4" w:space="0" w:color="auto"/>
              <w:left w:val="single" w:sz="4" w:space="0" w:color="auto"/>
              <w:bottom w:val="single" w:sz="2" w:space="0" w:color="auto"/>
              <w:right w:val="single" w:sz="12" w:space="0" w:color="auto"/>
            </w:tcBorders>
            <w:vAlign w:val="center"/>
            <w:hideMark/>
          </w:tcPr>
          <w:p w14:paraId="375CD56F"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6,62</w:t>
            </w:r>
          </w:p>
        </w:tc>
      </w:tr>
      <w:tr w:rsidR="006D0EB4" w:rsidRPr="006D0EB4" w14:paraId="2D0CAB15" w14:textId="77777777" w:rsidTr="00482F04">
        <w:trPr>
          <w:trHeight w:val="234"/>
        </w:trPr>
        <w:tc>
          <w:tcPr>
            <w:tcW w:w="1584" w:type="dxa"/>
            <w:vMerge/>
            <w:tcBorders>
              <w:top w:val="single" w:sz="12" w:space="0" w:color="auto"/>
              <w:left w:val="single" w:sz="12" w:space="0" w:color="auto"/>
              <w:bottom w:val="nil"/>
              <w:right w:val="double" w:sz="2" w:space="0" w:color="auto"/>
            </w:tcBorders>
            <w:vAlign w:val="center"/>
            <w:hideMark/>
          </w:tcPr>
          <w:p w14:paraId="3FA07996"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4" w:space="0" w:color="auto"/>
              <w:right w:val="single" w:sz="2" w:space="0" w:color="auto"/>
            </w:tcBorders>
            <w:vAlign w:val="center"/>
            <w:hideMark/>
          </w:tcPr>
          <w:p w14:paraId="0A65559F" w14:textId="77777777" w:rsidR="006D0EB4" w:rsidRPr="006D0EB4" w:rsidRDefault="006D0EB4" w:rsidP="001D3A56">
            <w:pPr>
              <w:spacing w:after="0"/>
              <w:ind w:hanging="6"/>
              <w:rPr>
                <w:rFonts w:asciiTheme="minorHAnsi" w:hAnsiTheme="minorHAnsi" w:cstheme="minorHAnsi"/>
                <w:sz w:val="20"/>
                <w:szCs w:val="20"/>
              </w:rPr>
            </w:pPr>
          </w:p>
        </w:tc>
        <w:tc>
          <w:tcPr>
            <w:tcW w:w="1884" w:type="dxa"/>
            <w:gridSpan w:val="2"/>
            <w:vMerge w:val="restart"/>
            <w:tcBorders>
              <w:top w:val="single" w:sz="2" w:space="0" w:color="auto"/>
              <w:left w:val="single" w:sz="2" w:space="0" w:color="auto"/>
              <w:bottom w:val="single" w:sz="4" w:space="0" w:color="auto"/>
              <w:right w:val="single" w:sz="2" w:space="0" w:color="auto"/>
            </w:tcBorders>
            <w:vAlign w:val="center"/>
            <w:hideMark/>
          </w:tcPr>
          <w:p w14:paraId="6C927E57" w14:textId="77777777" w:rsidR="006D0EB4" w:rsidRPr="006D0EB4" w:rsidRDefault="006D0EB4" w:rsidP="001D3A56">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Stredné Slovensko</w:t>
            </w:r>
          </w:p>
        </w:tc>
        <w:tc>
          <w:tcPr>
            <w:tcW w:w="1983" w:type="dxa"/>
            <w:tcBorders>
              <w:top w:val="single" w:sz="4" w:space="0" w:color="auto"/>
              <w:left w:val="single" w:sz="2" w:space="0" w:color="auto"/>
              <w:bottom w:val="single" w:sz="4" w:space="0" w:color="auto"/>
              <w:right w:val="single" w:sz="4" w:space="0" w:color="auto"/>
            </w:tcBorders>
            <w:vAlign w:val="center"/>
            <w:hideMark/>
          </w:tcPr>
          <w:p w14:paraId="4B05B7AE"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Žilinský kraj</w:t>
            </w:r>
          </w:p>
        </w:tc>
        <w:tc>
          <w:tcPr>
            <w:tcW w:w="1000" w:type="dxa"/>
            <w:tcBorders>
              <w:top w:val="single" w:sz="4" w:space="0" w:color="auto"/>
              <w:left w:val="single" w:sz="2" w:space="0" w:color="auto"/>
              <w:bottom w:val="single" w:sz="4" w:space="0" w:color="auto"/>
              <w:right w:val="single" w:sz="4" w:space="0" w:color="auto"/>
            </w:tcBorders>
            <w:vAlign w:val="center"/>
            <w:hideMark/>
          </w:tcPr>
          <w:p w14:paraId="35647397"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158</w:t>
            </w:r>
          </w:p>
        </w:tc>
        <w:tc>
          <w:tcPr>
            <w:tcW w:w="1144" w:type="dxa"/>
            <w:tcBorders>
              <w:top w:val="single" w:sz="2" w:space="0" w:color="auto"/>
              <w:left w:val="single" w:sz="2" w:space="0" w:color="auto"/>
              <w:bottom w:val="single" w:sz="4" w:space="0" w:color="auto"/>
              <w:right w:val="single" w:sz="4" w:space="0" w:color="auto"/>
            </w:tcBorders>
            <w:vAlign w:val="center"/>
            <w:hideMark/>
          </w:tcPr>
          <w:p w14:paraId="69B3387A"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19,46</w:t>
            </w:r>
          </w:p>
        </w:tc>
        <w:tc>
          <w:tcPr>
            <w:tcW w:w="1164" w:type="dxa"/>
            <w:tcBorders>
              <w:top w:val="single" w:sz="2" w:space="0" w:color="auto"/>
              <w:left w:val="single" w:sz="4" w:space="0" w:color="auto"/>
              <w:bottom w:val="single" w:sz="4" w:space="0" w:color="auto"/>
              <w:right w:val="single" w:sz="12" w:space="0" w:color="auto"/>
            </w:tcBorders>
            <w:vAlign w:val="center"/>
            <w:hideMark/>
          </w:tcPr>
          <w:p w14:paraId="1B8A8B3F"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21,46</w:t>
            </w:r>
          </w:p>
        </w:tc>
      </w:tr>
      <w:tr w:rsidR="006D0EB4" w:rsidRPr="006D0EB4" w14:paraId="3D687963" w14:textId="77777777" w:rsidTr="00482F04">
        <w:trPr>
          <w:trHeight w:val="234"/>
        </w:trPr>
        <w:tc>
          <w:tcPr>
            <w:tcW w:w="1584" w:type="dxa"/>
            <w:vMerge/>
            <w:tcBorders>
              <w:top w:val="single" w:sz="12" w:space="0" w:color="auto"/>
              <w:left w:val="single" w:sz="12" w:space="0" w:color="auto"/>
              <w:bottom w:val="nil"/>
              <w:right w:val="double" w:sz="2" w:space="0" w:color="auto"/>
            </w:tcBorders>
            <w:vAlign w:val="center"/>
            <w:hideMark/>
          </w:tcPr>
          <w:p w14:paraId="5A0C0B23"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4" w:space="0" w:color="auto"/>
              <w:right w:val="single" w:sz="2" w:space="0" w:color="auto"/>
            </w:tcBorders>
            <w:vAlign w:val="center"/>
            <w:hideMark/>
          </w:tcPr>
          <w:p w14:paraId="1B1414A2" w14:textId="77777777" w:rsidR="006D0EB4" w:rsidRPr="006D0EB4" w:rsidRDefault="006D0EB4" w:rsidP="001D3A56">
            <w:pPr>
              <w:spacing w:after="0"/>
              <w:ind w:hanging="6"/>
              <w:rPr>
                <w:rFonts w:asciiTheme="minorHAnsi" w:hAnsiTheme="minorHAnsi" w:cstheme="minorHAnsi"/>
                <w:sz w:val="20"/>
                <w:szCs w:val="20"/>
              </w:rPr>
            </w:pPr>
          </w:p>
        </w:tc>
        <w:tc>
          <w:tcPr>
            <w:tcW w:w="1884" w:type="dxa"/>
            <w:gridSpan w:val="2"/>
            <w:vMerge/>
            <w:tcBorders>
              <w:top w:val="single" w:sz="2" w:space="0" w:color="auto"/>
              <w:left w:val="single" w:sz="2" w:space="0" w:color="auto"/>
              <w:bottom w:val="single" w:sz="4" w:space="0" w:color="auto"/>
              <w:right w:val="single" w:sz="2" w:space="0" w:color="auto"/>
            </w:tcBorders>
            <w:vAlign w:val="center"/>
            <w:hideMark/>
          </w:tcPr>
          <w:p w14:paraId="6C68594D" w14:textId="77777777" w:rsidR="006D0EB4" w:rsidRPr="006D0EB4" w:rsidRDefault="006D0EB4" w:rsidP="001D3A56">
            <w:pPr>
              <w:spacing w:after="0"/>
              <w:ind w:hanging="6"/>
              <w:rPr>
                <w:rFonts w:asciiTheme="minorHAnsi" w:hAnsiTheme="minorHAnsi" w:cstheme="minorHAnsi"/>
                <w:b/>
                <w:sz w:val="20"/>
                <w:szCs w:val="20"/>
              </w:rPr>
            </w:pPr>
          </w:p>
        </w:tc>
        <w:tc>
          <w:tcPr>
            <w:tcW w:w="1983" w:type="dxa"/>
            <w:tcBorders>
              <w:top w:val="single" w:sz="4" w:space="0" w:color="auto"/>
              <w:left w:val="single" w:sz="2" w:space="0" w:color="auto"/>
              <w:bottom w:val="single" w:sz="2" w:space="0" w:color="auto"/>
              <w:right w:val="single" w:sz="4" w:space="0" w:color="auto"/>
            </w:tcBorders>
            <w:vAlign w:val="center"/>
            <w:hideMark/>
          </w:tcPr>
          <w:p w14:paraId="7A36BFA0"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Banskobystrický   kraj</w:t>
            </w:r>
          </w:p>
        </w:tc>
        <w:tc>
          <w:tcPr>
            <w:tcW w:w="1000" w:type="dxa"/>
            <w:tcBorders>
              <w:top w:val="single" w:sz="4" w:space="0" w:color="auto"/>
              <w:left w:val="single" w:sz="2" w:space="0" w:color="auto"/>
              <w:bottom w:val="single" w:sz="2" w:space="0" w:color="auto"/>
              <w:right w:val="single" w:sz="4" w:space="0" w:color="auto"/>
            </w:tcBorders>
            <w:vAlign w:val="center"/>
            <w:hideMark/>
          </w:tcPr>
          <w:p w14:paraId="2162699E"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138</w:t>
            </w:r>
          </w:p>
        </w:tc>
        <w:tc>
          <w:tcPr>
            <w:tcW w:w="1144" w:type="dxa"/>
            <w:tcBorders>
              <w:top w:val="single" w:sz="4" w:space="0" w:color="auto"/>
              <w:left w:val="single" w:sz="2" w:space="0" w:color="auto"/>
              <w:bottom w:val="single" w:sz="2" w:space="0" w:color="auto"/>
              <w:right w:val="single" w:sz="4" w:space="0" w:color="auto"/>
            </w:tcBorders>
            <w:vAlign w:val="center"/>
            <w:hideMark/>
          </w:tcPr>
          <w:p w14:paraId="577A9C0D"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19,05</w:t>
            </w:r>
          </w:p>
        </w:tc>
        <w:tc>
          <w:tcPr>
            <w:tcW w:w="1164" w:type="dxa"/>
            <w:tcBorders>
              <w:top w:val="single" w:sz="4" w:space="0" w:color="auto"/>
              <w:left w:val="single" w:sz="4" w:space="0" w:color="auto"/>
              <w:bottom w:val="single" w:sz="2" w:space="0" w:color="auto"/>
              <w:right w:val="single" w:sz="12" w:space="0" w:color="auto"/>
            </w:tcBorders>
            <w:vAlign w:val="center"/>
            <w:hideMark/>
          </w:tcPr>
          <w:p w14:paraId="15C18DC5"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21,01</w:t>
            </w:r>
          </w:p>
        </w:tc>
      </w:tr>
      <w:tr w:rsidR="006D0EB4" w:rsidRPr="006D0EB4" w14:paraId="43BD0070" w14:textId="77777777" w:rsidTr="00482F04">
        <w:trPr>
          <w:trHeight w:val="234"/>
        </w:trPr>
        <w:tc>
          <w:tcPr>
            <w:tcW w:w="1584" w:type="dxa"/>
            <w:vMerge/>
            <w:tcBorders>
              <w:top w:val="single" w:sz="12" w:space="0" w:color="auto"/>
              <w:left w:val="single" w:sz="12" w:space="0" w:color="auto"/>
              <w:bottom w:val="nil"/>
              <w:right w:val="double" w:sz="2" w:space="0" w:color="auto"/>
            </w:tcBorders>
            <w:vAlign w:val="center"/>
            <w:hideMark/>
          </w:tcPr>
          <w:p w14:paraId="6C0594FE"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4" w:space="0" w:color="auto"/>
              <w:right w:val="single" w:sz="2" w:space="0" w:color="auto"/>
            </w:tcBorders>
            <w:vAlign w:val="center"/>
            <w:hideMark/>
          </w:tcPr>
          <w:p w14:paraId="2D31BFCC" w14:textId="77777777" w:rsidR="006D0EB4" w:rsidRPr="006D0EB4" w:rsidRDefault="006D0EB4" w:rsidP="001D3A56">
            <w:pPr>
              <w:spacing w:after="0"/>
              <w:ind w:hanging="6"/>
              <w:rPr>
                <w:rFonts w:asciiTheme="minorHAnsi" w:hAnsiTheme="minorHAnsi" w:cstheme="minorHAnsi"/>
                <w:sz w:val="20"/>
                <w:szCs w:val="20"/>
              </w:rPr>
            </w:pPr>
          </w:p>
        </w:tc>
        <w:tc>
          <w:tcPr>
            <w:tcW w:w="1884" w:type="dxa"/>
            <w:gridSpan w:val="2"/>
            <w:vMerge w:val="restart"/>
            <w:tcBorders>
              <w:top w:val="single" w:sz="2" w:space="0" w:color="auto"/>
              <w:left w:val="single" w:sz="2" w:space="0" w:color="auto"/>
              <w:bottom w:val="single" w:sz="4" w:space="0" w:color="auto"/>
              <w:right w:val="single" w:sz="2" w:space="0" w:color="auto"/>
            </w:tcBorders>
            <w:vAlign w:val="center"/>
            <w:hideMark/>
          </w:tcPr>
          <w:p w14:paraId="6897C1C2" w14:textId="77777777" w:rsidR="006D0EB4" w:rsidRPr="006D0EB4" w:rsidRDefault="006D0EB4" w:rsidP="001D3A56">
            <w:pPr>
              <w:spacing w:after="0"/>
              <w:ind w:right="426" w:hanging="6"/>
              <w:rPr>
                <w:rFonts w:asciiTheme="minorHAnsi" w:hAnsiTheme="minorHAnsi" w:cstheme="minorHAnsi"/>
                <w:b/>
                <w:sz w:val="20"/>
                <w:szCs w:val="20"/>
              </w:rPr>
            </w:pPr>
            <w:r w:rsidRPr="006D0EB4">
              <w:rPr>
                <w:rFonts w:asciiTheme="minorHAnsi" w:hAnsiTheme="minorHAnsi" w:cstheme="minorHAnsi"/>
                <w:b/>
                <w:sz w:val="20"/>
                <w:szCs w:val="20"/>
              </w:rPr>
              <w:t>Východné Slovensko</w:t>
            </w:r>
          </w:p>
        </w:tc>
        <w:tc>
          <w:tcPr>
            <w:tcW w:w="1983" w:type="dxa"/>
            <w:tcBorders>
              <w:top w:val="single" w:sz="2" w:space="0" w:color="auto"/>
              <w:left w:val="single" w:sz="2" w:space="0" w:color="auto"/>
              <w:bottom w:val="single" w:sz="4" w:space="0" w:color="auto"/>
              <w:right w:val="single" w:sz="4" w:space="0" w:color="auto"/>
            </w:tcBorders>
            <w:vAlign w:val="center"/>
            <w:hideMark/>
          </w:tcPr>
          <w:p w14:paraId="20F128B6"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Prešovský kraj</w:t>
            </w:r>
          </w:p>
        </w:tc>
        <w:tc>
          <w:tcPr>
            <w:tcW w:w="1000" w:type="dxa"/>
            <w:tcBorders>
              <w:top w:val="single" w:sz="2" w:space="0" w:color="auto"/>
              <w:left w:val="single" w:sz="2" w:space="0" w:color="auto"/>
              <w:bottom w:val="single" w:sz="4" w:space="0" w:color="auto"/>
              <w:right w:val="single" w:sz="4" w:space="0" w:color="auto"/>
            </w:tcBorders>
            <w:vAlign w:val="center"/>
            <w:hideMark/>
          </w:tcPr>
          <w:p w14:paraId="5EB3A3E9"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102</w:t>
            </w:r>
          </w:p>
        </w:tc>
        <w:tc>
          <w:tcPr>
            <w:tcW w:w="1144" w:type="dxa"/>
            <w:tcBorders>
              <w:top w:val="single" w:sz="2" w:space="0" w:color="auto"/>
              <w:left w:val="single" w:sz="4" w:space="0" w:color="auto"/>
              <w:bottom w:val="single" w:sz="4" w:space="0" w:color="auto"/>
              <w:right w:val="single" w:sz="2" w:space="0" w:color="auto"/>
            </w:tcBorders>
            <w:vAlign w:val="center"/>
            <w:hideMark/>
          </w:tcPr>
          <w:p w14:paraId="2CA3FAA9"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8,31</w:t>
            </w:r>
          </w:p>
        </w:tc>
        <w:tc>
          <w:tcPr>
            <w:tcW w:w="1164" w:type="dxa"/>
            <w:tcBorders>
              <w:top w:val="single" w:sz="2" w:space="0" w:color="auto"/>
              <w:left w:val="single" w:sz="2" w:space="0" w:color="auto"/>
              <w:bottom w:val="single" w:sz="4" w:space="0" w:color="auto"/>
              <w:right w:val="single" w:sz="12" w:space="0" w:color="auto"/>
            </w:tcBorders>
            <w:vAlign w:val="center"/>
            <w:hideMark/>
          </w:tcPr>
          <w:p w14:paraId="29D3F725"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9,17</w:t>
            </w:r>
          </w:p>
        </w:tc>
      </w:tr>
      <w:tr w:rsidR="006D0EB4" w:rsidRPr="006D0EB4" w14:paraId="0EE93BCC" w14:textId="77777777" w:rsidTr="00482F04">
        <w:trPr>
          <w:trHeight w:val="234"/>
        </w:trPr>
        <w:tc>
          <w:tcPr>
            <w:tcW w:w="1584" w:type="dxa"/>
            <w:vMerge/>
            <w:tcBorders>
              <w:top w:val="single" w:sz="12" w:space="0" w:color="auto"/>
              <w:left w:val="single" w:sz="12" w:space="0" w:color="auto"/>
              <w:bottom w:val="single" w:sz="12" w:space="0" w:color="auto"/>
              <w:right w:val="double" w:sz="2" w:space="0" w:color="auto"/>
            </w:tcBorders>
            <w:vAlign w:val="center"/>
            <w:hideMark/>
          </w:tcPr>
          <w:p w14:paraId="44C692CB" w14:textId="77777777" w:rsidR="006D0EB4" w:rsidRPr="006D0EB4" w:rsidRDefault="006D0EB4" w:rsidP="001D3A56">
            <w:pPr>
              <w:spacing w:after="0"/>
              <w:ind w:hanging="6"/>
              <w:rPr>
                <w:rFonts w:asciiTheme="minorHAnsi" w:hAnsiTheme="minorHAnsi" w:cstheme="minorHAnsi"/>
                <w:sz w:val="20"/>
                <w:szCs w:val="20"/>
              </w:rPr>
            </w:pPr>
          </w:p>
        </w:tc>
        <w:tc>
          <w:tcPr>
            <w:tcW w:w="402" w:type="dxa"/>
            <w:vMerge/>
            <w:tcBorders>
              <w:top w:val="single" w:sz="2" w:space="0" w:color="auto"/>
              <w:left w:val="double" w:sz="2" w:space="0" w:color="auto"/>
              <w:bottom w:val="single" w:sz="12" w:space="0" w:color="auto"/>
              <w:right w:val="single" w:sz="2" w:space="0" w:color="auto"/>
            </w:tcBorders>
            <w:vAlign w:val="center"/>
            <w:hideMark/>
          </w:tcPr>
          <w:p w14:paraId="10FA41E0" w14:textId="77777777" w:rsidR="006D0EB4" w:rsidRPr="006D0EB4" w:rsidRDefault="006D0EB4" w:rsidP="001D3A56">
            <w:pPr>
              <w:spacing w:after="0"/>
              <w:ind w:hanging="6"/>
              <w:rPr>
                <w:rFonts w:asciiTheme="minorHAnsi" w:hAnsiTheme="minorHAnsi" w:cstheme="minorHAnsi"/>
                <w:sz w:val="20"/>
                <w:szCs w:val="20"/>
              </w:rPr>
            </w:pPr>
          </w:p>
        </w:tc>
        <w:tc>
          <w:tcPr>
            <w:tcW w:w="1884" w:type="dxa"/>
            <w:gridSpan w:val="2"/>
            <w:vMerge/>
            <w:tcBorders>
              <w:top w:val="single" w:sz="2" w:space="0" w:color="auto"/>
              <w:left w:val="single" w:sz="2" w:space="0" w:color="auto"/>
              <w:bottom w:val="single" w:sz="12" w:space="0" w:color="auto"/>
              <w:right w:val="single" w:sz="2" w:space="0" w:color="auto"/>
            </w:tcBorders>
            <w:vAlign w:val="center"/>
            <w:hideMark/>
          </w:tcPr>
          <w:p w14:paraId="6BBDF6D4" w14:textId="77777777" w:rsidR="006D0EB4" w:rsidRPr="006D0EB4" w:rsidRDefault="006D0EB4" w:rsidP="001D3A56">
            <w:pPr>
              <w:spacing w:after="0"/>
              <w:ind w:hanging="6"/>
              <w:rPr>
                <w:rFonts w:asciiTheme="minorHAnsi" w:hAnsiTheme="minorHAnsi" w:cstheme="minorHAnsi"/>
                <w:b/>
                <w:sz w:val="20"/>
                <w:szCs w:val="20"/>
              </w:rPr>
            </w:pPr>
          </w:p>
        </w:tc>
        <w:tc>
          <w:tcPr>
            <w:tcW w:w="1983" w:type="dxa"/>
            <w:tcBorders>
              <w:top w:val="single" w:sz="4" w:space="0" w:color="auto"/>
              <w:left w:val="single" w:sz="2" w:space="0" w:color="auto"/>
              <w:bottom w:val="single" w:sz="12" w:space="0" w:color="auto"/>
              <w:right w:val="single" w:sz="4" w:space="0" w:color="auto"/>
            </w:tcBorders>
            <w:vAlign w:val="center"/>
            <w:hideMark/>
          </w:tcPr>
          <w:p w14:paraId="71B315A7"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Košicky kraj</w:t>
            </w:r>
          </w:p>
        </w:tc>
        <w:tc>
          <w:tcPr>
            <w:tcW w:w="1000" w:type="dxa"/>
            <w:tcBorders>
              <w:top w:val="single" w:sz="4" w:space="0" w:color="auto"/>
              <w:left w:val="single" w:sz="2" w:space="0" w:color="auto"/>
              <w:bottom w:val="single" w:sz="12" w:space="0" w:color="auto"/>
              <w:right w:val="single" w:sz="4" w:space="0" w:color="auto"/>
            </w:tcBorders>
            <w:vAlign w:val="center"/>
            <w:hideMark/>
          </w:tcPr>
          <w:p w14:paraId="7E52A492" w14:textId="77777777" w:rsidR="006D0EB4" w:rsidRPr="006D0EB4" w:rsidRDefault="006D0EB4" w:rsidP="001D3A56">
            <w:pPr>
              <w:spacing w:after="0"/>
              <w:ind w:hanging="6"/>
              <w:jc w:val="right"/>
              <w:rPr>
                <w:rFonts w:asciiTheme="minorHAnsi" w:hAnsiTheme="minorHAnsi" w:cstheme="minorHAnsi"/>
                <w:sz w:val="20"/>
                <w:szCs w:val="20"/>
              </w:rPr>
            </w:pPr>
            <w:r w:rsidRPr="006D0EB4">
              <w:rPr>
                <w:rFonts w:asciiTheme="minorHAnsi" w:hAnsiTheme="minorHAnsi" w:cstheme="minorHAnsi"/>
                <w:sz w:val="20"/>
                <w:szCs w:val="20"/>
              </w:rPr>
              <w:t>129</w:t>
            </w:r>
          </w:p>
        </w:tc>
        <w:tc>
          <w:tcPr>
            <w:tcW w:w="1144" w:type="dxa"/>
            <w:tcBorders>
              <w:top w:val="single" w:sz="4" w:space="0" w:color="auto"/>
              <w:left w:val="single" w:sz="4" w:space="0" w:color="auto"/>
              <w:bottom w:val="single" w:sz="12" w:space="0" w:color="auto"/>
              <w:right w:val="single" w:sz="2" w:space="0" w:color="auto"/>
            </w:tcBorders>
            <w:vAlign w:val="center"/>
            <w:hideMark/>
          </w:tcPr>
          <w:p w14:paraId="43806D73" w14:textId="77777777" w:rsidR="006D0EB4" w:rsidRPr="006D0EB4" w:rsidRDefault="006D0EB4" w:rsidP="001D3A56">
            <w:pPr>
              <w:spacing w:after="0"/>
              <w:ind w:right="54" w:hanging="6"/>
              <w:jc w:val="right"/>
              <w:rPr>
                <w:rFonts w:asciiTheme="minorHAnsi" w:hAnsiTheme="minorHAnsi" w:cstheme="minorHAnsi"/>
                <w:sz w:val="20"/>
                <w:szCs w:val="20"/>
              </w:rPr>
            </w:pPr>
            <w:r w:rsidRPr="006D0EB4">
              <w:rPr>
                <w:rFonts w:asciiTheme="minorHAnsi" w:hAnsiTheme="minorHAnsi" w:cstheme="minorHAnsi"/>
                <w:sz w:val="20"/>
                <w:szCs w:val="20"/>
              </w:rPr>
              <w:t>13,93</w:t>
            </w:r>
          </w:p>
        </w:tc>
        <w:tc>
          <w:tcPr>
            <w:tcW w:w="1164" w:type="dxa"/>
            <w:tcBorders>
              <w:top w:val="single" w:sz="4" w:space="0" w:color="auto"/>
              <w:left w:val="single" w:sz="2" w:space="0" w:color="auto"/>
              <w:bottom w:val="single" w:sz="12" w:space="0" w:color="auto"/>
              <w:right w:val="single" w:sz="12" w:space="0" w:color="auto"/>
            </w:tcBorders>
            <w:vAlign w:val="center"/>
            <w:hideMark/>
          </w:tcPr>
          <w:p w14:paraId="30F3AAB9" w14:textId="77777777" w:rsidR="006D0EB4" w:rsidRPr="006D0EB4" w:rsidRDefault="006D0EB4" w:rsidP="001D3A56">
            <w:pPr>
              <w:spacing w:after="0"/>
              <w:ind w:right="73" w:hanging="6"/>
              <w:jc w:val="right"/>
              <w:rPr>
                <w:rFonts w:asciiTheme="minorHAnsi" w:hAnsiTheme="minorHAnsi" w:cstheme="minorHAnsi"/>
                <w:sz w:val="20"/>
                <w:szCs w:val="20"/>
              </w:rPr>
            </w:pPr>
            <w:r w:rsidRPr="006D0EB4">
              <w:rPr>
                <w:rFonts w:asciiTheme="minorHAnsi" w:hAnsiTheme="minorHAnsi" w:cstheme="minorHAnsi"/>
                <w:sz w:val="20"/>
                <w:szCs w:val="20"/>
              </w:rPr>
              <w:t>15,37</w:t>
            </w:r>
          </w:p>
        </w:tc>
      </w:tr>
      <w:tr w:rsidR="006D0EB4" w:rsidRPr="006D0EB4" w14:paraId="3C9BB081" w14:textId="77777777" w:rsidTr="00482F04">
        <w:trPr>
          <w:trHeight w:val="211"/>
        </w:trPr>
        <w:tc>
          <w:tcPr>
            <w:tcW w:w="1584" w:type="dxa"/>
            <w:tcBorders>
              <w:top w:val="single" w:sz="12" w:space="0" w:color="auto"/>
              <w:left w:val="single" w:sz="12" w:space="0" w:color="auto"/>
              <w:bottom w:val="single" w:sz="12" w:space="0" w:color="auto"/>
              <w:right w:val="double" w:sz="4" w:space="0" w:color="auto"/>
            </w:tcBorders>
            <w:vAlign w:val="center"/>
            <w:hideMark/>
          </w:tcPr>
          <w:p w14:paraId="24A7CA9E" w14:textId="77777777" w:rsidR="006D0EB4" w:rsidRPr="006D0EB4" w:rsidRDefault="006D0EB4" w:rsidP="001D3A56">
            <w:pPr>
              <w:spacing w:after="0"/>
              <w:ind w:hanging="6"/>
              <w:rPr>
                <w:rFonts w:asciiTheme="minorHAnsi" w:hAnsiTheme="minorHAnsi" w:cstheme="minorHAnsi"/>
                <w:b/>
                <w:sz w:val="20"/>
                <w:szCs w:val="20"/>
              </w:rPr>
            </w:pPr>
            <w:r w:rsidRPr="006D0EB4">
              <w:rPr>
                <w:rFonts w:asciiTheme="minorHAnsi" w:hAnsiTheme="minorHAnsi" w:cstheme="minorHAnsi"/>
                <w:b/>
                <w:sz w:val="20"/>
                <w:szCs w:val="20"/>
              </w:rPr>
              <w:t>Forma pomoci</w:t>
            </w:r>
          </w:p>
        </w:tc>
        <w:tc>
          <w:tcPr>
            <w:tcW w:w="7580" w:type="dxa"/>
            <w:gridSpan w:val="7"/>
            <w:tcBorders>
              <w:top w:val="single" w:sz="12" w:space="0" w:color="auto"/>
              <w:left w:val="double" w:sz="4" w:space="0" w:color="auto"/>
              <w:bottom w:val="single" w:sz="12" w:space="0" w:color="auto"/>
              <w:right w:val="single" w:sz="12" w:space="0" w:color="auto"/>
            </w:tcBorders>
            <w:vAlign w:val="center"/>
            <w:hideMark/>
          </w:tcPr>
          <w:p w14:paraId="5414CA24" w14:textId="77777777" w:rsidR="006D0EB4" w:rsidRPr="006D0EB4" w:rsidRDefault="006D0EB4" w:rsidP="001D3A56">
            <w:pPr>
              <w:spacing w:after="0"/>
              <w:ind w:right="426" w:hanging="6"/>
              <w:rPr>
                <w:rFonts w:asciiTheme="minorHAnsi" w:hAnsiTheme="minorHAnsi" w:cstheme="minorHAnsi"/>
                <w:sz w:val="20"/>
                <w:szCs w:val="20"/>
              </w:rPr>
            </w:pPr>
            <w:r w:rsidRPr="006D0EB4">
              <w:rPr>
                <w:rFonts w:asciiTheme="minorHAnsi" w:hAnsiTheme="minorHAnsi" w:cstheme="minorHAnsi"/>
                <w:sz w:val="20"/>
                <w:szCs w:val="20"/>
              </w:rPr>
              <w:t>Nenávratný finančný príspevok (ESF + štátny rozpočet)</w:t>
            </w:r>
          </w:p>
        </w:tc>
      </w:tr>
    </w:tbl>
    <w:p w14:paraId="3BCF0E25" w14:textId="16C34135" w:rsidR="006D0EB4" w:rsidRPr="008154C4" w:rsidRDefault="006D0EB4" w:rsidP="009418BA">
      <w:pPr>
        <w:spacing w:before="120" w:after="0"/>
        <w:ind w:hanging="6"/>
      </w:pPr>
      <w:r w:rsidRPr="008154C4">
        <w:t>V hodnotenom období roku 2024 bolo v rámci Schémy štátnej pomoci na podporu vzdelávania a pomoci na prijímanie do zamestnania a zamestnávanie znevýhodnených zamestnancov a zamestnancov so zdravotným postihnutím v znení dodatku č. 4 SA. 110863 uzatvorených 35 dohôd a podporených 124</w:t>
      </w:r>
      <w:r w:rsidR="009418BA" w:rsidRPr="008154C4">
        <w:t>UoZ</w:t>
      </w:r>
      <w:r w:rsidRPr="008154C4">
        <w:t xml:space="preserve">. </w:t>
      </w:r>
    </w:p>
    <w:p w14:paraId="115E6DA6" w14:textId="2F8CBA63" w:rsidR="006D0EB4" w:rsidRPr="008154C4" w:rsidRDefault="006D0EB4" w:rsidP="009418BA">
      <w:pPr>
        <w:spacing w:before="120" w:after="0"/>
        <w:ind w:hanging="6"/>
      </w:pPr>
      <w:r w:rsidRPr="008154C4">
        <w:t>V rámci Schémy štátnej pomoci na podporu vzdelávania a pomoci na prijímanie do zamestnania a zamestnávanie znevýhodnených zamestnancov a zamestnancov so zdravotným postihnutím SA. 112963 uzatvorených 876 dohôd a podporených spolu 5</w:t>
      </w:r>
      <w:r w:rsidR="009418BA" w:rsidRPr="008154C4">
        <w:t> </w:t>
      </w:r>
      <w:r w:rsidRPr="008154C4">
        <w:t>338</w:t>
      </w:r>
      <w:r w:rsidR="009418BA" w:rsidRPr="008154C4">
        <w:t xml:space="preserve"> UoZ</w:t>
      </w:r>
      <w:r w:rsidRPr="008154C4">
        <w:t xml:space="preserve">. </w:t>
      </w:r>
    </w:p>
    <w:p w14:paraId="6EA1225D" w14:textId="23763201" w:rsidR="006D0EB4" w:rsidRPr="006D0EB4" w:rsidRDefault="006D0EB4" w:rsidP="009418BA">
      <w:pPr>
        <w:spacing w:before="120" w:after="0"/>
        <w:ind w:hanging="6"/>
        <w:rPr>
          <w:b/>
        </w:rPr>
      </w:pPr>
      <w:r w:rsidRPr="008154C4">
        <w:t>V rámci Schémy štátnej pomoci na podporu vzdelávania a pomoci na prijímanie do zamestnania a zamestnávanie znevýhodnených zamestnancov a zamestnancov so zdravotným postihnutím v znení dodatku č. 1 SA. 115398 bolo uzatvorených 379 dohôd a bolo podporených 1</w:t>
      </w:r>
      <w:r w:rsidR="009418BA" w:rsidRPr="008154C4">
        <w:t> </w:t>
      </w:r>
      <w:r w:rsidRPr="008154C4">
        <w:t>029</w:t>
      </w:r>
      <w:r w:rsidR="009418BA" w:rsidRPr="008154C4">
        <w:t xml:space="preserve"> UoZ</w:t>
      </w:r>
      <w:r w:rsidRPr="006D0EB4">
        <w:rPr>
          <w:b/>
        </w:rPr>
        <w:t xml:space="preserve">. </w:t>
      </w:r>
    </w:p>
    <w:p w14:paraId="36B0384E" w14:textId="77777777" w:rsidR="006D0EB4" w:rsidRPr="006D0EB4" w:rsidRDefault="006D0EB4" w:rsidP="009418BA">
      <w:pPr>
        <w:spacing w:before="120" w:after="0"/>
        <w:ind w:right="426" w:hanging="6"/>
        <w:rPr>
          <w:b/>
        </w:rPr>
      </w:pPr>
      <w:r w:rsidRPr="006D0EB4">
        <w:rPr>
          <w:b/>
        </w:rPr>
        <w:t>Poskytnutá investičná pomoc investorom</w:t>
      </w:r>
    </w:p>
    <w:p w14:paraId="68BAAF31" w14:textId="6DE6D83D" w:rsidR="006D0EB4" w:rsidRPr="00CD0895" w:rsidRDefault="006D0EB4" w:rsidP="009418BA">
      <w:pPr>
        <w:spacing w:before="120" w:after="0"/>
        <w:ind w:hanging="6"/>
        <w:rPr>
          <w:bCs/>
          <w:iCs/>
        </w:rPr>
      </w:pPr>
      <w:r w:rsidRPr="006D0EB4">
        <w:t>Investičná pomoc je poskytovaná výlučne ústredím, pričom pomoc investorom je poskytovaná len zo štátneho rozpočtu na podporu zamestnanosti a vzdelávania zamestnancov</w:t>
      </w:r>
      <w:r w:rsidRPr="006D0EB4">
        <w:rPr>
          <w:vertAlign w:val="superscript"/>
        </w:rPr>
        <w:footnoteReference w:id="1"/>
      </w:r>
      <w:r w:rsidRPr="006D0EB4">
        <w:t>.</w:t>
      </w:r>
      <w:r w:rsidR="009418BA">
        <w:t xml:space="preserve"> </w:t>
      </w:r>
      <w:r w:rsidRPr="006D0EB4">
        <w:t xml:space="preserve">Z celkovej poskytnutej regionálnej investičnej pomoci investorom bola v roku 2024 poskytnutá investičná </w:t>
      </w:r>
      <w:r w:rsidRPr="00CD0895">
        <w:t>pomoc vo forme príspevku na vytvorenie nového pracovného mi</w:t>
      </w:r>
      <w:r w:rsidR="009418BA" w:rsidRPr="00CD0895">
        <w:t xml:space="preserve">esta na základe zákona </w:t>
      </w:r>
      <w:r w:rsidRPr="00CD0895">
        <w:t xml:space="preserve">č. </w:t>
      </w:r>
      <w:r w:rsidRPr="00CD0895">
        <w:lastRenderedPageBreak/>
        <w:t xml:space="preserve">57/2018 Z. z. o regionálnej investičnej pomoci a o zmene a doplnení niektorých zákonov v znení neskorších predpisov“ celkom 8 investorom – veľkým podnikom,  vo výške 2,36 mil. </w:t>
      </w:r>
      <w:r w:rsidR="009418BA" w:rsidRPr="00CD0895">
        <w:t>eur</w:t>
      </w:r>
      <w:r w:rsidRPr="00CD0895">
        <w:rPr>
          <w:bCs/>
          <w:iCs/>
        </w:rPr>
        <w:t xml:space="preserve">, ktorí vytvorili 38 nových pracovných miest udržaných 1 rok a 296 nových pracovných miest udržaných 2 roky. </w:t>
      </w:r>
    </w:p>
    <w:p w14:paraId="5CDFCF94" w14:textId="5290604C" w:rsidR="006D0EB4" w:rsidRPr="00CD0895" w:rsidRDefault="006D0EB4" w:rsidP="009418BA">
      <w:pPr>
        <w:spacing w:before="120" w:after="0"/>
        <w:ind w:hanging="6"/>
        <w:rPr>
          <w:bCs/>
          <w:iCs/>
        </w:rPr>
      </w:pPr>
      <w:r w:rsidRPr="00CD0895">
        <w:rPr>
          <w:bCs/>
          <w:iCs/>
        </w:rPr>
        <w:t xml:space="preserve">Pri porovnaní rokov 2023 a 2024 sa poskytnutá investičná pomoc vo forme príspevku na vytvorenie nového pracovného miesta v roku 2024 znížila o 0,30 mil. </w:t>
      </w:r>
      <w:r w:rsidR="009418BA" w:rsidRPr="00CD0895">
        <w:rPr>
          <w:bCs/>
          <w:iCs/>
        </w:rPr>
        <w:t>eur</w:t>
      </w:r>
      <w:r w:rsidRPr="00CD0895">
        <w:rPr>
          <w:bCs/>
          <w:iCs/>
        </w:rPr>
        <w:t>, čo predstavuje pokles oproti roku 2023 o 11,28 %.</w:t>
      </w:r>
    </w:p>
    <w:p w14:paraId="112B465F" w14:textId="77777777" w:rsidR="006D0EB4" w:rsidRPr="00CD0895" w:rsidRDefault="006D0EB4" w:rsidP="009418BA">
      <w:pPr>
        <w:spacing w:before="120" w:after="0"/>
        <w:ind w:hanging="6"/>
        <w:rPr>
          <w:bCs/>
          <w:iCs/>
        </w:rPr>
      </w:pPr>
      <w:r w:rsidRPr="00CD0895">
        <w:rPr>
          <w:bCs/>
          <w:iCs/>
        </w:rPr>
        <w:t>V rámci realizácie schválených investičných zámerov prijímateľov investičnej pomoci bol príspevok poskytovaný výlučne na vytváranie nových pracovných miest. Ide o regionálnu podporu na stimulovanie strategických investícií do znevýhodnených regiónov a tvorbu nových pracovných miest v Slovenskej republike. Príjemcovia investičnej pomoci sú povinní vytvoriť a udržať nové pracovné miesta minimálne po dobu 5 rokov. Vláda SR kladie dôraz na znižovanie regionálnych rozdielov a stabilizovanie trhu práce v rámci celej Slovenskej republiky.</w:t>
      </w:r>
    </w:p>
    <w:p w14:paraId="1CDDF069" w14:textId="76D85CF3" w:rsidR="006D0EB4" w:rsidRDefault="006D0EB4" w:rsidP="009418BA">
      <w:pPr>
        <w:spacing w:before="120" w:after="120"/>
        <w:ind w:hanging="6"/>
        <w:rPr>
          <w:color w:val="000000"/>
        </w:rPr>
      </w:pPr>
      <w:r w:rsidRPr="00CD0895">
        <w:rPr>
          <w:bCs/>
          <w:iCs/>
        </w:rPr>
        <w:t xml:space="preserve">V roku 2024 vláda SR schválila poskytnutie investičnej pomoci pre 18 spoločností. Investičná pomoc vo forme úľavy na dani z príjmu, dotácie na obstaraný dlhodobý hmotný a nehmotný majetok bola schválená 17 spoločnostiam, ktoré majú vytvoriť spolu 3 849 nových pracovných miest. Spoločnosti </w:t>
      </w:r>
      <w:r w:rsidRPr="00CD0895">
        <w:rPr>
          <w:color w:val="000000"/>
        </w:rPr>
        <w:t xml:space="preserve">CSM Industry s. r. o. bola schválená investičná pomoc vo forme príspevku na vytvorenie nového pracovného miesta v celkovej výške cca 1, 02 mil. </w:t>
      </w:r>
      <w:r w:rsidR="009418BA" w:rsidRPr="00CD0895">
        <w:rPr>
          <w:color w:val="000000"/>
        </w:rPr>
        <w:t>eur</w:t>
      </w:r>
      <w:r w:rsidRPr="00CD0895">
        <w:rPr>
          <w:color w:val="000000"/>
        </w:rPr>
        <w:t>. Spoločnosť má vytvor</w:t>
      </w:r>
      <w:r w:rsidR="009418BA" w:rsidRPr="00CD0895">
        <w:rPr>
          <w:color w:val="000000"/>
        </w:rPr>
        <w:t xml:space="preserve">iť 30 nových pracovných miest. </w:t>
      </w:r>
    </w:p>
    <w:tbl>
      <w:tblPr>
        <w:tblW w:w="9191" w:type="dxa"/>
        <w:tblLayout w:type="fixed"/>
        <w:tblCellMar>
          <w:left w:w="70" w:type="dxa"/>
          <w:right w:w="70" w:type="dxa"/>
        </w:tblCellMar>
        <w:tblLook w:val="04A0" w:firstRow="1" w:lastRow="0" w:firstColumn="1" w:lastColumn="0" w:noHBand="0" w:noVBand="1"/>
      </w:tblPr>
      <w:tblGrid>
        <w:gridCol w:w="1377"/>
        <w:gridCol w:w="619"/>
        <w:gridCol w:w="877"/>
        <w:gridCol w:w="1282"/>
        <w:gridCol w:w="1835"/>
        <w:gridCol w:w="15"/>
        <w:gridCol w:w="959"/>
        <w:gridCol w:w="15"/>
        <w:gridCol w:w="1082"/>
        <w:gridCol w:w="15"/>
        <w:gridCol w:w="1115"/>
      </w:tblGrid>
      <w:tr w:rsidR="006D4F1B" w:rsidRPr="006D0EB4" w14:paraId="21E1A3C2" w14:textId="77777777" w:rsidTr="00482F04">
        <w:trPr>
          <w:trHeight w:val="273"/>
        </w:trPr>
        <w:tc>
          <w:tcPr>
            <w:tcW w:w="1377" w:type="dxa"/>
            <w:vMerge w:val="restart"/>
            <w:tcBorders>
              <w:top w:val="single" w:sz="12" w:space="0" w:color="auto"/>
              <w:left w:val="single" w:sz="12" w:space="0" w:color="auto"/>
              <w:bottom w:val="single" w:sz="12" w:space="0" w:color="auto"/>
              <w:right w:val="double" w:sz="2" w:space="0" w:color="auto"/>
            </w:tcBorders>
            <w:vAlign w:val="center"/>
            <w:hideMark/>
          </w:tcPr>
          <w:p w14:paraId="2A6B61FD" w14:textId="77777777" w:rsidR="006D4F1B" w:rsidRPr="006D0EB4" w:rsidRDefault="006D4F1B" w:rsidP="001508D8">
            <w:pPr>
              <w:spacing w:line="256" w:lineRule="auto"/>
              <w:ind w:right="76"/>
              <w:rPr>
                <w:rFonts w:asciiTheme="minorHAnsi" w:hAnsiTheme="minorHAnsi" w:cstheme="minorHAnsi"/>
                <w:b/>
                <w:sz w:val="20"/>
                <w:szCs w:val="20"/>
              </w:rPr>
            </w:pPr>
            <w:r w:rsidRPr="006D0EB4">
              <w:rPr>
                <w:rFonts w:asciiTheme="minorHAnsi" w:hAnsiTheme="minorHAnsi" w:cstheme="minorHAnsi"/>
                <w:b/>
                <w:sz w:val="20"/>
                <w:szCs w:val="20"/>
              </w:rPr>
              <w:t>Výška investičnej pomoci v roku 2024</w:t>
            </w:r>
          </w:p>
        </w:tc>
        <w:tc>
          <w:tcPr>
            <w:tcW w:w="4628" w:type="dxa"/>
            <w:gridSpan w:val="5"/>
            <w:tcBorders>
              <w:top w:val="single" w:sz="12" w:space="0" w:color="auto"/>
              <w:left w:val="double" w:sz="2" w:space="0" w:color="auto"/>
              <w:bottom w:val="nil"/>
              <w:right w:val="single" w:sz="4" w:space="0" w:color="auto"/>
            </w:tcBorders>
            <w:vAlign w:val="center"/>
            <w:hideMark/>
          </w:tcPr>
          <w:p w14:paraId="749B00D2"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b/>
                <w:sz w:val="20"/>
                <w:szCs w:val="20"/>
              </w:rPr>
              <w:t xml:space="preserve">Podľa typu podniku </w:t>
            </w:r>
            <w:r w:rsidRPr="006D0EB4">
              <w:rPr>
                <w:rFonts w:asciiTheme="minorHAnsi" w:hAnsiTheme="minorHAnsi" w:cstheme="minorHAnsi"/>
                <w:sz w:val="20"/>
                <w:szCs w:val="20"/>
              </w:rPr>
              <w:t xml:space="preserve">(v mil. </w:t>
            </w:r>
            <w:r>
              <w:rPr>
                <w:rFonts w:asciiTheme="minorHAnsi" w:hAnsiTheme="minorHAnsi" w:cstheme="minorHAnsi"/>
                <w:sz w:val="20"/>
                <w:szCs w:val="20"/>
              </w:rPr>
              <w:t>eur</w:t>
            </w:r>
            <w:r w:rsidRPr="006D0EB4">
              <w:rPr>
                <w:rFonts w:asciiTheme="minorHAnsi" w:hAnsiTheme="minorHAnsi" w:cstheme="minorHAnsi"/>
                <w:sz w:val="20"/>
                <w:szCs w:val="20"/>
              </w:rPr>
              <w:t>)</w:t>
            </w:r>
          </w:p>
        </w:tc>
        <w:tc>
          <w:tcPr>
            <w:tcW w:w="974" w:type="dxa"/>
            <w:gridSpan w:val="2"/>
            <w:tcBorders>
              <w:top w:val="single" w:sz="12" w:space="0" w:color="auto"/>
              <w:left w:val="nil"/>
              <w:bottom w:val="nil"/>
              <w:right w:val="single" w:sz="4" w:space="0" w:color="auto"/>
            </w:tcBorders>
            <w:noWrap/>
            <w:vAlign w:val="center"/>
            <w:hideMark/>
          </w:tcPr>
          <w:p w14:paraId="797B774A" w14:textId="77777777" w:rsidR="006D4F1B" w:rsidRPr="006D0EB4" w:rsidRDefault="006D4F1B" w:rsidP="001508D8">
            <w:pPr>
              <w:spacing w:line="256" w:lineRule="auto"/>
              <w:jc w:val="center"/>
              <w:rPr>
                <w:rFonts w:asciiTheme="minorHAnsi" w:hAnsiTheme="minorHAnsi" w:cstheme="minorHAnsi"/>
                <w:b/>
                <w:sz w:val="20"/>
                <w:szCs w:val="20"/>
              </w:rPr>
            </w:pPr>
            <w:r w:rsidRPr="006D0EB4">
              <w:rPr>
                <w:rFonts w:asciiTheme="minorHAnsi" w:hAnsiTheme="minorHAnsi" w:cstheme="minorHAnsi"/>
                <w:b/>
                <w:sz w:val="20"/>
                <w:szCs w:val="20"/>
              </w:rPr>
              <w:t>2,36</w:t>
            </w:r>
          </w:p>
        </w:tc>
        <w:tc>
          <w:tcPr>
            <w:tcW w:w="1097" w:type="dxa"/>
            <w:gridSpan w:val="2"/>
            <w:tcBorders>
              <w:top w:val="single" w:sz="12" w:space="0" w:color="auto"/>
              <w:left w:val="nil"/>
              <w:bottom w:val="nil"/>
              <w:right w:val="single" w:sz="4" w:space="0" w:color="auto"/>
            </w:tcBorders>
            <w:noWrap/>
            <w:vAlign w:val="center"/>
            <w:hideMark/>
          </w:tcPr>
          <w:p w14:paraId="109C4D98" w14:textId="77777777" w:rsidR="006D4F1B" w:rsidRPr="006D0EB4" w:rsidRDefault="006D4F1B" w:rsidP="001508D8">
            <w:pPr>
              <w:spacing w:line="256" w:lineRule="auto"/>
              <w:ind w:right="71"/>
              <w:jc w:val="center"/>
              <w:rPr>
                <w:rFonts w:asciiTheme="minorHAnsi" w:hAnsiTheme="minorHAnsi" w:cstheme="minorHAnsi"/>
                <w:b/>
                <w:sz w:val="20"/>
                <w:szCs w:val="20"/>
              </w:rPr>
            </w:pPr>
            <w:r w:rsidRPr="006D0EB4">
              <w:rPr>
                <w:rFonts w:asciiTheme="minorHAnsi" w:hAnsiTheme="minorHAnsi" w:cstheme="minorHAnsi"/>
                <w:b/>
                <w:sz w:val="20"/>
                <w:szCs w:val="20"/>
              </w:rPr>
              <w:t>Podiel</w:t>
            </w:r>
          </w:p>
          <w:p w14:paraId="57596F7F" w14:textId="77777777" w:rsidR="006D4F1B" w:rsidRPr="006D0EB4" w:rsidRDefault="006D4F1B" w:rsidP="001508D8">
            <w:pPr>
              <w:spacing w:line="256" w:lineRule="auto"/>
              <w:ind w:right="71"/>
              <w:jc w:val="center"/>
              <w:rPr>
                <w:rFonts w:asciiTheme="minorHAnsi" w:hAnsiTheme="minorHAnsi" w:cstheme="minorHAnsi"/>
                <w:b/>
                <w:sz w:val="20"/>
                <w:szCs w:val="20"/>
              </w:rPr>
            </w:pPr>
            <w:r w:rsidRPr="006D0EB4">
              <w:rPr>
                <w:rFonts w:asciiTheme="minorHAnsi" w:hAnsiTheme="minorHAnsi" w:cstheme="minorHAnsi"/>
                <w:sz w:val="20"/>
                <w:szCs w:val="20"/>
              </w:rPr>
              <w:t xml:space="preserve">(v </w:t>
            </w:r>
            <w:r w:rsidRPr="006D0EB4">
              <w:rPr>
                <w:rFonts w:asciiTheme="minorHAnsi" w:hAnsiTheme="minorHAnsi" w:cstheme="minorHAnsi"/>
                <w:b/>
                <w:sz w:val="20"/>
                <w:szCs w:val="20"/>
              </w:rPr>
              <w:t>%)</w:t>
            </w:r>
          </w:p>
        </w:tc>
        <w:tc>
          <w:tcPr>
            <w:tcW w:w="1114" w:type="dxa"/>
            <w:tcBorders>
              <w:top w:val="single" w:sz="12" w:space="0" w:color="auto"/>
              <w:left w:val="single" w:sz="4" w:space="0" w:color="auto"/>
              <w:bottom w:val="nil"/>
              <w:right w:val="single" w:sz="12" w:space="0" w:color="auto"/>
            </w:tcBorders>
            <w:hideMark/>
          </w:tcPr>
          <w:p w14:paraId="1D174C95" w14:textId="77777777" w:rsidR="006D4F1B" w:rsidRPr="006D0EB4" w:rsidRDefault="006D4F1B" w:rsidP="001508D8">
            <w:pPr>
              <w:spacing w:line="256" w:lineRule="auto"/>
              <w:jc w:val="center"/>
              <w:rPr>
                <w:rFonts w:asciiTheme="minorHAnsi" w:hAnsiTheme="minorHAnsi" w:cstheme="minorHAnsi"/>
                <w:b/>
                <w:sz w:val="20"/>
                <w:szCs w:val="20"/>
              </w:rPr>
            </w:pPr>
            <w:r w:rsidRPr="006D0EB4">
              <w:rPr>
                <w:rFonts w:asciiTheme="minorHAnsi" w:hAnsiTheme="minorHAnsi" w:cstheme="minorHAnsi"/>
                <w:b/>
                <w:sz w:val="20"/>
                <w:szCs w:val="20"/>
              </w:rPr>
              <w:t>Počet príjemcov</w:t>
            </w:r>
          </w:p>
        </w:tc>
      </w:tr>
      <w:tr w:rsidR="006D4F1B" w:rsidRPr="006D0EB4" w14:paraId="02DBEB3E"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685402B8"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val="restart"/>
            <w:tcBorders>
              <w:top w:val="single" w:sz="2" w:space="0" w:color="auto"/>
              <w:left w:val="double" w:sz="2" w:space="0" w:color="auto"/>
              <w:bottom w:val="single" w:sz="12" w:space="0" w:color="auto"/>
              <w:right w:val="single" w:sz="4" w:space="0" w:color="auto"/>
            </w:tcBorders>
            <w:textDirection w:val="btLr"/>
            <w:vAlign w:val="center"/>
          </w:tcPr>
          <w:p w14:paraId="79F9445A" w14:textId="77777777" w:rsidR="006D4F1B" w:rsidRPr="006D0EB4" w:rsidRDefault="006D4F1B" w:rsidP="001508D8">
            <w:pPr>
              <w:spacing w:line="256" w:lineRule="auto"/>
              <w:ind w:left="113" w:right="113"/>
              <w:jc w:val="center"/>
              <w:rPr>
                <w:rFonts w:asciiTheme="minorHAnsi" w:hAnsiTheme="minorHAnsi" w:cstheme="minorHAnsi"/>
                <w:sz w:val="20"/>
                <w:szCs w:val="20"/>
              </w:rPr>
            </w:pPr>
            <w:r w:rsidRPr="006D0EB4">
              <w:rPr>
                <w:rFonts w:asciiTheme="minorHAnsi" w:hAnsiTheme="minorHAnsi" w:cstheme="minorHAnsi"/>
                <w:sz w:val="20"/>
                <w:szCs w:val="20"/>
              </w:rPr>
              <w:t>z toho</w:t>
            </w:r>
          </w:p>
        </w:tc>
        <w:tc>
          <w:tcPr>
            <w:tcW w:w="877" w:type="dxa"/>
            <w:vMerge w:val="restart"/>
            <w:tcBorders>
              <w:top w:val="single" w:sz="8" w:space="0" w:color="auto"/>
              <w:left w:val="single" w:sz="4" w:space="0" w:color="auto"/>
              <w:bottom w:val="single" w:sz="4" w:space="0" w:color="auto"/>
              <w:right w:val="single" w:sz="4" w:space="0" w:color="auto"/>
            </w:tcBorders>
            <w:vAlign w:val="center"/>
            <w:hideMark/>
          </w:tcPr>
          <w:p w14:paraId="6AC02608" w14:textId="77777777" w:rsidR="006D4F1B" w:rsidRPr="006D0EB4" w:rsidRDefault="006D4F1B" w:rsidP="001508D8">
            <w:pPr>
              <w:tabs>
                <w:tab w:val="left" w:pos="0"/>
              </w:tabs>
              <w:spacing w:line="256" w:lineRule="auto"/>
              <w:rPr>
                <w:rFonts w:asciiTheme="minorHAnsi" w:hAnsiTheme="minorHAnsi" w:cstheme="minorHAnsi"/>
                <w:b/>
                <w:sz w:val="20"/>
                <w:szCs w:val="20"/>
              </w:rPr>
            </w:pPr>
            <w:r w:rsidRPr="006D0EB4">
              <w:rPr>
                <w:rFonts w:asciiTheme="minorHAnsi" w:hAnsiTheme="minorHAnsi" w:cstheme="minorHAnsi"/>
                <w:b/>
                <w:sz w:val="20"/>
                <w:szCs w:val="20"/>
              </w:rPr>
              <w:t>MSP</w:t>
            </w:r>
          </w:p>
        </w:tc>
        <w:tc>
          <w:tcPr>
            <w:tcW w:w="3116" w:type="dxa"/>
            <w:gridSpan w:val="2"/>
            <w:tcBorders>
              <w:top w:val="single" w:sz="8" w:space="0" w:color="auto"/>
              <w:left w:val="single" w:sz="4" w:space="0" w:color="auto"/>
              <w:bottom w:val="single" w:sz="4" w:space="0" w:color="auto"/>
              <w:right w:val="single" w:sz="4" w:space="0" w:color="auto"/>
            </w:tcBorders>
            <w:vAlign w:val="center"/>
            <w:hideMark/>
          </w:tcPr>
          <w:p w14:paraId="687FEC20"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Mikropodniky</w:t>
            </w:r>
          </w:p>
        </w:tc>
        <w:tc>
          <w:tcPr>
            <w:tcW w:w="974" w:type="dxa"/>
            <w:gridSpan w:val="2"/>
            <w:tcBorders>
              <w:top w:val="single" w:sz="8" w:space="0" w:color="auto"/>
              <w:left w:val="nil"/>
              <w:bottom w:val="single" w:sz="4" w:space="0" w:color="auto"/>
              <w:right w:val="single" w:sz="4" w:space="0" w:color="auto"/>
            </w:tcBorders>
            <w:vAlign w:val="center"/>
            <w:hideMark/>
          </w:tcPr>
          <w:p w14:paraId="0E92850F" w14:textId="77777777" w:rsidR="006D4F1B" w:rsidRPr="006D0EB4" w:rsidRDefault="006D4F1B" w:rsidP="001508D8">
            <w:pPr>
              <w:spacing w:line="256" w:lineRule="auto"/>
              <w:jc w:val="right"/>
              <w:rPr>
                <w:rFonts w:asciiTheme="minorHAnsi" w:hAnsiTheme="minorHAnsi" w:cstheme="minorHAnsi"/>
                <w:bCs/>
                <w:sz w:val="20"/>
                <w:szCs w:val="20"/>
              </w:rPr>
            </w:pPr>
            <w:r w:rsidRPr="006D0EB4">
              <w:rPr>
                <w:rFonts w:asciiTheme="minorHAnsi" w:hAnsiTheme="minorHAnsi" w:cstheme="minorHAnsi"/>
                <w:bCs/>
                <w:sz w:val="20"/>
                <w:szCs w:val="20"/>
              </w:rPr>
              <w:t>0</w:t>
            </w:r>
          </w:p>
        </w:tc>
        <w:tc>
          <w:tcPr>
            <w:tcW w:w="1097" w:type="dxa"/>
            <w:gridSpan w:val="2"/>
            <w:tcBorders>
              <w:top w:val="single" w:sz="8" w:space="0" w:color="auto"/>
              <w:left w:val="nil"/>
              <w:bottom w:val="single" w:sz="4" w:space="0" w:color="auto"/>
              <w:right w:val="single" w:sz="4" w:space="0" w:color="auto"/>
            </w:tcBorders>
            <w:noWrap/>
            <w:vAlign w:val="center"/>
            <w:hideMark/>
          </w:tcPr>
          <w:p w14:paraId="26074679" w14:textId="77777777" w:rsidR="006D4F1B" w:rsidRPr="006D0EB4" w:rsidRDefault="006D4F1B" w:rsidP="001508D8">
            <w:pPr>
              <w:spacing w:line="256" w:lineRule="auto"/>
              <w:ind w:right="71"/>
              <w:jc w:val="right"/>
              <w:rPr>
                <w:rFonts w:asciiTheme="minorHAnsi" w:hAnsiTheme="minorHAnsi" w:cstheme="minorHAnsi"/>
                <w:sz w:val="20"/>
                <w:szCs w:val="20"/>
              </w:rPr>
            </w:pPr>
            <w:r w:rsidRPr="006D0EB4">
              <w:rPr>
                <w:rFonts w:asciiTheme="minorHAnsi" w:hAnsiTheme="minorHAnsi" w:cstheme="minorHAnsi"/>
                <w:sz w:val="20"/>
                <w:szCs w:val="20"/>
              </w:rPr>
              <w:t>0</w:t>
            </w:r>
          </w:p>
        </w:tc>
        <w:tc>
          <w:tcPr>
            <w:tcW w:w="1128" w:type="dxa"/>
            <w:gridSpan w:val="2"/>
            <w:tcBorders>
              <w:top w:val="single" w:sz="8" w:space="0" w:color="auto"/>
              <w:left w:val="single" w:sz="4" w:space="0" w:color="auto"/>
              <w:bottom w:val="single" w:sz="4" w:space="0" w:color="auto"/>
              <w:right w:val="single" w:sz="12" w:space="0" w:color="auto"/>
            </w:tcBorders>
            <w:hideMark/>
          </w:tcPr>
          <w:p w14:paraId="00276860" w14:textId="77777777" w:rsidR="006D4F1B" w:rsidRPr="006D0EB4" w:rsidRDefault="006D4F1B" w:rsidP="001508D8">
            <w:pPr>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w:t>
            </w:r>
          </w:p>
        </w:tc>
      </w:tr>
      <w:tr w:rsidR="006D4F1B" w:rsidRPr="006D0EB4" w14:paraId="704D4A69"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49DC5E20"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2" w:space="0" w:color="auto"/>
              <w:left w:val="double" w:sz="2" w:space="0" w:color="auto"/>
              <w:bottom w:val="single" w:sz="12" w:space="0" w:color="auto"/>
              <w:right w:val="single" w:sz="4" w:space="0" w:color="auto"/>
            </w:tcBorders>
            <w:vAlign w:val="center"/>
            <w:hideMark/>
          </w:tcPr>
          <w:p w14:paraId="2613C71C" w14:textId="77777777" w:rsidR="006D4F1B" w:rsidRPr="006D0EB4" w:rsidRDefault="006D4F1B" w:rsidP="001508D8">
            <w:pPr>
              <w:spacing w:line="256" w:lineRule="auto"/>
              <w:rPr>
                <w:rFonts w:asciiTheme="minorHAnsi" w:hAnsiTheme="minorHAnsi" w:cstheme="minorHAnsi"/>
                <w:sz w:val="20"/>
                <w:szCs w:val="20"/>
              </w:rPr>
            </w:pPr>
          </w:p>
        </w:tc>
        <w:tc>
          <w:tcPr>
            <w:tcW w:w="877" w:type="dxa"/>
            <w:vMerge/>
            <w:tcBorders>
              <w:top w:val="single" w:sz="8" w:space="0" w:color="auto"/>
              <w:left w:val="single" w:sz="4" w:space="0" w:color="auto"/>
              <w:bottom w:val="single" w:sz="4" w:space="0" w:color="auto"/>
              <w:right w:val="single" w:sz="4" w:space="0" w:color="auto"/>
            </w:tcBorders>
            <w:vAlign w:val="center"/>
            <w:hideMark/>
          </w:tcPr>
          <w:p w14:paraId="5FCA3A63" w14:textId="77777777" w:rsidR="006D4F1B" w:rsidRPr="006D0EB4" w:rsidRDefault="006D4F1B" w:rsidP="001508D8">
            <w:pPr>
              <w:spacing w:line="256" w:lineRule="auto"/>
              <w:rPr>
                <w:rFonts w:asciiTheme="minorHAnsi" w:hAnsiTheme="minorHAnsi" w:cstheme="minorHAnsi"/>
                <w:sz w:val="20"/>
                <w:szCs w:val="20"/>
              </w:rPr>
            </w:pPr>
          </w:p>
        </w:tc>
        <w:tc>
          <w:tcPr>
            <w:tcW w:w="3116" w:type="dxa"/>
            <w:gridSpan w:val="2"/>
            <w:tcBorders>
              <w:top w:val="single" w:sz="8" w:space="0" w:color="auto"/>
              <w:left w:val="single" w:sz="4" w:space="0" w:color="auto"/>
              <w:bottom w:val="single" w:sz="4" w:space="0" w:color="auto"/>
              <w:right w:val="single" w:sz="4" w:space="0" w:color="auto"/>
            </w:tcBorders>
            <w:vAlign w:val="center"/>
            <w:hideMark/>
          </w:tcPr>
          <w:p w14:paraId="6C2ED129"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Malé podniky</w:t>
            </w:r>
          </w:p>
        </w:tc>
        <w:tc>
          <w:tcPr>
            <w:tcW w:w="974" w:type="dxa"/>
            <w:gridSpan w:val="2"/>
            <w:tcBorders>
              <w:top w:val="single" w:sz="8" w:space="0" w:color="auto"/>
              <w:left w:val="nil"/>
              <w:bottom w:val="single" w:sz="4" w:space="0" w:color="auto"/>
              <w:right w:val="single" w:sz="4" w:space="0" w:color="auto"/>
            </w:tcBorders>
            <w:vAlign w:val="center"/>
            <w:hideMark/>
          </w:tcPr>
          <w:p w14:paraId="5B1B12FF" w14:textId="77777777" w:rsidR="006D4F1B" w:rsidRPr="006D0EB4" w:rsidRDefault="006D4F1B" w:rsidP="001508D8">
            <w:pPr>
              <w:spacing w:line="256" w:lineRule="auto"/>
              <w:jc w:val="right"/>
              <w:rPr>
                <w:rFonts w:asciiTheme="minorHAnsi" w:hAnsiTheme="minorHAnsi" w:cstheme="minorHAnsi"/>
                <w:bCs/>
                <w:sz w:val="20"/>
                <w:szCs w:val="20"/>
              </w:rPr>
            </w:pPr>
            <w:r w:rsidRPr="006D0EB4">
              <w:rPr>
                <w:rFonts w:asciiTheme="minorHAnsi" w:hAnsiTheme="minorHAnsi" w:cstheme="minorHAnsi"/>
                <w:bCs/>
                <w:sz w:val="20"/>
                <w:szCs w:val="20"/>
              </w:rPr>
              <w:t>0</w:t>
            </w:r>
          </w:p>
        </w:tc>
        <w:tc>
          <w:tcPr>
            <w:tcW w:w="1097" w:type="dxa"/>
            <w:gridSpan w:val="2"/>
            <w:tcBorders>
              <w:top w:val="single" w:sz="8" w:space="0" w:color="auto"/>
              <w:left w:val="nil"/>
              <w:bottom w:val="single" w:sz="4" w:space="0" w:color="auto"/>
              <w:right w:val="single" w:sz="4" w:space="0" w:color="auto"/>
            </w:tcBorders>
            <w:noWrap/>
            <w:vAlign w:val="center"/>
            <w:hideMark/>
          </w:tcPr>
          <w:p w14:paraId="38B49947" w14:textId="77777777" w:rsidR="006D4F1B" w:rsidRPr="006D0EB4" w:rsidRDefault="006D4F1B" w:rsidP="001508D8">
            <w:pPr>
              <w:spacing w:line="256" w:lineRule="auto"/>
              <w:ind w:right="71"/>
              <w:jc w:val="right"/>
              <w:rPr>
                <w:rFonts w:asciiTheme="minorHAnsi" w:hAnsiTheme="minorHAnsi" w:cstheme="minorHAnsi"/>
                <w:sz w:val="20"/>
                <w:szCs w:val="20"/>
              </w:rPr>
            </w:pPr>
            <w:r w:rsidRPr="006D0EB4">
              <w:rPr>
                <w:rFonts w:asciiTheme="minorHAnsi" w:hAnsiTheme="minorHAnsi" w:cstheme="minorHAnsi"/>
                <w:sz w:val="20"/>
                <w:szCs w:val="20"/>
              </w:rPr>
              <w:t>0</w:t>
            </w:r>
          </w:p>
        </w:tc>
        <w:tc>
          <w:tcPr>
            <w:tcW w:w="1128" w:type="dxa"/>
            <w:gridSpan w:val="2"/>
            <w:tcBorders>
              <w:top w:val="single" w:sz="8" w:space="0" w:color="auto"/>
              <w:left w:val="single" w:sz="4" w:space="0" w:color="auto"/>
              <w:bottom w:val="single" w:sz="4" w:space="0" w:color="auto"/>
              <w:right w:val="single" w:sz="12" w:space="0" w:color="auto"/>
            </w:tcBorders>
            <w:hideMark/>
          </w:tcPr>
          <w:p w14:paraId="03690E11" w14:textId="77777777" w:rsidR="006D4F1B" w:rsidRPr="006D0EB4" w:rsidRDefault="006D4F1B" w:rsidP="001508D8">
            <w:pPr>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w:t>
            </w:r>
          </w:p>
        </w:tc>
      </w:tr>
      <w:tr w:rsidR="006D4F1B" w:rsidRPr="006D0EB4" w14:paraId="0BDF350F"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602C8CBD"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2" w:space="0" w:color="auto"/>
              <w:left w:val="double" w:sz="2" w:space="0" w:color="auto"/>
              <w:bottom w:val="single" w:sz="12" w:space="0" w:color="auto"/>
              <w:right w:val="single" w:sz="4" w:space="0" w:color="auto"/>
            </w:tcBorders>
            <w:vAlign w:val="center"/>
            <w:hideMark/>
          </w:tcPr>
          <w:p w14:paraId="28200C66" w14:textId="77777777" w:rsidR="006D4F1B" w:rsidRPr="006D0EB4" w:rsidRDefault="006D4F1B" w:rsidP="001508D8">
            <w:pPr>
              <w:spacing w:line="256" w:lineRule="auto"/>
              <w:rPr>
                <w:rFonts w:asciiTheme="minorHAnsi" w:hAnsiTheme="minorHAnsi" w:cstheme="minorHAnsi"/>
                <w:sz w:val="20"/>
                <w:szCs w:val="20"/>
              </w:rPr>
            </w:pPr>
          </w:p>
        </w:tc>
        <w:tc>
          <w:tcPr>
            <w:tcW w:w="877" w:type="dxa"/>
            <w:vMerge/>
            <w:tcBorders>
              <w:top w:val="single" w:sz="8" w:space="0" w:color="auto"/>
              <w:left w:val="single" w:sz="4" w:space="0" w:color="auto"/>
              <w:bottom w:val="single" w:sz="4" w:space="0" w:color="auto"/>
              <w:right w:val="single" w:sz="4" w:space="0" w:color="auto"/>
            </w:tcBorders>
            <w:vAlign w:val="center"/>
            <w:hideMark/>
          </w:tcPr>
          <w:p w14:paraId="70886172" w14:textId="77777777" w:rsidR="006D4F1B" w:rsidRPr="006D0EB4" w:rsidRDefault="006D4F1B" w:rsidP="001508D8">
            <w:pPr>
              <w:spacing w:line="256" w:lineRule="auto"/>
              <w:rPr>
                <w:rFonts w:asciiTheme="minorHAnsi" w:hAnsiTheme="minorHAnsi" w:cstheme="minorHAnsi"/>
                <w:sz w:val="20"/>
                <w:szCs w:val="20"/>
              </w:rPr>
            </w:pPr>
          </w:p>
        </w:tc>
        <w:tc>
          <w:tcPr>
            <w:tcW w:w="3116" w:type="dxa"/>
            <w:gridSpan w:val="2"/>
            <w:tcBorders>
              <w:top w:val="single" w:sz="8" w:space="0" w:color="auto"/>
              <w:left w:val="single" w:sz="4" w:space="0" w:color="auto"/>
              <w:bottom w:val="single" w:sz="4" w:space="0" w:color="auto"/>
              <w:right w:val="single" w:sz="4" w:space="0" w:color="auto"/>
            </w:tcBorders>
            <w:vAlign w:val="center"/>
            <w:hideMark/>
          </w:tcPr>
          <w:p w14:paraId="3B0F3BB0"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Stredné podniky</w:t>
            </w:r>
          </w:p>
        </w:tc>
        <w:tc>
          <w:tcPr>
            <w:tcW w:w="974" w:type="dxa"/>
            <w:gridSpan w:val="2"/>
            <w:tcBorders>
              <w:top w:val="single" w:sz="8" w:space="0" w:color="auto"/>
              <w:left w:val="nil"/>
              <w:bottom w:val="single" w:sz="4" w:space="0" w:color="auto"/>
              <w:right w:val="single" w:sz="4" w:space="0" w:color="auto"/>
            </w:tcBorders>
            <w:vAlign w:val="center"/>
            <w:hideMark/>
          </w:tcPr>
          <w:p w14:paraId="5271B0B8" w14:textId="77777777" w:rsidR="006D4F1B" w:rsidRPr="006D0EB4" w:rsidRDefault="006D4F1B" w:rsidP="001508D8">
            <w:pPr>
              <w:spacing w:line="256" w:lineRule="auto"/>
              <w:jc w:val="right"/>
              <w:rPr>
                <w:rFonts w:asciiTheme="minorHAnsi" w:hAnsiTheme="minorHAnsi" w:cstheme="minorHAnsi"/>
                <w:bCs/>
                <w:sz w:val="20"/>
                <w:szCs w:val="20"/>
              </w:rPr>
            </w:pPr>
            <w:r w:rsidRPr="006D0EB4">
              <w:rPr>
                <w:rFonts w:asciiTheme="minorHAnsi" w:hAnsiTheme="minorHAnsi" w:cstheme="minorHAnsi"/>
                <w:bCs/>
                <w:sz w:val="20"/>
                <w:szCs w:val="20"/>
              </w:rPr>
              <w:t>0</w:t>
            </w:r>
          </w:p>
        </w:tc>
        <w:tc>
          <w:tcPr>
            <w:tcW w:w="1097" w:type="dxa"/>
            <w:gridSpan w:val="2"/>
            <w:tcBorders>
              <w:top w:val="single" w:sz="8" w:space="0" w:color="auto"/>
              <w:left w:val="nil"/>
              <w:bottom w:val="single" w:sz="4" w:space="0" w:color="auto"/>
              <w:right w:val="single" w:sz="4" w:space="0" w:color="auto"/>
            </w:tcBorders>
            <w:noWrap/>
            <w:vAlign w:val="center"/>
            <w:hideMark/>
          </w:tcPr>
          <w:p w14:paraId="6E955E41" w14:textId="77777777" w:rsidR="006D4F1B" w:rsidRPr="006D0EB4" w:rsidRDefault="006D4F1B" w:rsidP="001508D8">
            <w:pPr>
              <w:tabs>
                <w:tab w:val="left" w:pos="0"/>
              </w:tabs>
              <w:spacing w:line="256" w:lineRule="auto"/>
              <w:ind w:right="71"/>
              <w:jc w:val="right"/>
              <w:rPr>
                <w:rFonts w:asciiTheme="minorHAnsi" w:hAnsiTheme="minorHAnsi" w:cstheme="minorHAnsi"/>
                <w:sz w:val="20"/>
                <w:szCs w:val="20"/>
              </w:rPr>
            </w:pPr>
            <w:r w:rsidRPr="006D0EB4">
              <w:rPr>
                <w:rFonts w:asciiTheme="minorHAnsi" w:hAnsiTheme="minorHAnsi" w:cstheme="minorHAnsi"/>
                <w:sz w:val="20"/>
                <w:szCs w:val="20"/>
              </w:rPr>
              <w:t>0</w:t>
            </w:r>
          </w:p>
        </w:tc>
        <w:tc>
          <w:tcPr>
            <w:tcW w:w="1128" w:type="dxa"/>
            <w:gridSpan w:val="2"/>
            <w:tcBorders>
              <w:top w:val="single" w:sz="8" w:space="0" w:color="auto"/>
              <w:left w:val="single" w:sz="4" w:space="0" w:color="auto"/>
              <w:bottom w:val="single" w:sz="4" w:space="0" w:color="auto"/>
              <w:right w:val="single" w:sz="12" w:space="0" w:color="auto"/>
            </w:tcBorders>
            <w:hideMark/>
          </w:tcPr>
          <w:p w14:paraId="734DD487" w14:textId="77777777" w:rsidR="006D4F1B" w:rsidRPr="006D0EB4" w:rsidRDefault="006D4F1B" w:rsidP="001508D8">
            <w:pPr>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w:t>
            </w:r>
          </w:p>
        </w:tc>
      </w:tr>
      <w:tr w:rsidR="006D4F1B" w:rsidRPr="006D0EB4" w14:paraId="0905B131"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0D03373A"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2" w:space="0" w:color="auto"/>
              <w:left w:val="double" w:sz="2" w:space="0" w:color="auto"/>
              <w:bottom w:val="single" w:sz="12" w:space="0" w:color="auto"/>
              <w:right w:val="single" w:sz="4" w:space="0" w:color="auto"/>
            </w:tcBorders>
            <w:vAlign w:val="center"/>
            <w:hideMark/>
          </w:tcPr>
          <w:p w14:paraId="4F6A5714" w14:textId="77777777" w:rsidR="006D4F1B" w:rsidRPr="006D0EB4" w:rsidRDefault="006D4F1B" w:rsidP="001508D8">
            <w:pPr>
              <w:spacing w:line="256" w:lineRule="auto"/>
              <w:rPr>
                <w:rFonts w:asciiTheme="minorHAnsi" w:hAnsiTheme="minorHAnsi" w:cstheme="minorHAnsi"/>
                <w:sz w:val="20"/>
                <w:szCs w:val="20"/>
              </w:rPr>
            </w:pPr>
          </w:p>
        </w:tc>
        <w:tc>
          <w:tcPr>
            <w:tcW w:w="3994" w:type="dxa"/>
            <w:gridSpan w:val="3"/>
            <w:tcBorders>
              <w:top w:val="single" w:sz="4" w:space="0" w:color="auto"/>
              <w:left w:val="single" w:sz="4" w:space="0" w:color="auto"/>
              <w:bottom w:val="single" w:sz="12" w:space="0" w:color="auto"/>
              <w:right w:val="single" w:sz="4" w:space="0" w:color="auto"/>
            </w:tcBorders>
            <w:vAlign w:val="center"/>
            <w:hideMark/>
          </w:tcPr>
          <w:p w14:paraId="3D9B7E25"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Veľké podniky</w:t>
            </w:r>
          </w:p>
        </w:tc>
        <w:tc>
          <w:tcPr>
            <w:tcW w:w="974" w:type="dxa"/>
            <w:gridSpan w:val="2"/>
            <w:tcBorders>
              <w:top w:val="single" w:sz="4" w:space="0" w:color="auto"/>
              <w:left w:val="nil"/>
              <w:bottom w:val="single" w:sz="12" w:space="0" w:color="auto"/>
              <w:right w:val="single" w:sz="4" w:space="0" w:color="auto"/>
            </w:tcBorders>
            <w:vAlign w:val="center"/>
            <w:hideMark/>
          </w:tcPr>
          <w:p w14:paraId="11433027" w14:textId="77777777" w:rsidR="006D4F1B" w:rsidRPr="006D0EB4" w:rsidRDefault="006D4F1B" w:rsidP="001508D8">
            <w:pPr>
              <w:spacing w:line="256" w:lineRule="auto"/>
              <w:jc w:val="right"/>
              <w:rPr>
                <w:rFonts w:asciiTheme="minorHAnsi" w:hAnsiTheme="minorHAnsi" w:cstheme="minorHAnsi"/>
                <w:bCs/>
                <w:sz w:val="20"/>
                <w:szCs w:val="20"/>
              </w:rPr>
            </w:pPr>
            <w:r w:rsidRPr="006D0EB4">
              <w:rPr>
                <w:rFonts w:asciiTheme="minorHAnsi" w:hAnsiTheme="minorHAnsi" w:cstheme="minorHAnsi"/>
                <w:bCs/>
                <w:sz w:val="20"/>
                <w:szCs w:val="20"/>
              </w:rPr>
              <w:t xml:space="preserve">2,36     </w:t>
            </w:r>
          </w:p>
        </w:tc>
        <w:tc>
          <w:tcPr>
            <w:tcW w:w="1097" w:type="dxa"/>
            <w:gridSpan w:val="2"/>
            <w:tcBorders>
              <w:top w:val="single" w:sz="8" w:space="0" w:color="auto"/>
              <w:left w:val="nil"/>
              <w:bottom w:val="single" w:sz="12" w:space="0" w:color="auto"/>
              <w:right w:val="single" w:sz="4" w:space="0" w:color="auto"/>
            </w:tcBorders>
            <w:noWrap/>
            <w:vAlign w:val="center"/>
            <w:hideMark/>
          </w:tcPr>
          <w:p w14:paraId="599B126C" w14:textId="77777777" w:rsidR="006D4F1B" w:rsidRPr="006D0EB4" w:rsidRDefault="006D4F1B" w:rsidP="001508D8">
            <w:pPr>
              <w:spacing w:line="256" w:lineRule="auto"/>
              <w:jc w:val="right"/>
              <w:rPr>
                <w:rFonts w:asciiTheme="minorHAnsi" w:hAnsiTheme="minorHAnsi" w:cstheme="minorHAnsi"/>
                <w:bCs/>
                <w:sz w:val="20"/>
                <w:szCs w:val="20"/>
              </w:rPr>
            </w:pPr>
            <w:r w:rsidRPr="006D0EB4">
              <w:rPr>
                <w:rFonts w:asciiTheme="minorHAnsi" w:hAnsiTheme="minorHAnsi" w:cstheme="minorHAnsi"/>
                <w:bCs/>
                <w:sz w:val="20"/>
                <w:szCs w:val="20"/>
              </w:rPr>
              <w:t xml:space="preserve">  100    </w:t>
            </w:r>
          </w:p>
        </w:tc>
        <w:tc>
          <w:tcPr>
            <w:tcW w:w="1128" w:type="dxa"/>
            <w:gridSpan w:val="2"/>
            <w:tcBorders>
              <w:top w:val="single" w:sz="8" w:space="0" w:color="auto"/>
              <w:left w:val="single" w:sz="4" w:space="0" w:color="auto"/>
              <w:bottom w:val="single" w:sz="12" w:space="0" w:color="auto"/>
              <w:right w:val="single" w:sz="12" w:space="0" w:color="auto"/>
            </w:tcBorders>
            <w:vAlign w:val="center"/>
            <w:hideMark/>
          </w:tcPr>
          <w:p w14:paraId="2D1E934D" w14:textId="77777777" w:rsidR="006D4F1B" w:rsidRPr="006D0EB4" w:rsidRDefault="006D4F1B" w:rsidP="001508D8">
            <w:pPr>
              <w:spacing w:line="256" w:lineRule="auto"/>
              <w:jc w:val="right"/>
              <w:rPr>
                <w:rFonts w:asciiTheme="minorHAnsi" w:hAnsiTheme="minorHAnsi" w:cstheme="minorHAnsi"/>
                <w:bCs/>
                <w:sz w:val="20"/>
                <w:szCs w:val="20"/>
              </w:rPr>
            </w:pPr>
            <w:r w:rsidRPr="006D0EB4">
              <w:rPr>
                <w:rFonts w:asciiTheme="minorHAnsi" w:hAnsiTheme="minorHAnsi" w:cstheme="minorHAnsi"/>
                <w:bCs/>
                <w:sz w:val="20"/>
                <w:szCs w:val="20"/>
              </w:rPr>
              <w:t>8</w:t>
            </w:r>
          </w:p>
        </w:tc>
      </w:tr>
      <w:tr w:rsidR="006D4F1B" w:rsidRPr="006D0EB4" w14:paraId="41B07164" w14:textId="77777777" w:rsidTr="00482F04">
        <w:trPr>
          <w:trHeight w:val="346"/>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3A6B4B77" w14:textId="77777777" w:rsidR="006D4F1B" w:rsidRPr="006D0EB4" w:rsidRDefault="006D4F1B" w:rsidP="001508D8">
            <w:pPr>
              <w:spacing w:line="256" w:lineRule="auto"/>
              <w:rPr>
                <w:rFonts w:asciiTheme="minorHAnsi" w:hAnsiTheme="minorHAnsi" w:cstheme="minorHAnsi"/>
                <w:b/>
                <w:sz w:val="20"/>
                <w:szCs w:val="20"/>
              </w:rPr>
            </w:pPr>
          </w:p>
        </w:tc>
        <w:tc>
          <w:tcPr>
            <w:tcW w:w="2778" w:type="dxa"/>
            <w:gridSpan w:val="3"/>
            <w:tcBorders>
              <w:top w:val="single" w:sz="12" w:space="0" w:color="auto"/>
              <w:left w:val="double" w:sz="2" w:space="0" w:color="auto"/>
              <w:bottom w:val="single" w:sz="2" w:space="0" w:color="auto"/>
              <w:right w:val="single" w:sz="2" w:space="0" w:color="auto"/>
            </w:tcBorders>
            <w:vAlign w:val="center"/>
            <w:hideMark/>
          </w:tcPr>
          <w:p w14:paraId="413AE394"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 xml:space="preserve">Podľa NUTS II </w:t>
            </w:r>
            <w:r w:rsidRPr="006D0EB4">
              <w:rPr>
                <w:rFonts w:asciiTheme="minorHAnsi" w:hAnsiTheme="minorHAnsi" w:cstheme="minorHAnsi"/>
                <w:sz w:val="20"/>
                <w:szCs w:val="20"/>
              </w:rPr>
              <w:t xml:space="preserve">(v mil. </w:t>
            </w:r>
            <w:r>
              <w:rPr>
                <w:rFonts w:asciiTheme="minorHAnsi" w:hAnsiTheme="minorHAnsi" w:cstheme="minorHAnsi"/>
                <w:sz w:val="20"/>
                <w:szCs w:val="20"/>
              </w:rPr>
              <w:t>eur</w:t>
            </w:r>
            <w:r w:rsidRPr="006D0EB4">
              <w:rPr>
                <w:rFonts w:asciiTheme="minorHAnsi" w:hAnsiTheme="minorHAnsi" w:cstheme="minorHAnsi"/>
                <w:sz w:val="20"/>
                <w:szCs w:val="20"/>
              </w:rPr>
              <w:t>)</w:t>
            </w:r>
          </w:p>
        </w:tc>
        <w:tc>
          <w:tcPr>
            <w:tcW w:w="1849" w:type="dxa"/>
            <w:gridSpan w:val="2"/>
            <w:tcBorders>
              <w:top w:val="single" w:sz="12" w:space="0" w:color="auto"/>
              <w:left w:val="single" w:sz="2" w:space="0" w:color="auto"/>
              <w:bottom w:val="single" w:sz="2" w:space="0" w:color="auto"/>
              <w:right w:val="single" w:sz="4" w:space="0" w:color="auto"/>
            </w:tcBorders>
            <w:vAlign w:val="center"/>
            <w:hideMark/>
          </w:tcPr>
          <w:p w14:paraId="0B398C52"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 xml:space="preserve">Podľa NUTS III </w:t>
            </w:r>
          </w:p>
          <w:p w14:paraId="39C8DA51"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sz w:val="20"/>
                <w:szCs w:val="20"/>
              </w:rPr>
              <w:t xml:space="preserve">(v mil. </w:t>
            </w:r>
            <w:r>
              <w:rPr>
                <w:rFonts w:asciiTheme="minorHAnsi" w:hAnsiTheme="minorHAnsi" w:cstheme="minorHAnsi"/>
                <w:sz w:val="20"/>
                <w:szCs w:val="20"/>
              </w:rPr>
              <w:t>eur</w:t>
            </w:r>
            <w:r w:rsidRPr="006D0EB4">
              <w:rPr>
                <w:rFonts w:asciiTheme="minorHAnsi" w:hAnsiTheme="minorHAnsi" w:cstheme="minorHAnsi"/>
                <w:sz w:val="20"/>
                <w:szCs w:val="20"/>
              </w:rPr>
              <w:t>)</w:t>
            </w:r>
          </w:p>
        </w:tc>
        <w:tc>
          <w:tcPr>
            <w:tcW w:w="974" w:type="dxa"/>
            <w:gridSpan w:val="2"/>
            <w:tcBorders>
              <w:top w:val="single" w:sz="12" w:space="0" w:color="auto"/>
              <w:left w:val="single" w:sz="2" w:space="0" w:color="auto"/>
              <w:bottom w:val="single" w:sz="2" w:space="0" w:color="auto"/>
              <w:right w:val="single" w:sz="4" w:space="0" w:color="auto"/>
            </w:tcBorders>
            <w:vAlign w:val="center"/>
            <w:hideMark/>
          </w:tcPr>
          <w:p w14:paraId="696C1590" w14:textId="77777777" w:rsidR="006D4F1B" w:rsidRPr="006D0EB4" w:rsidRDefault="006D4F1B" w:rsidP="001508D8">
            <w:pPr>
              <w:spacing w:line="256" w:lineRule="auto"/>
              <w:jc w:val="center"/>
              <w:rPr>
                <w:rFonts w:asciiTheme="minorHAnsi" w:hAnsiTheme="minorHAnsi" w:cstheme="minorHAnsi"/>
                <w:b/>
                <w:sz w:val="20"/>
                <w:szCs w:val="20"/>
              </w:rPr>
            </w:pPr>
            <w:r w:rsidRPr="006D0EB4">
              <w:rPr>
                <w:rFonts w:asciiTheme="minorHAnsi" w:hAnsiTheme="minorHAnsi" w:cstheme="minorHAnsi"/>
                <w:b/>
                <w:sz w:val="20"/>
                <w:szCs w:val="20"/>
              </w:rPr>
              <w:t>2,36</w:t>
            </w:r>
          </w:p>
        </w:tc>
        <w:tc>
          <w:tcPr>
            <w:tcW w:w="1097" w:type="dxa"/>
            <w:gridSpan w:val="2"/>
            <w:tcBorders>
              <w:top w:val="single" w:sz="12" w:space="0" w:color="auto"/>
              <w:left w:val="single" w:sz="4" w:space="0" w:color="auto"/>
              <w:bottom w:val="single" w:sz="2" w:space="0" w:color="auto"/>
              <w:right w:val="single" w:sz="4" w:space="0" w:color="auto"/>
            </w:tcBorders>
            <w:vAlign w:val="center"/>
            <w:hideMark/>
          </w:tcPr>
          <w:p w14:paraId="728421BB" w14:textId="77777777" w:rsidR="006D4F1B" w:rsidRPr="006D0EB4" w:rsidRDefault="006D4F1B" w:rsidP="001508D8">
            <w:pPr>
              <w:spacing w:line="256" w:lineRule="auto"/>
              <w:ind w:right="71"/>
              <w:jc w:val="center"/>
              <w:rPr>
                <w:rFonts w:asciiTheme="minorHAnsi" w:hAnsiTheme="minorHAnsi" w:cstheme="minorHAnsi"/>
                <w:b/>
                <w:sz w:val="20"/>
                <w:szCs w:val="20"/>
              </w:rPr>
            </w:pPr>
            <w:r w:rsidRPr="006D0EB4">
              <w:rPr>
                <w:rFonts w:asciiTheme="minorHAnsi" w:hAnsiTheme="minorHAnsi" w:cstheme="minorHAnsi"/>
                <w:b/>
                <w:sz w:val="20"/>
                <w:szCs w:val="20"/>
              </w:rPr>
              <w:t>Podiel</w:t>
            </w:r>
          </w:p>
          <w:p w14:paraId="520EFCC4" w14:textId="77777777" w:rsidR="006D4F1B" w:rsidRPr="006D0EB4" w:rsidRDefault="006D4F1B" w:rsidP="001508D8">
            <w:pPr>
              <w:tabs>
                <w:tab w:val="left" w:pos="0"/>
              </w:tabs>
              <w:spacing w:line="256" w:lineRule="auto"/>
              <w:jc w:val="center"/>
              <w:rPr>
                <w:rFonts w:asciiTheme="minorHAnsi" w:hAnsiTheme="minorHAnsi" w:cstheme="minorHAnsi"/>
                <w:sz w:val="20"/>
                <w:szCs w:val="20"/>
              </w:rPr>
            </w:pPr>
            <w:r w:rsidRPr="006D0EB4">
              <w:rPr>
                <w:rFonts w:asciiTheme="minorHAnsi" w:hAnsiTheme="minorHAnsi" w:cstheme="minorHAnsi"/>
                <w:sz w:val="20"/>
                <w:szCs w:val="20"/>
              </w:rPr>
              <w:t>(v %)</w:t>
            </w:r>
          </w:p>
        </w:tc>
        <w:tc>
          <w:tcPr>
            <w:tcW w:w="1114" w:type="dxa"/>
            <w:tcBorders>
              <w:top w:val="single" w:sz="12" w:space="0" w:color="auto"/>
              <w:left w:val="single" w:sz="4" w:space="0" w:color="auto"/>
              <w:bottom w:val="single" w:sz="2" w:space="0" w:color="auto"/>
              <w:right w:val="single" w:sz="12" w:space="0" w:color="auto"/>
            </w:tcBorders>
            <w:hideMark/>
          </w:tcPr>
          <w:p w14:paraId="2403D288" w14:textId="77777777" w:rsidR="006D4F1B" w:rsidRPr="006D0EB4" w:rsidRDefault="006D4F1B" w:rsidP="001508D8">
            <w:pPr>
              <w:spacing w:line="256" w:lineRule="auto"/>
              <w:jc w:val="center"/>
              <w:rPr>
                <w:rFonts w:asciiTheme="minorHAnsi" w:hAnsiTheme="minorHAnsi" w:cstheme="minorHAnsi"/>
                <w:b/>
                <w:sz w:val="20"/>
                <w:szCs w:val="20"/>
              </w:rPr>
            </w:pPr>
            <w:r w:rsidRPr="006D0EB4">
              <w:rPr>
                <w:rFonts w:asciiTheme="minorHAnsi" w:hAnsiTheme="minorHAnsi" w:cstheme="minorHAnsi"/>
                <w:b/>
                <w:sz w:val="20"/>
                <w:szCs w:val="20"/>
              </w:rPr>
              <w:t>Počet príjemcov</w:t>
            </w:r>
          </w:p>
        </w:tc>
      </w:tr>
      <w:tr w:rsidR="006D4F1B" w:rsidRPr="006D0EB4" w14:paraId="6A38D89E" w14:textId="77777777" w:rsidTr="00482F04">
        <w:trPr>
          <w:trHeight w:hRule="exact" w:val="197"/>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28FAD5D5"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val="restart"/>
            <w:tcBorders>
              <w:top w:val="single" w:sz="4" w:space="0" w:color="auto"/>
              <w:left w:val="double" w:sz="2" w:space="0" w:color="auto"/>
              <w:bottom w:val="single" w:sz="12" w:space="0" w:color="auto"/>
              <w:right w:val="single" w:sz="2" w:space="0" w:color="auto"/>
            </w:tcBorders>
            <w:textDirection w:val="btLr"/>
            <w:vAlign w:val="center"/>
          </w:tcPr>
          <w:p w14:paraId="39EA1150" w14:textId="77777777" w:rsidR="006D4F1B" w:rsidRPr="006D0EB4" w:rsidRDefault="006D4F1B" w:rsidP="001508D8">
            <w:pPr>
              <w:spacing w:line="256" w:lineRule="auto"/>
              <w:ind w:left="113" w:right="426"/>
              <w:jc w:val="center"/>
              <w:rPr>
                <w:rFonts w:asciiTheme="minorHAnsi" w:hAnsiTheme="minorHAnsi" w:cstheme="minorHAnsi"/>
                <w:sz w:val="20"/>
                <w:szCs w:val="20"/>
              </w:rPr>
            </w:pPr>
            <w:r w:rsidRPr="006D0EB4">
              <w:rPr>
                <w:rFonts w:asciiTheme="minorHAnsi" w:hAnsiTheme="minorHAnsi" w:cstheme="minorHAnsi"/>
                <w:sz w:val="20"/>
                <w:szCs w:val="20"/>
              </w:rPr>
              <w:t>z toho</w:t>
            </w:r>
          </w:p>
        </w:tc>
        <w:tc>
          <w:tcPr>
            <w:tcW w:w="2158" w:type="dxa"/>
            <w:gridSpan w:val="2"/>
            <w:tcBorders>
              <w:top w:val="single" w:sz="2" w:space="0" w:color="auto"/>
              <w:left w:val="single" w:sz="2" w:space="0" w:color="auto"/>
              <w:bottom w:val="single" w:sz="2" w:space="0" w:color="auto"/>
              <w:right w:val="single" w:sz="2" w:space="0" w:color="auto"/>
            </w:tcBorders>
            <w:vAlign w:val="center"/>
            <w:hideMark/>
          </w:tcPr>
          <w:p w14:paraId="63A70818"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Bratislavský kraj</w:t>
            </w:r>
          </w:p>
        </w:tc>
        <w:tc>
          <w:tcPr>
            <w:tcW w:w="1835" w:type="dxa"/>
            <w:tcBorders>
              <w:top w:val="single" w:sz="2" w:space="0" w:color="auto"/>
              <w:left w:val="single" w:sz="2" w:space="0" w:color="auto"/>
              <w:bottom w:val="single" w:sz="2" w:space="0" w:color="auto"/>
              <w:right w:val="single" w:sz="4" w:space="0" w:color="auto"/>
            </w:tcBorders>
            <w:vAlign w:val="center"/>
            <w:hideMark/>
          </w:tcPr>
          <w:p w14:paraId="19EE7F5A"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Bratislavský kraj</w:t>
            </w:r>
          </w:p>
        </w:tc>
        <w:tc>
          <w:tcPr>
            <w:tcW w:w="974" w:type="dxa"/>
            <w:gridSpan w:val="2"/>
            <w:tcBorders>
              <w:top w:val="single" w:sz="2" w:space="0" w:color="auto"/>
              <w:left w:val="single" w:sz="2" w:space="0" w:color="auto"/>
              <w:bottom w:val="single" w:sz="2" w:space="0" w:color="auto"/>
              <w:right w:val="single" w:sz="4" w:space="0" w:color="auto"/>
            </w:tcBorders>
            <w:vAlign w:val="center"/>
            <w:hideMark/>
          </w:tcPr>
          <w:p w14:paraId="6D98521F" w14:textId="77777777" w:rsidR="006D4F1B" w:rsidRPr="006D0EB4" w:rsidRDefault="006D4F1B" w:rsidP="001508D8">
            <w:pPr>
              <w:tabs>
                <w:tab w:val="left" w:pos="0"/>
              </w:tabs>
              <w:spacing w:line="256" w:lineRule="auto"/>
              <w:ind w:right="7"/>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097" w:type="dxa"/>
            <w:gridSpan w:val="2"/>
            <w:tcBorders>
              <w:top w:val="single" w:sz="2" w:space="0" w:color="auto"/>
              <w:left w:val="single" w:sz="4" w:space="0" w:color="auto"/>
              <w:bottom w:val="single" w:sz="2" w:space="0" w:color="auto"/>
              <w:right w:val="single" w:sz="4" w:space="0" w:color="auto"/>
            </w:tcBorders>
            <w:vAlign w:val="center"/>
            <w:hideMark/>
          </w:tcPr>
          <w:p w14:paraId="07935278"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128" w:type="dxa"/>
            <w:gridSpan w:val="2"/>
            <w:tcBorders>
              <w:top w:val="single" w:sz="2" w:space="0" w:color="auto"/>
              <w:left w:val="single" w:sz="4" w:space="0" w:color="auto"/>
              <w:bottom w:val="single" w:sz="2" w:space="0" w:color="auto"/>
              <w:right w:val="single" w:sz="12" w:space="0" w:color="auto"/>
            </w:tcBorders>
            <w:vAlign w:val="center"/>
            <w:hideMark/>
          </w:tcPr>
          <w:p w14:paraId="39CF8BF4" w14:textId="77777777" w:rsidR="006D4F1B" w:rsidRPr="006D0EB4" w:rsidRDefault="006D4F1B" w:rsidP="001508D8">
            <w:pPr>
              <w:tabs>
                <w:tab w:val="left" w:pos="336"/>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w:t>
            </w:r>
          </w:p>
        </w:tc>
      </w:tr>
      <w:tr w:rsidR="006D4F1B" w:rsidRPr="006D0EB4" w14:paraId="2249E9AD" w14:textId="77777777" w:rsidTr="00482F04">
        <w:trPr>
          <w:trHeight w:val="197"/>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21DB2275"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4" w:space="0" w:color="auto"/>
              <w:left w:val="double" w:sz="2" w:space="0" w:color="auto"/>
              <w:bottom w:val="single" w:sz="12" w:space="0" w:color="auto"/>
              <w:right w:val="single" w:sz="2" w:space="0" w:color="auto"/>
            </w:tcBorders>
            <w:vAlign w:val="center"/>
            <w:hideMark/>
          </w:tcPr>
          <w:p w14:paraId="6EC59C0C" w14:textId="77777777" w:rsidR="006D4F1B" w:rsidRPr="006D0EB4" w:rsidRDefault="006D4F1B" w:rsidP="001508D8">
            <w:pPr>
              <w:spacing w:line="256" w:lineRule="auto"/>
              <w:rPr>
                <w:rFonts w:asciiTheme="minorHAnsi" w:hAnsiTheme="minorHAnsi" w:cstheme="minorHAnsi"/>
                <w:sz w:val="20"/>
                <w:szCs w:val="20"/>
              </w:rPr>
            </w:pPr>
          </w:p>
        </w:tc>
        <w:tc>
          <w:tcPr>
            <w:tcW w:w="2158" w:type="dxa"/>
            <w:gridSpan w:val="2"/>
            <w:vMerge w:val="restart"/>
            <w:tcBorders>
              <w:top w:val="single" w:sz="2" w:space="0" w:color="auto"/>
              <w:left w:val="single" w:sz="2" w:space="0" w:color="auto"/>
              <w:bottom w:val="single" w:sz="2" w:space="0" w:color="auto"/>
              <w:right w:val="single" w:sz="2" w:space="0" w:color="auto"/>
            </w:tcBorders>
            <w:vAlign w:val="center"/>
          </w:tcPr>
          <w:p w14:paraId="2E006562"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Západné Slovensko</w:t>
            </w:r>
          </w:p>
          <w:p w14:paraId="603E1F2A" w14:textId="77777777" w:rsidR="006D4F1B" w:rsidRPr="006D0EB4" w:rsidRDefault="006D4F1B" w:rsidP="001508D8">
            <w:pPr>
              <w:spacing w:line="256" w:lineRule="auto"/>
              <w:ind w:right="426"/>
              <w:rPr>
                <w:rFonts w:asciiTheme="minorHAnsi" w:hAnsiTheme="minorHAnsi" w:cstheme="minorHAnsi"/>
                <w:b/>
                <w:sz w:val="20"/>
                <w:szCs w:val="20"/>
              </w:rPr>
            </w:pPr>
          </w:p>
        </w:tc>
        <w:tc>
          <w:tcPr>
            <w:tcW w:w="1835" w:type="dxa"/>
            <w:tcBorders>
              <w:top w:val="single" w:sz="2" w:space="0" w:color="auto"/>
              <w:left w:val="single" w:sz="2" w:space="0" w:color="auto"/>
              <w:bottom w:val="single" w:sz="4" w:space="0" w:color="auto"/>
              <w:right w:val="single" w:sz="4" w:space="0" w:color="auto"/>
            </w:tcBorders>
            <w:vAlign w:val="center"/>
            <w:hideMark/>
          </w:tcPr>
          <w:p w14:paraId="4A3E81CC"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Trnavský kraj</w:t>
            </w:r>
          </w:p>
        </w:tc>
        <w:tc>
          <w:tcPr>
            <w:tcW w:w="974" w:type="dxa"/>
            <w:gridSpan w:val="2"/>
            <w:tcBorders>
              <w:top w:val="single" w:sz="2" w:space="0" w:color="auto"/>
              <w:left w:val="single" w:sz="2" w:space="0" w:color="auto"/>
              <w:bottom w:val="single" w:sz="4" w:space="0" w:color="auto"/>
              <w:right w:val="single" w:sz="4" w:space="0" w:color="auto"/>
            </w:tcBorders>
            <w:vAlign w:val="center"/>
            <w:hideMark/>
          </w:tcPr>
          <w:p w14:paraId="5B064C65"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097" w:type="dxa"/>
            <w:gridSpan w:val="2"/>
            <w:tcBorders>
              <w:top w:val="single" w:sz="2" w:space="0" w:color="auto"/>
              <w:left w:val="single" w:sz="4" w:space="0" w:color="auto"/>
              <w:bottom w:val="single" w:sz="4" w:space="0" w:color="auto"/>
              <w:right w:val="single" w:sz="4" w:space="0" w:color="auto"/>
            </w:tcBorders>
            <w:vAlign w:val="center"/>
            <w:hideMark/>
          </w:tcPr>
          <w:p w14:paraId="1BAD9E01"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128" w:type="dxa"/>
            <w:gridSpan w:val="2"/>
            <w:tcBorders>
              <w:top w:val="single" w:sz="2" w:space="0" w:color="auto"/>
              <w:left w:val="single" w:sz="4" w:space="0" w:color="auto"/>
              <w:bottom w:val="single" w:sz="4" w:space="0" w:color="auto"/>
              <w:right w:val="single" w:sz="12" w:space="0" w:color="auto"/>
            </w:tcBorders>
            <w:vAlign w:val="center"/>
            <w:hideMark/>
          </w:tcPr>
          <w:p w14:paraId="6E9341A3" w14:textId="77777777" w:rsidR="006D4F1B" w:rsidRPr="006D0EB4" w:rsidRDefault="006D4F1B" w:rsidP="001508D8">
            <w:pPr>
              <w:tabs>
                <w:tab w:val="left" w:pos="336"/>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w:t>
            </w:r>
          </w:p>
        </w:tc>
      </w:tr>
      <w:tr w:rsidR="006D4F1B" w:rsidRPr="006D0EB4" w14:paraId="0B23ADEA" w14:textId="77777777" w:rsidTr="00482F04">
        <w:trPr>
          <w:trHeight w:val="197"/>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08965536"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4" w:space="0" w:color="auto"/>
              <w:left w:val="double" w:sz="2" w:space="0" w:color="auto"/>
              <w:bottom w:val="single" w:sz="12" w:space="0" w:color="auto"/>
              <w:right w:val="single" w:sz="2" w:space="0" w:color="auto"/>
            </w:tcBorders>
            <w:vAlign w:val="center"/>
            <w:hideMark/>
          </w:tcPr>
          <w:p w14:paraId="0A4FB769" w14:textId="77777777" w:rsidR="006D4F1B" w:rsidRPr="006D0EB4" w:rsidRDefault="006D4F1B" w:rsidP="001508D8">
            <w:pPr>
              <w:spacing w:line="256" w:lineRule="auto"/>
              <w:rPr>
                <w:rFonts w:asciiTheme="minorHAnsi" w:hAnsiTheme="minorHAnsi" w:cstheme="minorHAnsi"/>
                <w:sz w:val="20"/>
                <w:szCs w:val="20"/>
              </w:rPr>
            </w:pPr>
          </w:p>
        </w:tc>
        <w:tc>
          <w:tcPr>
            <w:tcW w:w="2158" w:type="dxa"/>
            <w:gridSpan w:val="2"/>
            <w:vMerge/>
            <w:tcBorders>
              <w:top w:val="single" w:sz="2" w:space="0" w:color="auto"/>
              <w:left w:val="single" w:sz="2" w:space="0" w:color="auto"/>
              <w:bottom w:val="single" w:sz="2" w:space="0" w:color="auto"/>
              <w:right w:val="single" w:sz="2" w:space="0" w:color="auto"/>
            </w:tcBorders>
            <w:vAlign w:val="center"/>
            <w:hideMark/>
          </w:tcPr>
          <w:p w14:paraId="2F3BF2DD" w14:textId="77777777" w:rsidR="006D4F1B" w:rsidRPr="006D0EB4" w:rsidRDefault="006D4F1B" w:rsidP="001508D8">
            <w:pPr>
              <w:spacing w:line="256" w:lineRule="auto"/>
              <w:rPr>
                <w:rFonts w:asciiTheme="minorHAnsi" w:hAnsiTheme="minorHAnsi" w:cstheme="minorHAnsi"/>
                <w:b/>
                <w:sz w:val="20"/>
                <w:szCs w:val="20"/>
              </w:rPr>
            </w:pPr>
          </w:p>
        </w:tc>
        <w:tc>
          <w:tcPr>
            <w:tcW w:w="1835" w:type="dxa"/>
            <w:tcBorders>
              <w:top w:val="single" w:sz="4" w:space="0" w:color="auto"/>
              <w:left w:val="single" w:sz="2" w:space="0" w:color="auto"/>
              <w:bottom w:val="single" w:sz="4" w:space="0" w:color="auto"/>
              <w:right w:val="single" w:sz="4" w:space="0" w:color="auto"/>
            </w:tcBorders>
            <w:vAlign w:val="center"/>
            <w:hideMark/>
          </w:tcPr>
          <w:p w14:paraId="29E0D936"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Trenčiansky kraj</w:t>
            </w:r>
          </w:p>
        </w:tc>
        <w:tc>
          <w:tcPr>
            <w:tcW w:w="974" w:type="dxa"/>
            <w:gridSpan w:val="2"/>
            <w:tcBorders>
              <w:top w:val="single" w:sz="4" w:space="0" w:color="auto"/>
              <w:left w:val="single" w:sz="2" w:space="0" w:color="auto"/>
              <w:bottom w:val="single" w:sz="4" w:space="0" w:color="auto"/>
              <w:right w:val="single" w:sz="4" w:space="0" w:color="auto"/>
            </w:tcBorders>
            <w:vAlign w:val="center"/>
            <w:hideMark/>
          </w:tcPr>
          <w:p w14:paraId="31F9A6B0"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14:paraId="517C7F02"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128" w:type="dxa"/>
            <w:gridSpan w:val="2"/>
            <w:tcBorders>
              <w:top w:val="single" w:sz="4" w:space="0" w:color="auto"/>
              <w:left w:val="single" w:sz="4" w:space="0" w:color="auto"/>
              <w:bottom w:val="single" w:sz="4" w:space="0" w:color="auto"/>
              <w:right w:val="single" w:sz="12" w:space="0" w:color="auto"/>
            </w:tcBorders>
            <w:vAlign w:val="center"/>
            <w:hideMark/>
          </w:tcPr>
          <w:p w14:paraId="30215E19" w14:textId="77777777" w:rsidR="006D4F1B" w:rsidRPr="006D0EB4" w:rsidRDefault="006D4F1B" w:rsidP="001508D8">
            <w:pPr>
              <w:tabs>
                <w:tab w:val="left" w:pos="336"/>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w:t>
            </w:r>
          </w:p>
        </w:tc>
      </w:tr>
      <w:tr w:rsidR="006D4F1B" w:rsidRPr="006D0EB4" w14:paraId="09AE5909" w14:textId="77777777" w:rsidTr="00482F04">
        <w:trPr>
          <w:trHeight w:val="197"/>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72D3B2C3"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4" w:space="0" w:color="auto"/>
              <w:left w:val="double" w:sz="2" w:space="0" w:color="auto"/>
              <w:bottom w:val="single" w:sz="12" w:space="0" w:color="auto"/>
              <w:right w:val="single" w:sz="2" w:space="0" w:color="auto"/>
            </w:tcBorders>
            <w:vAlign w:val="center"/>
            <w:hideMark/>
          </w:tcPr>
          <w:p w14:paraId="3E7DCAFE" w14:textId="77777777" w:rsidR="006D4F1B" w:rsidRPr="006D0EB4" w:rsidRDefault="006D4F1B" w:rsidP="001508D8">
            <w:pPr>
              <w:spacing w:line="256" w:lineRule="auto"/>
              <w:rPr>
                <w:rFonts w:asciiTheme="minorHAnsi" w:hAnsiTheme="minorHAnsi" w:cstheme="minorHAnsi"/>
                <w:sz w:val="20"/>
                <w:szCs w:val="20"/>
              </w:rPr>
            </w:pPr>
          </w:p>
        </w:tc>
        <w:tc>
          <w:tcPr>
            <w:tcW w:w="2158" w:type="dxa"/>
            <w:gridSpan w:val="2"/>
            <w:vMerge/>
            <w:tcBorders>
              <w:top w:val="single" w:sz="2" w:space="0" w:color="auto"/>
              <w:left w:val="single" w:sz="2" w:space="0" w:color="auto"/>
              <w:bottom w:val="single" w:sz="2" w:space="0" w:color="auto"/>
              <w:right w:val="single" w:sz="2" w:space="0" w:color="auto"/>
            </w:tcBorders>
            <w:vAlign w:val="center"/>
            <w:hideMark/>
          </w:tcPr>
          <w:p w14:paraId="7AE13854" w14:textId="77777777" w:rsidR="006D4F1B" w:rsidRPr="006D0EB4" w:rsidRDefault="006D4F1B" w:rsidP="001508D8">
            <w:pPr>
              <w:spacing w:line="256" w:lineRule="auto"/>
              <w:rPr>
                <w:rFonts w:asciiTheme="minorHAnsi" w:hAnsiTheme="minorHAnsi" w:cstheme="minorHAnsi"/>
                <w:b/>
                <w:sz w:val="20"/>
                <w:szCs w:val="20"/>
              </w:rPr>
            </w:pPr>
          </w:p>
        </w:tc>
        <w:tc>
          <w:tcPr>
            <w:tcW w:w="1835" w:type="dxa"/>
            <w:tcBorders>
              <w:top w:val="single" w:sz="4" w:space="0" w:color="auto"/>
              <w:left w:val="single" w:sz="2" w:space="0" w:color="auto"/>
              <w:bottom w:val="single" w:sz="4" w:space="0" w:color="auto"/>
              <w:right w:val="single" w:sz="4" w:space="0" w:color="auto"/>
            </w:tcBorders>
            <w:vAlign w:val="center"/>
            <w:hideMark/>
          </w:tcPr>
          <w:p w14:paraId="2D3AE85A"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Nitriansky kraj</w:t>
            </w:r>
          </w:p>
        </w:tc>
        <w:tc>
          <w:tcPr>
            <w:tcW w:w="974" w:type="dxa"/>
            <w:gridSpan w:val="2"/>
            <w:tcBorders>
              <w:top w:val="single" w:sz="4" w:space="0" w:color="auto"/>
              <w:left w:val="single" w:sz="2" w:space="0" w:color="auto"/>
              <w:bottom w:val="single" w:sz="2" w:space="0" w:color="auto"/>
              <w:right w:val="single" w:sz="4" w:space="0" w:color="auto"/>
            </w:tcBorders>
            <w:vAlign w:val="center"/>
            <w:hideMark/>
          </w:tcPr>
          <w:p w14:paraId="47F085A8"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097" w:type="dxa"/>
            <w:gridSpan w:val="2"/>
            <w:tcBorders>
              <w:top w:val="single" w:sz="4" w:space="0" w:color="auto"/>
              <w:left w:val="single" w:sz="4" w:space="0" w:color="auto"/>
              <w:bottom w:val="single" w:sz="2" w:space="0" w:color="auto"/>
              <w:right w:val="single" w:sz="4" w:space="0" w:color="auto"/>
            </w:tcBorders>
            <w:vAlign w:val="center"/>
            <w:hideMark/>
          </w:tcPr>
          <w:p w14:paraId="71446A60"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0,00</w:t>
            </w:r>
          </w:p>
        </w:tc>
        <w:tc>
          <w:tcPr>
            <w:tcW w:w="1128" w:type="dxa"/>
            <w:gridSpan w:val="2"/>
            <w:tcBorders>
              <w:top w:val="single" w:sz="4" w:space="0" w:color="auto"/>
              <w:left w:val="single" w:sz="4" w:space="0" w:color="auto"/>
              <w:bottom w:val="single" w:sz="2" w:space="0" w:color="auto"/>
              <w:right w:val="single" w:sz="12" w:space="0" w:color="auto"/>
            </w:tcBorders>
            <w:vAlign w:val="center"/>
            <w:hideMark/>
          </w:tcPr>
          <w:p w14:paraId="68B1D7BD" w14:textId="77777777" w:rsidR="006D4F1B" w:rsidRPr="006D0EB4" w:rsidRDefault="006D4F1B" w:rsidP="001508D8">
            <w:pPr>
              <w:tabs>
                <w:tab w:val="left" w:pos="336"/>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0</w:t>
            </w:r>
          </w:p>
        </w:tc>
      </w:tr>
      <w:tr w:rsidR="006D4F1B" w:rsidRPr="006D0EB4" w14:paraId="27848013"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009A6CEA"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4" w:space="0" w:color="auto"/>
              <w:left w:val="double" w:sz="2" w:space="0" w:color="auto"/>
              <w:bottom w:val="single" w:sz="12" w:space="0" w:color="auto"/>
              <w:right w:val="single" w:sz="2" w:space="0" w:color="auto"/>
            </w:tcBorders>
            <w:vAlign w:val="center"/>
            <w:hideMark/>
          </w:tcPr>
          <w:p w14:paraId="3F50FACA" w14:textId="77777777" w:rsidR="006D4F1B" w:rsidRPr="006D0EB4" w:rsidRDefault="006D4F1B" w:rsidP="001508D8">
            <w:pPr>
              <w:spacing w:line="256" w:lineRule="auto"/>
              <w:rPr>
                <w:rFonts w:asciiTheme="minorHAnsi" w:hAnsiTheme="minorHAnsi" w:cstheme="minorHAnsi"/>
                <w:sz w:val="20"/>
                <w:szCs w:val="20"/>
              </w:rPr>
            </w:pPr>
          </w:p>
        </w:tc>
        <w:tc>
          <w:tcPr>
            <w:tcW w:w="2158" w:type="dxa"/>
            <w:gridSpan w:val="2"/>
            <w:vMerge w:val="restart"/>
            <w:tcBorders>
              <w:top w:val="single" w:sz="2" w:space="0" w:color="auto"/>
              <w:left w:val="single" w:sz="2" w:space="0" w:color="auto"/>
              <w:bottom w:val="single" w:sz="4" w:space="0" w:color="auto"/>
              <w:right w:val="single" w:sz="2" w:space="0" w:color="auto"/>
            </w:tcBorders>
            <w:vAlign w:val="center"/>
            <w:hideMark/>
          </w:tcPr>
          <w:p w14:paraId="20B1F08D"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Stredné Slovensko</w:t>
            </w:r>
          </w:p>
        </w:tc>
        <w:tc>
          <w:tcPr>
            <w:tcW w:w="1835" w:type="dxa"/>
            <w:tcBorders>
              <w:top w:val="single" w:sz="4" w:space="0" w:color="auto"/>
              <w:left w:val="single" w:sz="2" w:space="0" w:color="auto"/>
              <w:bottom w:val="single" w:sz="4" w:space="0" w:color="auto"/>
              <w:right w:val="single" w:sz="4" w:space="0" w:color="auto"/>
            </w:tcBorders>
            <w:vAlign w:val="center"/>
            <w:hideMark/>
          </w:tcPr>
          <w:p w14:paraId="65661601"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Žilinský kraj</w:t>
            </w:r>
          </w:p>
        </w:tc>
        <w:tc>
          <w:tcPr>
            <w:tcW w:w="974" w:type="dxa"/>
            <w:gridSpan w:val="2"/>
            <w:tcBorders>
              <w:top w:val="single" w:sz="2" w:space="0" w:color="auto"/>
              <w:left w:val="single" w:sz="2" w:space="0" w:color="auto"/>
              <w:bottom w:val="single" w:sz="4" w:space="0" w:color="auto"/>
              <w:right w:val="single" w:sz="4" w:space="0" w:color="auto"/>
            </w:tcBorders>
            <w:vAlign w:val="center"/>
            <w:hideMark/>
          </w:tcPr>
          <w:p w14:paraId="18671AD4" w14:textId="77777777" w:rsidR="006D4F1B" w:rsidRPr="006D0EB4" w:rsidRDefault="006D4F1B" w:rsidP="001508D8">
            <w:pPr>
              <w:tabs>
                <w:tab w:val="left" w:pos="0"/>
              </w:tabs>
              <w:spacing w:line="256" w:lineRule="auto"/>
              <w:ind w:right="7"/>
              <w:jc w:val="right"/>
              <w:rPr>
                <w:rFonts w:asciiTheme="minorHAnsi" w:hAnsiTheme="minorHAnsi" w:cstheme="minorHAnsi"/>
                <w:sz w:val="20"/>
                <w:szCs w:val="20"/>
              </w:rPr>
            </w:pPr>
            <w:r w:rsidRPr="006D0EB4">
              <w:rPr>
                <w:rFonts w:asciiTheme="minorHAnsi" w:hAnsiTheme="minorHAnsi" w:cstheme="minorHAnsi"/>
                <w:sz w:val="20"/>
                <w:szCs w:val="20"/>
              </w:rPr>
              <w:t>0,24</w:t>
            </w:r>
          </w:p>
        </w:tc>
        <w:tc>
          <w:tcPr>
            <w:tcW w:w="1097" w:type="dxa"/>
            <w:gridSpan w:val="2"/>
            <w:tcBorders>
              <w:top w:val="single" w:sz="2" w:space="0" w:color="auto"/>
              <w:left w:val="single" w:sz="4" w:space="0" w:color="auto"/>
              <w:bottom w:val="single" w:sz="4" w:space="0" w:color="auto"/>
              <w:right w:val="single" w:sz="4" w:space="0" w:color="auto"/>
            </w:tcBorders>
            <w:vAlign w:val="center"/>
            <w:hideMark/>
          </w:tcPr>
          <w:p w14:paraId="467CF129"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10,17</w:t>
            </w:r>
          </w:p>
        </w:tc>
        <w:tc>
          <w:tcPr>
            <w:tcW w:w="1128" w:type="dxa"/>
            <w:gridSpan w:val="2"/>
            <w:tcBorders>
              <w:top w:val="single" w:sz="2" w:space="0" w:color="auto"/>
              <w:left w:val="single" w:sz="4" w:space="0" w:color="auto"/>
              <w:bottom w:val="single" w:sz="4" w:space="0" w:color="auto"/>
              <w:right w:val="single" w:sz="12" w:space="0" w:color="auto"/>
            </w:tcBorders>
            <w:vAlign w:val="center"/>
            <w:hideMark/>
          </w:tcPr>
          <w:p w14:paraId="423C89EF" w14:textId="77777777" w:rsidR="006D4F1B" w:rsidRPr="006D0EB4" w:rsidRDefault="006D4F1B" w:rsidP="001508D8">
            <w:pPr>
              <w:tabs>
                <w:tab w:val="left" w:pos="336"/>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1</w:t>
            </w:r>
          </w:p>
        </w:tc>
      </w:tr>
      <w:tr w:rsidR="006D4F1B" w:rsidRPr="006D0EB4" w14:paraId="461F0410"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2132221C"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4" w:space="0" w:color="auto"/>
              <w:left w:val="double" w:sz="2" w:space="0" w:color="auto"/>
              <w:bottom w:val="single" w:sz="12" w:space="0" w:color="auto"/>
              <w:right w:val="single" w:sz="2" w:space="0" w:color="auto"/>
            </w:tcBorders>
            <w:vAlign w:val="center"/>
            <w:hideMark/>
          </w:tcPr>
          <w:p w14:paraId="1B535168" w14:textId="77777777" w:rsidR="006D4F1B" w:rsidRPr="006D0EB4" w:rsidRDefault="006D4F1B" w:rsidP="001508D8">
            <w:pPr>
              <w:spacing w:line="256" w:lineRule="auto"/>
              <w:rPr>
                <w:rFonts w:asciiTheme="minorHAnsi" w:hAnsiTheme="minorHAnsi" w:cstheme="minorHAnsi"/>
                <w:sz w:val="20"/>
                <w:szCs w:val="20"/>
              </w:rPr>
            </w:pPr>
          </w:p>
        </w:tc>
        <w:tc>
          <w:tcPr>
            <w:tcW w:w="2158" w:type="dxa"/>
            <w:gridSpan w:val="2"/>
            <w:vMerge/>
            <w:tcBorders>
              <w:top w:val="single" w:sz="2" w:space="0" w:color="auto"/>
              <w:left w:val="single" w:sz="2" w:space="0" w:color="auto"/>
              <w:bottom w:val="single" w:sz="4" w:space="0" w:color="auto"/>
              <w:right w:val="single" w:sz="2" w:space="0" w:color="auto"/>
            </w:tcBorders>
            <w:vAlign w:val="center"/>
            <w:hideMark/>
          </w:tcPr>
          <w:p w14:paraId="6666D653" w14:textId="77777777" w:rsidR="006D4F1B" w:rsidRPr="006D0EB4" w:rsidRDefault="006D4F1B" w:rsidP="001508D8">
            <w:pPr>
              <w:spacing w:line="256" w:lineRule="auto"/>
              <w:rPr>
                <w:rFonts w:asciiTheme="minorHAnsi" w:hAnsiTheme="minorHAnsi" w:cstheme="minorHAnsi"/>
                <w:b/>
                <w:sz w:val="20"/>
                <w:szCs w:val="20"/>
              </w:rPr>
            </w:pPr>
          </w:p>
        </w:tc>
        <w:tc>
          <w:tcPr>
            <w:tcW w:w="1835" w:type="dxa"/>
            <w:tcBorders>
              <w:top w:val="single" w:sz="4" w:space="0" w:color="auto"/>
              <w:left w:val="single" w:sz="2" w:space="0" w:color="auto"/>
              <w:bottom w:val="single" w:sz="2" w:space="0" w:color="auto"/>
              <w:right w:val="single" w:sz="4" w:space="0" w:color="auto"/>
            </w:tcBorders>
            <w:vAlign w:val="center"/>
            <w:hideMark/>
          </w:tcPr>
          <w:p w14:paraId="12391C4D"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Banskobystrický kraj</w:t>
            </w:r>
          </w:p>
        </w:tc>
        <w:tc>
          <w:tcPr>
            <w:tcW w:w="974" w:type="dxa"/>
            <w:gridSpan w:val="2"/>
            <w:tcBorders>
              <w:top w:val="single" w:sz="4" w:space="0" w:color="auto"/>
              <w:left w:val="single" w:sz="2" w:space="0" w:color="auto"/>
              <w:bottom w:val="single" w:sz="2" w:space="0" w:color="auto"/>
              <w:right w:val="single" w:sz="4" w:space="0" w:color="auto"/>
            </w:tcBorders>
            <w:vAlign w:val="center"/>
            <w:hideMark/>
          </w:tcPr>
          <w:p w14:paraId="33FF69E6" w14:textId="77777777" w:rsidR="006D4F1B" w:rsidRPr="006D0EB4" w:rsidRDefault="006D4F1B" w:rsidP="001508D8">
            <w:pPr>
              <w:tabs>
                <w:tab w:val="left" w:pos="0"/>
              </w:tabs>
              <w:spacing w:line="256" w:lineRule="auto"/>
              <w:ind w:right="7"/>
              <w:jc w:val="right"/>
              <w:rPr>
                <w:rFonts w:asciiTheme="minorHAnsi" w:hAnsiTheme="minorHAnsi" w:cstheme="minorHAnsi"/>
                <w:sz w:val="20"/>
                <w:szCs w:val="20"/>
              </w:rPr>
            </w:pPr>
            <w:r w:rsidRPr="006D0EB4">
              <w:rPr>
                <w:rFonts w:asciiTheme="minorHAnsi" w:hAnsiTheme="minorHAnsi" w:cstheme="minorHAnsi"/>
                <w:sz w:val="20"/>
                <w:szCs w:val="20"/>
              </w:rPr>
              <w:t>0,04</w:t>
            </w:r>
          </w:p>
        </w:tc>
        <w:tc>
          <w:tcPr>
            <w:tcW w:w="1097" w:type="dxa"/>
            <w:gridSpan w:val="2"/>
            <w:tcBorders>
              <w:top w:val="single" w:sz="4" w:space="0" w:color="auto"/>
              <w:left w:val="single" w:sz="4" w:space="0" w:color="auto"/>
              <w:bottom w:val="single" w:sz="2" w:space="0" w:color="auto"/>
              <w:right w:val="single" w:sz="4" w:space="0" w:color="auto"/>
            </w:tcBorders>
            <w:vAlign w:val="center"/>
            <w:hideMark/>
          </w:tcPr>
          <w:p w14:paraId="688E71AC"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1,70</w:t>
            </w:r>
          </w:p>
        </w:tc>
        <w:tc>
          <w:tcPr>
            <w:tcW w:w="1128" w:type="dxa"/>
            <w:gridSpan w:val="2"/>
            <w:tcBorders>
              <w:top w:val="single" w:sz="4" w:space="0" w:color="auto"/>
              <w:left w:val="single" w:sz="4" w:space="0" w:color="auto"/>
              <w:bottom w:val="single" w:sz="2" w:space="0" w:color="auto"/>
              <w:right w:val="single" w:sz="12" w:space="0" w:color="auto"/>
            </w:tcBorders>
            <w:vAlign w:val="center"/>
            <w:hideMark/>
          </w:tcPr>
          <w:p w14:paraId="3BABBA83" w14:textId="77777777" w:rsidR="006D4F1B" w:rsidRPr="006D0EB4" w:rsidRDefault="006D4F1B" w:rsidP="001508D8">
            <w:pPr>
              <w:tabs>
                <w:tab w:val="left" w:pos="336"/>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2</w:t>
            </w:r>
          </w:p>
        </w:tc>
      </w:tr>
      <w:tr w:rsidR="006D4F1B" w:rsidRPr="006D0EB4" w14:paraId="52C8D1E0"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2EEBB6CD"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4" w:space="0" w:color="auto"/>
              <w:left w:val="double" w:sz="2" w:space="0" w:color="auto"/>
              <w:bottom w:val="single" w:sz="12" w:space="0" w:color="auto"/>
              <w:right w:val="single" w:sz="2" w:space="0" w:color="auto"/>
            </w:tcBorders>
            <w:vAlign w:val="center"/>
            <w:hideMark/>
          </w:tcPr>
          <w:p w14:paraId="23D099E9" w14:textId="77777777" w:rsidR="006D4F1B" w:rsidRPr="006D0EB4" w:rsidRDefault="006D4F1B" w:rsidP="001508D8">
            <w:pPr>
              <w:spacing w:line="256" w:lineRule="auto"/>
              <w:rPr>
                <w:rFonts w:asciiTheme="minorHAnsi" w:hAnsiTheme="minorHAnsi" w:cstheme="minorHAnsi"/>
                <w:sz w:val="20"/>
                <w:szCs w:val="20"/>
              </w:rPr>
            </w:pPr>
          </w:p>
        </w:tc>
        <w:tc>
          <w:tcPr>
            <w:tcW w:w="2158" w:type="dxa"/>
            <w:gridSpan w:val="2"/>
            <w:vMerge w:val="restart"/>
            <w:tcBorders>
              <w:top w:val="single" w:sz="2" w:space="0" w:color="auto"/>
              <w:left w:val="single" w:sz="2" w:space="0" w:color="auto"/>
              <w:bottom w:val="single" w:sz="12" w:space="0" w:color="auto"/>
              <w:right w:val="single" w:sz="2" w:space="0" w:color="auto"/>
            </w:tcBorders>
            <w:vAlign w:val="center"/>
            <w:hideMark/>
          </w:tcPr>
          <w:p w14:paraId="14AD4568"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Východné Slovensko</w:t>
            </w:r>
          </w:p>
        </w:tc>
        <w:tc>
          <w:tcPr>
            <w:tcW w:w="1835" w:type="dxa"/>
            <w:tcBorders>
              <w:top w:val="single" w:sz="2" w:space="0" w:color="auto"/>
              <w:left w:val="single" w:sz="2" w:space="0" w:color="auto"/>
              <w:bottom w:val="single" w:sz="4" w:space="0" w:color="auto"/>
              <w:right w:val="single" w:sz="4" w:space="0" w:color="auto"/>
            </w:tcBorders>
            <w:vAlign w:val="center"/>
            <w:hideMark/>
          </w:tcPr>
          <w:p w14:paraId="564C5E61"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Košický kraj</w:t>
            </w:r>
          </w:p>
        </w:tc>
        <w:tc>
          <w:tcPr>
            <w:tcW w:w="974" w:type="dxa"/>
            <w:gridSpan w:val="2"/>
            <w:tcBorders>
              <w:top w:val="single" w:sz="2" w:space="0" w:color="auto"/>
              <w:left w:val="single" w:sz="4" w:space="0" w:color="auto"/>
              <w:bottom w:val="single" w:sz="4" w:space="0" w:color="auto"/>
              <w:right w:val="single" w:sz="2" w:space="0" w:color="auto"/>
            </w:tcBorders>
            <w:vAlign w:val="center"/>
            <w:hideMark/>
          </w:tcPr>
          <w:p w14:paraId="4ACD8089" w14:textId="77777777" w:rsidR="006D4F1B" w:rsidRPr="006D0EB4" w:rsidRDefault="006D4F1B" w:rsidP="001508D8">
            <w:pPr>
              <w:tabs>
                <w:tab w:val="left" w:pos="0"/>
              </w:tabs>
              <w:spacing w:line="256" w:lineRule="auto"/>
              <w:ind w:right="7"/>
              <w:jc w:val="right"/>
              <w:rPr>
                <w:rFonts w:asciiTheme="minorHAnsi" w:hAnsiTheme="minorHAnsi" w:cstheme="minorHAnsi"/>
                <w:sz w:val="20"/>
                <w:szCs w:val="20"/>
              </w:rPr>
            </w:pPr>
            <w:r w:rsidRPr="006D0EB4">
              <w:rPr>
                <w:rFonts w:asciiTheme="minorHAnsi" w:hAnsiTheme="minorHAnsi" w:cstheme="minorHAnsi"/>
                <w:sz w:val="20"/>
                <w:szCs w:val="20"/>
              </w:rPr>
              <w:t>1,71</w:t>
            </w:r>
          </w:p>
        </w:tc>
        <w:tc>
          <w:tcPr>
            <w:tcW w:w="1097" w:type="dxa"/>
            <w:gridSpan w:val="2"/>
            <w:tcBorders>
              <w:top w:val="single" w:sz="2" w:space="0" w:color="auto"/>
              <w:left w:val="single" w:sz="2" w:space="0" w:color="auto"/>
              <w:bottom w:val="single" w:sz="4" w:space="0" w:color="auto"/>
              <w:right w:val="single" w:sz="4" w:space="0" w:color="auto"/>
            </w:tcBorders>
            <w:vAlign w:val="center"/>
            <w:hideMark/>
          </w:tcPr>
          <w:p w14:paraId="48C8E4AE"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72,45</w:t>
            </w:r>
          </w:p>
        </w:tc>
        <w:tc>
          <w:tcPr>
            <w:tcW w:w="1128" w:type="dxa"/>
            <w:gridSpan w:val="2"/>
            <w:tcBorders>
              <w:top w:val="single" w:sz="2" w:space="0" w:color="auto"/>
              <w:left w:val="single" w:sz="4" w:space="0" w:color="auto"/>
              <w:bottom w:val="single" w:sz="4" w:space="0" w:color="auto"/>
              <w:right w:val="single" w:sz="12" w:space="0" w:color="auto"/>
            </w:tcBorders>
            <w:vAlign w:val="center"/>
            <w:hideMark/>
          </w:tcPr>
          <w:p w14:paraId="5DF9CA0A" w14:textId="77777777" w:rsidR="006D4F1B" w:rsidRPr="006D0EB4" w:rsidRDefault="006D4F1B" w:rsidP="001508D8">
            <w:pPr>
              <w:tabs>
                <w:tab w:val="left" w:pos="336"/>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2</w:t>
            </w:r>
          </w:p>
        </w:tc>
      </w:tr>
      <w:tr w:rsidR="006D4F1B" w:rsidRPr="006D0EB4" w14:paraId="25082926" w14:textId="77777777" w:rsidTr="00482F04">
        <w:trPr>
          <w:trHeight w:val="194"/>
        </w:trPr>
        <w:tc>
          <w:tcPr>
            <w:tcW w:w="1377" w:type="dxa"/>
            <w:vMerge/>
            <w:tcBorders>
              <w:top w:val="single" w:sz="12" w:space="0" w:color="auto"/>
              <w:left w:val="single" w:sz="12" w:space="0" w:color="auto"/>
              <w:bottom w:val="single" w:sz="12" w:space="0" w:color="auto"/>
              <w:right w:val="double" w:sz="2" w:space="0" w:color="auto"/>
            </w:tcBorders>
            <w:vAlign w:val="center"/>
            <w:hideMark/>
          </w:tcPr>
          <w:p w14:paraId="7D285BF5" w14:textId="77777777" w:rsidR="006D4F1B" w:rsidRPr="006D0EB4" w:rsidRDefault="006D4F1B" w:rsidP="001508D8">
            <w:pPr>
              <w:spacing w:line="256" w:lineRule="auto"/>
              <w:rPr>
                <w:rFonts w:asciiTheme="minorHAnsi" w:hAnsiTheme="minorHAnsi" w:cstheme="minorHAnsi"/>
                <w:b/>
                <w:sz w:val="20"/>
                <w:szCs w:val="20"/>
              </w:rPr>
            </w:pPr>
          </w:p>
        </w:tc>
        <w:tc>
          <w:tcPr>
            <w:tcW w:w="619" w:type="dxa"/>
            <w:vMerge/>
            <w:tcBorders>
              <w:top w:val="single" w:sz="4" w:space="0" w:color="auto"/>
              <w:left w:val="double" w:sz="2" w:space="0" w:color="auto"/>
              <w:bottom w:val="single" w:sz="12" w:space="0" w:color="auto"/>
              <w:right w:val="single" w:sz="2" w:space="0" w:color="auto"/>
            </w:tcBorders>
            <w:vAlign w:val="center"/>
            <w:hideMark/>
          </w:tcPr>
          <w:p w14:paraId="105CC130" w14:textId="77777777" w:rsidR="006D4F1B" w:rsidRPr="006D0EB4" w:rsidRDefault="006D4F1B" w:rsidP="001508D8">
            <w:pPr>
              <w:spacing w:line="256" w:lineRule="auto"/>
              <w:rPr>
                <w:rFonts w:asciiTheme="minorHAnsi" w:hAnsiTheme="minorHAnsi" w:cstheme="minorHAnsi"/>
                <w:sz w:val="20"/>
                <w:szCs w:val="20"/>
              </w:rPr>
            </w:pPr>
          </w:p>
        </w:tc>
        <w:tc>
          <w:tcPr>
            <w:tcW w:w="2158" w:type="dxa"/>
            <w:gridSpan w:val="2"/>
            <w:vMerge/>
            <w:tcBorders>
              <w:top w:val="single" w:sz="2" w:space="0" w:color="auto"/>
              <w:left w:val="single" w:sz="2" w:space="0" w:color="auto"/>
              <w:bottom w:val="single" w:sz="12" w:space="0" w:color="auto"/>
              <w:right w:val="single" w:sz="2" w:space="0" w:color="auto"/>
            </w:tcBorders>
            <w:vAlign w:val="center"/>
            <w:hideMark/>
          </w:tcPr>
          <w:p w14:paraId="516C1997" w14:textId="77777777" w:rsidR="006D4F1B" w:rsidRPr="006D0EB4" w:rsidRDefault="006D4F1B" w:rsidP="001508D8">
            <w:pPr>
              <w:spacing w:line="256" w:lineRule="auto"/>
              <w:rPr>
                <w:rFonts w:asciiTheme="minorHAnsi" w:hAnsiTheme="minorHAnsi" w:cstheme="minorHAnsi"/>
                <w:b/>
                <w:sz w:val="20"/>
                <w:szCs w:val="20"/>
              </w:rPr>
            </w:pPr>
          </w:p>
        </w:tc>
        <w:tc>
          <w:tcPr>
            <w:tcW w:w="1835" w:type="dxa"/>
            <w:tcBorders>
              <w:top w:val="single" w:sz="4" w:space="0" w:color="auto"/>
              <w:left w:val="single" w:sz="2" w:space="0" w:color="auto"/>
              <w:bottom w:val="single" w:sz="12" w:space="0" w:color="auto"/>
              <w:right w:val="single" w:sz="4" w:space="0" w:color="auto"/>
            </w:tcBorders>
            <w:vAlign w:val="center"/>
            <w:hideMark/>
          </w:tcPr>
          <w:p w14:paraId="3B1E96D0"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Prešovský kraj</w:t>
            </w:r>
          </w:p>
        </w:tc>
        <w:tc>
          <w:tcPr>
            <w:tcW w:w="974" w:type="dxa"/>
            <w:gridSpan w:val="2"/>
            <w:tcBorders>
              <w:top w:val="single" w:sz="4" w:space="0" w:color="auto"/>
              <w:left w:val="single" w:sz="4" w:space="0" w:color="auto"/>
              <w:bottom w:val="single" w:sz="12" w:space="0" w:color="auto"/>
              <w:right w:val="single" w:sz="2" w:space="0" w:color="auto"/>
            </w:tcBorders>
            <w:vAlign w:val="center"/>
            <w:hideMark/>
          </w:tcPr>
          <w:p w14:paraId="1F8C850D" w14:textId="77777777" w:rsidR="006D4F1B" w:rsidRPr="006D0EB4" w:rsidRDefault="006D4F1B" w:rsidP="001508D8">
            <w:pPr>
              <w:tabs>
                <w:tab w:val="left" w:pos="0"/>
              </w:tabs>
              <w:spacing w:line="256" w:lineRule="auto"/>
              <w:ind w:right="7"/>
              <w:jc w:val="right"/>
              <w:rPr>
                <w:rFonts w:asciiTheme="minorHAnsi" w:hAnsiTheme="minorHAnsi" w:cstheme="minorHAnsi"/>
                <w:sz w:val="20"/>
                <w:szCs w:val="20"/>
              </w:rPr>
            </w:pPr>
            <w:r w:rsidRPr="006D0EB4">
              <w:rPr>
                <w:rFonts w:asciiTheme="minorHAnsi" w:hAnsiTheme="minorHAnsi" w:cstheme="minorHAnsi"/>
                <w:sz w:val="20"/>
                <w:szCs w:val="20"/>
              </w:rPr>
              <w:t>0,37</w:t>
            </w:r>
          </w:p>
        </w:tc>
        <w:tc>
          <w:tcPr>
            <w:tcW w:w="1097" w:type="dxa"/>
            <w:gridSpan w:val="2"/>
            <w:tcBorders>
              <w:top w:val="single" w:sz="4" w:space="0" w:color="auto"/>
              <w:left w:val="single" w:sz="2" w:space="0" w:color="auto"/>
              <w:bottom w:val="single" w:sz="12" w:space="0" w:color="auto"/>
              <w:right w:val="single" w:sz="4" w:space="0" w:color="auto"/>
            </w:tcBorders>
            <w:vAlign w:val="center"/>
            <w:hideMark/>
          </w:tcPr>
          <w:p w14:paraId="6CD9153E" w14:textId="77777777" w:rsidR="006D4F1B" w:rsidRPr="006D0EB4" w:rsidRDefault="006D4F1B" w:rsidP="001508D8">
            <w:pPr>
              <w:tabs>
                <w:tab w:val="left" w:pos="0"/>
              </w:tabs>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15,68</w:t>
            </w:r>
          </w:p>
        </w:tc>
        <w:tc>
          <w:tcPr>
            <w:tcW w:w="1128" w:type="dxa"/>
            <w:gridSpan w:val="2"/>
            <w:tcBorders>
              <w:top w:val="single" w:sz="4" w:space="0" w:color="auto"/>
              <w:left w:val="single" w:sz="4" w:space="0" w:color="auto"/>
              <w:bottom w:val="single" w:sz="12" w:space="0" w:color="auto"/>
              <w:right w:val="single" w:sz="12" w:space="0" w:color="auto"/>
            </w:tcBorders>
            <w:vAlign w:val="center"/>
            <w:hideMark/>
          </w:tcPr>
          <w:p w14:paraId="5F10DD57" w14:textId="77777777" w:rsidR="006D4F1B" w:rsidRPr="006D0EB4" w:rsidRDefault="006D4F1B" w:rsidP="001508D8">
            <w:pPr>
              <w:spacing w:line="256" w:lineRule="auto"/>
              <w:jc w:val="right"/>
              <w:rPr>
                <w:rFonts w:asciiTheme="minorHAnsi" w:hAnsiTheme="minorHAnsi" w:cstheme="minorHAnsi"/>
                <w:sz w:val="20"/>
                <w:szCs w:val="20"/>
              </w:rPr>
            </w:pPr>
            <w:r w:rsidRPr="006D0EB4">
              <w:rPr>
                <w:rFonts w:asciiTheme="minorHAnsi" w:hAnsiTheme="minorHAnsi" w:cstheme="minorHAnsi"/>
                <w:sz w:val="20"/>
                <w:szCs w:val="20"/>
              </w:rPr>
              <w:t>3</w:t>
            </w:r>
          </w:p>
        </w:tc>
      </w:tr>
      <w:tr w:rsidR="006D4F1B" w:rsidRPr="006D0EB4" w14:paraId="5AE760E7" w14:textId="77777777" w:rsidTr="00482F04">
        <w:trPr>
          <w:trHeight w:val="194"/>
        </w:trPr>
        <w:tc>
          <w:tcPr>
            <w:tcW w:w="1377" w:type="dxa"/>
            <w:tcBorders>
              <w:top w:val="single" w:sz="12" w:space="0" w:color="auto"/>
              <w:left w:val="single" w:sz="12" w:space="0" w:color="auto"/>
              <w:bottom w:val="single" w:sz="12" w:space="0" w:color="auto"/>
              <w:right w:val="double" w:sz="2" w:space="0" w:color="auto"/>
            </w:tcBorders>
            <w:vAlign w:val="center"/>
            <w:hideMark/>
          </w:tcPr>
          <w:p w14:paraId="451F68C7" w14:textId="77777777" w:rsidR="006D4F1B" w:rsidRPr="006D0EB4" w:rsidRDefault="006D4F1B" w:rsidP="001508D8">
            <w:pPr>
              <w:spacing w:line="256" w:lineRule="auto"/>
              <w:ind w:right="426"/>
              <w:rPr>
                <w:rFonts w:asciiTheme="minorHAnsi" w:hAnsiTheme="minorHAnsi" w:cstheme="minorHAnsi"/>
                <w:b/>
                <w:sz w:val="20"/>
                <w:szCs w:val="20"/>
              </w:rPr>
            </w:pPr>
            <w:r w:rsidRPr="006D0EB4">
              <w:rPr>
                <w:rFonts w:asciiTheme="minorHAnsi" w:hAnsiTheme="minorHAnsi" w:cstheme="minorHAnsi"/>
                <w:b/>
                <w:sz w:val="20"/>
                <w:szCs w:val="20"/>
              </w:rPr>
              <w:t>Forma pomoci</w:t>
            </w:r>
          </w:p>
        </w:tc>
        <w:tc>
          <w:tcPr>
            <w:tcW w:w="7814" w:type="dxa"/>
            <w:gridSpan w:val="10"/>
            <w:tcBorders>
              <w:top w:val="single" w:sz="12" w:space="0" w:color="auto"/>
              <w:left w:val="double" w:sz="2" w:space="0" w:color="auto"/>
              <w:bottom w:val="single" w:sz="12" w:space="0" w:color="auto"/>
              <w:right w:val="single" w:sz="12" w:space="0" w:color="auto"/>
            </w:tcBorders>
            <w:vAlign w:val="center"/>
            <w:hideMark/>
          </w:tcPr>
          <w:p w14:paraId="61036931" w14:textId="77777777" w:rsidR="006D4F1B" w:rsidRPr="006D0EB4" w:rsidRDefault="006D4F1B" w:rsidP="001508D8">
            <w:pPr>
              <w:spacing w:line="256" w:lineRule="auto"/>
              <w:ind w:right="426"/>
              <w:rPr>
                <w:rFonts w:asciiTheme="minorHAnsi" w:hAnsiTheme="minorHAnsi" w:cstheme="minorHAnsi"/>
                <w:sz w:val="20"/>
                <w:szCs w:val="20"/>
              </w:rPr>
            </w:pPr>
            <w:r w:rsidRPr="006D0EB4">
              <w:rPr>
                <w:rFonts w:asciiTheme="minorHAnsi" w:hAnsiTheme="minorHAnsi" w:cstheme="minorHAnsi"/>
                <w:sz w:val="20"/>
                <w:szCs w:val="20"/>
              </w:rPr>
              <w:t>Nenávratný finančný príspevok (ESF + štátny rozpočet)</w:t>
            </w:r>
          </w:p>
        </w:tc>
      </w:tr>
    </w:tbl>
    <w:p w14:paraId="5A2169B6" w14:textId="7357EEAA" w:rsidR="006D4F1B" w:rsidRDefault="006D4F1B" w:rsidP="006D4F1B">
      <w:pPr>
        <w:spacing w:before="120" w:after="120"/>
      </w:pPr>
      <w:r w:rsidRPr="006D4F1B">
        <w:t xml:space="preserve">Ako vyplýva z tabuľky nižšie v roku 2024 bola poskytnutá štátna a minimálna pomoc formou príspevkov AOTP v zmysle platných nariadení Komisie (EÚ) a schém štátnej a minimálnej pomoci celkom 7 864 podnikom, v ktorých týmito príspevkami bolo podporených 44 890 pracovných miest/osôb. Na túto pomoc bol vyčerpaných spolu </w:t>
      </w:r>
      <w:r>
        <w:t>129 327 895 eur</w:t>
      </w:r>
      <w:r w:rsidRPr="006D4F1B">
        <w:t xml:space="preserve">, z toho </w:t>
      </w:r>
      <w:r>
        <w:t xml:space="preserve">                    </w:t>
      </w:r>
      <w:r w:rsidRPr="006D4F1B">
        <w:t xml:space="preserve">z finančných  prostriedkov </w:t>
      </w:r>
      <w:r>
        <w:t>ESF 44 664 024 eur</w:t>
      </w:r>
      <w:r w:rsidRPr="006D4F1B">
        <w:t xml:space="preserve"> a z prostriedkov š</w:t>
      </w:r>
      <w:r>
        <w:t>tátneho rozpočtu SR 84 696 753 eur</w:t>
      </w:r>
      <w:r w:rsidRPr="006D4F1B">
        <w:t xml:space="preserve">. MSP boli vyplatené príspevky v objeme </w:t>
      </w:r>
      <w:r>
        <w:t>122 475 155 eur</w:t>
      </w:r>
      <w:r w:rsidRPr="006D4F1B">
        <w:t>, z toho 43 202 561</w:t>
      </w:r>
      <w:r>
        <w:t xml:space="preserve"> eur</w:t>
      </w:r>
      <w:r w:rsidRPr="006D4F1B">
        <w:t xml:space="preserve"> bolo z ESF a </w:t>
      </w:r>
      <w:r>
        <w:t>79 302 477 eur</w:t>
      </w:r>
      <w:r w:rsidRPr="006D4F1B">
        <w:t xml:space="preserve"> zo štátneho rozpočtu SR. Veľkým podnikom boli poskytnuté príspevky v celkovom objeme </w:t>
      </w:r>
      <w:r>
        <w:t>6 692 026 eur</w:t>
      </w:r>
      <w:r w:rsidRPr="006D4F1B">
        <w:t xml:space="preserve">, z toho  </w:t>
      </w:r>
      <w:r>
        <w:t>1 442 693 eur</w:t>
      </w:r>
      <w:r w:rsidRPr="006D4F1B">
        <w:t xml:space="preserve"> bolo z ESF a 5 249 333 </w:t>
      </w:r>
      <w:r>
        <w:t>eur</w:t>
      </w:r>
      <w:r w:rsidRPr="006D4F1B">
        <w:t xml:space="preserve"> </w:t>
      </w:r>
      <w:r w:rsidRPr="006D4F1B">
        <w:lastRenderedPageBreak/>
        <w:t>bolo zo štátneho rozpočtu SR. Podporených bolo spolu 44 890 pracovných miest/osôb, z toho bolo 33 746 v MSP a 10 916 vo veľkých podnikoch.</w:t>
      </w:r>
    </w:p>
    <w:p w14:paraId="6C9549BD" w14:textId="3850EA7A" w:rsidR="00DB1AEA" w:rsidRPr="00DB1AEA" w:rsidRDefault="00DB1AEA" w:rsidP="00DB1AEA">
      <w:pPr>
        <w:spacing w:before="120" w:after="120"/>
        <w:jc w:val="center"/>
        <w:rPr>
          <w:b/>
        </w:rPr>
      </w:pPr>
      <w:r w:rsidRPr="00DB1AEA">
        <w:rPr>
          <w:b/>
        </w:rPr>
        <w:t>Poskytnutá štátna a minimálna pomoc v roku 2024 podľa veľkosti podnikov - spolu za všetky schémy</w:t>
      </w:r>
    </w:p>
    <w:tbl>
      <w:tblPr>
        <w:tblW w:w="9047" w:type="dxa"/>
        <w:tblCellMar>
          <w:left w:w="70" w:type="dxa"/>
          <w:right w:w="70" w:type="dxa"/>
        </w:tblCellMar>
        <w:tblLook w:val="04A0" w:firstRow="1" w:lastRow="0" w:firstColumn="1" w:lastColumn="0" w:noHBand="0" w:noVBand="1"/>
      </w:tblPr>
      <w:tblGrid>
        <w:gridCol w:w="2638"/>
        <w:gridCol w:w="1344"/>
        <w:gridCol w:w="1330"/>
        <w:gridCol w:w="1300"/>
        <w:gridCol w:w="1161"/>
        <w:gridCol w:w="1274"/>
      </w:tblGrid>
      <w:tr w:rsidR="00DB1AEA" w:rsidRPr="00DB1AEA" w14:paraId="10201E1A" w14:textId="77777777" w:rsidTr="00DB1AEA">
        <w:trPr>
          <w:trHeight w:val="277"/>
        </w:trPr>
        <w:tc>
          <w:tcPr>
            <w:tcW w:w="26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9A04BBC" w14:textId="77777777" w:rsidR="00DB1AEA" w:rsidRPr="00DB1AEA" w:rsidRDefault="00DB1AEA" w:rsidP="00DB1AEA">
            <w:pPr>
              <w:spacing w:after="0"/>
              <w:ind w:firstLine="0"/>
              <w:jc w:val="center"/>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Poskytnutá štátna a minimálna pomoc v roku 2024 podľa veľkosti podniku</w:t>
            </w:r>
            <w:r w:rsidRPr="00DB1AEA">
              <w:rPr>
                <w:rFonts w:asciiTheme="minorHAnsi" w:hAnsiTheme="minorHAnsi" w:cstheme="minorHAnsi"/>
                <w:color w:val="000000"/>
                <w:sz w:val="18"/>
                <w:szCs w:val="18"/>
              </w:rPr>
              <w:t xml:space="preserve"> (spolu)</w:t>
            </w:r>
          </w:p>
        </w:tc>
        <w:tc>
          <w:tcPr>
            <w:tcW w:w="134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5865480" w14:textId="022348FF" w:rsidR="00DB1AEA" w:rsidRPr="00DB1AEA" w:rsidRDefault="00DB1AEA" w:rsidP="00DB1AEA">
            <w:pPr>
              <w:spacing w:after="0"/>
              <w:ind w:firstLine="0"/>
              <w:jc w:val="center"/>
              <w:rPr>
                <w:rFonts w:asciiTheme="minorHAnsi" w:hAnsiTheme="minorHAnsi" w:cstheme="minorHAnsi"/>
                <w:color w:val="000000"/>
                <w:sz w:val="18"/>
                <w:szCs w:val="18"/>
              </w:rPr>
            </w:pPr>
            <w:r>
              <w:rPr>
                <w:rFonts w:asciiTheme="minorHAnsi" w:hAnsiTheme="minorHAnsi" w:cstheme="minorHAnsi"/>
                <w:color w:val="000000"/>
                <w:sz w:val="18"/>
                <w:szCs w:val="18"/>
              </w:rPr>
              <w:t>Celkové čerpanie FP</w:t>
            </w:r>
            <w:r>
              <w:rPr>
                <w:rFonts w:asciiTheme="minorHAnsi" w:hAnsiTheme="minorHAnsi" w:cstheme="minorHAnsi"/>
                <w:color w:val="000000"/>
                <w:sz w:val="18"/>
                <w:szCs w:val="18"/>
              </w:rPr>
              <w:br/>
              <w:t>(v €)</w:t>
            </w:r>
          </w:p>
        </w:tc>
        <w:tc>
          <w:tcPr>
            <w:tcW w:w="133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D6466E0" w14:textId="0834BCA8" w:rsidR="00DB1AEA" w:rsidRPr="00DB1AEA" w:rsidRDefault="00DB1AEA" w:rsidP="00DB1AEA">
            <w:pPr>
              <w:spacing w:after="0"/>
              <w:ind w:firstLine="0"/>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z toho ESF </w:t>
            </w:r>
            <w:r>
              <w:rPr>
                <w:rFonts w:asciiTheme="minorHAnsi" w:hAnsiTheme="minorHAnsi" w:cstheme="minorHAnsi"/>
                <w:color w:val="000000"/>
                <w:sz w:val="18"/>
                <w:szCs w:val="18"/>
              </w:rPr>
              <w:br/>
              <w:t>zo stl. 2</w:t>
            </w:r>
            <w:r>
              <w:rPr>
                <w:rFonts w:asciiTheme="minorHAnsi" w:hAnsiTheme="minorHAnsi" w:cstheme="minorHAnsi"/>
                <w:color w:val="000000"/>
                <w:sz w:val="18"/>
                <w:szCs w:val="18"/>
              </w:rPr>
              <w:br/>
              <w:t>(v €)</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FCB77F0" w14:textId="42A37F98" w:rsidR="00DB1AEA" w:rsidRPr="00DB1AEA" w:rsidRDefault="00DB1AEA" w:rsidP="00DB1AEA">
            <w:pPr>
              <w:spacing w:after="0"/>
              <w:ind w:firstLine="0"/>
              <w:jc w:val="center"/>
              <w:rPr>
                <w:rFonts w:asciiTheme="minorHAnsi" w:hAnsiTheme="minorHAnsi" w:cstheme="minorHAnsi"/>
                <w:color w:val="000000"/>
                <w:sz w:val="18"/>
                <w:szCs w:val="18"/>
              </w:rPr>
            </w:pPr>
            <w:r>
              <w:rPr>
                <w:rFonts w:asciiTheme="minorHAnsi" w:hAnsiTheme="minorHAnsi" w:cstheme="minorHAnsi"/>
                <w:color w:val="000000"/>
                <w:sz w:val="18"/>
                <w:szCs w:val="18"/>
              </w:rPr>
              <w:t>z toho ŠR SR</w:t>
            </w:r>
            <w:r>
              <w:rPr>
                <w:rFonts w:asciiTheme="minorHAnsi" w:hAnsiTheme="minorHAnsi" w:cstheme="minorHAnsi"/>
                <w:color w:val="000000"/>
                <w:sz w:val="18"/>
                <w:szCs w:val="18"/>
              </w:rPr>
              <w:br/>
              <w:t>zo stl. 2</w:t>
            </w:r>
            <w:r>
              <w:rPr>
                <w:rFonts w:asciiTheme="minorHAnsi" w:hAnsiTheme="minorHAnsi" w:cstheme="minorHAnsi"/>
                <w:color w:val="000000"/>
                <w:sz w:val="18"/>
                <w:szCs w:val="18"/>
              </w:rPr>
              <w:br/>
              <w:t>(v €)</w:t>
            </w:r>
          </w:p>
        </w:tc>
        <w:tc>
          <w:tcPr>
            <w:tcW w:w="116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BC526DA" w14:textId="554004FA"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Počet po</w:t>
            </w:r>
            <w:r>
              <w:rPr>
                <w:rFonts w:asciiTheme="minorHAnsi" w:hAnsiTheme="minorHAnsi" w:cstheme="minorHAnsi"/>
                <w:color w:val="000000"/>
                <w:sz w:val="18"/>
                <w:szCs w:val="18"/>
              </w:rPr>
              <w:t>dporených podnikov</w:t>
            </w:r>
            <w:r>
              <w:rPr>
                <w:rFonts w:asciiTheme="minorHAnsi" w:hAnsiTheme="minorHAnsi" w:cstheme="minorHAnsi"/>
                <w:color w:val="000000"/>
                <w:sz w:val="18"/>
                <w:szCs w:val="18"/>
              </w:rPr>
              <w:br/>
            </w:r>
          </w:p>
        </w:tc>
        <w:tc>
          <w:tcPr>
            <w:tcW w:w="127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15704BFE" w14:textId="77777777"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Počet podporených pracovných miest</w:t>
            </w:r>
          </w:p>
        </w:tc>
      </w:tr>
      <w:tr w:rsidR="00DB1AEA" w:rsidRPr="00DB1AEA" w14:paraId="32C33417" w14:textId="77777777" w:rsidTr="00DB1AEA">
        <w:trPr>
          <w:trHeight w:val="781"/>
        </w:trPr>
        <w:tc>
          <w:tcPr>
            <w:tcW w:w="26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B2F8238" w14:textId="77777777" w:rsidR="00DB1AEA" w:rsidRPr="00DB1AEA" w:rsidRDefault="00DB1AEA" w:rsidP="00DB1AEA">
            <w:pPr>
              <w:spacing w:after="0"/>
              <w:ind w:firstLine="0"/>
              <w:jc w:val="left"/>
              <w:rPr>
                <w:rFonts w:asciiTheme="minorHAnsi" w:hAnsiTheme="minorHAnsi" w:cstheme="minorHAnsi"/>
                <w:b/>
                <w:bCs/>
                <w:color w:val="000000"/>
                <w:sz w:val="18"/>
                <w:szCs w:val="18"/>
              </w:rPr>
            </w:pPr>
          </w:p>
        </w:tc>
        <w:tc>
          <w:tcPr>
            <w:tcW w:w="134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8A36FB8" w14:textId="77777777" w:rsidR="00DB1AEA" w:rsidRPr="00DB1AEA" w:rsidRDefault="00DB1AEA" w:rsidP="00DB1AEA">
            <w:pPr>
              <w:spacing w:after="0"/>
              <w:ind w:firstLine="0"/>
              <w:jc w:val="left"/>
              <w:rPr>
                <w:rFonts w:asciiTheme="minorHAnsi" w:hAnsiTheme="minorHAnsi" w:cstheme="minorHAnsi"/>
                <w:color w:val="000000"/>
                <w:sz w:val="18"/>
                <w:szCs w:val="18"/>
              </w:rPr>
            </w:pPr>
          </w:p>
        </w:tc>
        <w:tc>
          <w:tcPr>
            <w:tcW w:w="133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101A35D" w14:textId="77777777" w:rsidR="00DB1AEA" w:rsidRPr="00DB1AEA" w:rsidRDefault="00DB1AEA" w:rsidP="00DB1AEA">
            <w:pPr>
              <w:spacing w:after="0"/>
              <w:ind w:firstLine="0"/>
              <w:jc w:val="left"/>
              <w:rPr>
                <w:rFonts w:asciiTheme="minorHAnsi" w:hAnsiTheme="minorHAnsi" w:cstheme="minorHAnsi"/>
                <w:color w:val="000000"/>
                <w:sz w:val="18"/>
                <w:szCs w:val="18"/>
              </w:rPr>
            </w:pPr>
          </w:p>
        </w:tc>
        <w:tc>
          <w:tcPr>
            <w:tcW w:w="13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6E4DF21" w14:textId="77777777" w:rsidR="00DB1AEA" w:rsidRPr="00DB1AEA" w:rsidRDefault="00DB1AEA" w:rsidP="00DB1AEA">
            <w:pPr>
              <w:spacing w:after="0"/>
              <w:ind w:firstLine="0"/>
              <w:jc w:val="left"/>
              <w:rPr>
                <w:rFonts w:asciiTheme="minorHAnsi" w:hAnsiTheme="minorHAnsi" w:cstheme="minorHAnsi"/>
                <w:color w:val="000000"/>
                <w:sz w:val="18"/>
                <w:szCs w:val="18"/>
              </w:rPr>
            </w:pPr>
          </w:p>
        </w:tc>
        <w:tc>
          <w:tcPr>
            <w:tcW w:w="1161"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550E59C" w14:textId="77777777" w:rsidR="00DB1AEA" w:rsidRPr="00DB1AEA" w:rsidRDefault="00DB1AEA" w:rsidP="00DB1AEA">
            <w:pPr>
              <w:spacing w:after="0"/>
              <w:ind w:firstLine="0"/>
              <w:jc w:val="left"/>
              <w:rPr>
                <w:rFonts w:asciiTheme="minorHAnsi" w:hAnsiTheme="minorHAnsi" w:cstheme="minorHAnsi"/>
                <w:color w:val="000000"/>
                <w:sz w:val="18"/>
                <w:szCs w:val="18"/>
              </w:rPr>
            </w:pPr>
          </w:p>
        </w:tc>
        <w:tc>
          <w:tcPr>
            <w:tcW w:w="1274"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14:paraId="2B854560" w14:textId="77777777" w:rsidR="00DB1AEA" w:rsidRPr="00DB1AEA" w:rsidRDefault="00DB1AEA" w:rsidP="00DB1AEA">
            <w:pPr>
              <w:spacing w:after="0"/>
              <w:ind w:firstLine="0"/>
              <w:jc w:val="left"/>
              <w:rPr>
                <w:rFonts w:asciiTheme="minorHAnsi" w:hAnsiTheme="minorHAnsi" w:cstheme="minorHAnsi"/>
                <w:color w:val="000000"/>
                <w:sz w:val="18"/>
                <w:szCs w:val="18"/>
              </w:rPr>
            </w:pPr>
          </w:p>
        </w:tc>
      </w:tr>
      <w:tr w:rsidR="00DB1AEA" w:rsidRPr="00DB1AEA" w14:paraId="2C8002B8" w14:textId="77777777" w:rsidTr="00DB1AEA">
        <w:trPr>
          <w:trHeight w:val="226"/>
        </w:trPr>
        <w:tc>
          <w:tcPr>
            <w:tcW w:w="263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5B22363" w14:textId="77777777"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stl. 1</w:t>
            </w:r>
          </w:p>
        </w:tc>
        <w:tc>
          <w:tcPr>
            <w:tcW w:w="1344" w:type="dxa"/>
            <w:tcBorders>
              <w:top w:val="single" w:sz="8" w:space="0" w:color="auto"/>
              <w:left w:val="nil"/>
              <w:bottom w:val="single" w:sz="8" w:space="0" w:color="auto"/>
              <w:right w:val="single" w:sz="4" w:space="0" w:color="auto"/>
            </w:tcBorders>
            <w:shd w:val="clear" w:color="auto" w:fill="auto"/>
            <w:vAlign w:val="center"/>
            <w:hideMark/>
          </w:tcPr>
          <w:p w14:paraId="1E0435F4" w14:textId="77777777"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stl. 2</w:t>
            </w:r>
          </w:p>
        </w:tc>
        <w:tc>
          <w:tcPr>
            <w:tcW w:w="1330" w:type="dxa"/>
            <w:tcBorders>
              <w:top w:val="single" w:sz="8" w:space="0" w:color="auto"/>
              <w:left w:val="nil"/>
              <w:bottom w:val="single" w:sz="8" w:space="0" w:color="auto"/>
              <w:right w:val="single" w:sz="4" w:space="0" w:color="auto"/>
            </w:tcBorders>
            <w:shd w:val="clear" w:color="auto" w:fill="auto"/>
            <w:vAlign w:val="center"/>
            <w:hideMark/>
          </w:tcPr>
          <w:p w14:paraId="229692D5" w14:textId="77777777"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stl. 3</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14:paraId="058BA9E8" w14:textId="77777777"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stl. 4</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5A01E96B" w14:textId="77777777"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stl. 5</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16649A4C" w14:textId="77777777" w:rsidR="00DB1AEA" w:rsidRPr="00DB1AEA" w:rsidRDefault="00DB1AEA" w:rsidP="00DB1AEA">
            <w:pPr>
              <w:spacing w:after="0"/>
              <w:ind w:firstLine="0"/>
              <w:jc w:val="center"/>
              <w:rPr>
                <w:rFonts w:asciiTheme="minorHAnsi" w:hAnsiTheme="minorHAnsi" w:cstheme="minorHAnsi"/>
                <w:color w:val="000000"/>
                <w:sz w:val="18"/>
                <w:szCs w:val="18"/>
              </w:rPr>
            </w:pPr>
            <w:r w:rsidRPr="00DB1AEA">
              <w:rPr>
                <w:rFonts w:asciiTheme="minorHAnsi" w:hAnsiTheme="minorHAnsi" w:cstheme="minorHAnsi"/>
                <w:color w:val="000000"/>
                <w:sz w:val="18"/>
                <w:szCs w:val="18"/>
              </w:rPr>
              <w:t>stl. 6</w:t>
            </w:r>
          </w:p>
        </w:tc>
      </w:tr>
      <w:tr w:rsidR="00DB1AEA" w:rsidRPr="00DB1AEA" w14:paraId="280A62C0" w14:textId="77777777" w:rsidTr="00DB1AEA">
        <w:trPr>
          <w:trHeight w:val="251"/>
        </w:trPr>
        <w:tc>
          <w:tcPr>
            <w:tcW w:w="2638" w:type="dxa"/>
            <w:tcBorders>
              <w:top w:val="nil"/>
              <w:left w:val="single" w:sz="8" w:space="0" w:color="auto"/>
              <w:bottom w:val="single" w:sz="4" w:space="0" w:color="auto"/>
              <w:right w:val="single" w:sz="4" w:space="0" w:color="000000"/>
            </w:tcBorders>
            <w:shd w:val="clear" w:color="auto" w:fill="auto"/>
            <w:noWrap/>
            <w:hideMark/>
          </w:tcPr>
          <w:p w14:paraId="45F50DA8" w14:textId="77777777" w:rsidR="00DB1AEA" w:rsidRPr="00DB1AEA" w:rsidRDefault="00DB1AEA" w:rsidP="00DB1AEA">
            <w:pPr>
              <w:spacing w:after="0"/>
              <w:ind w:firstLine="0"/>
              <w:jc w:val="left"/>
              <w:rPr>
                <w:rFonts w:asciiTheme="minorHAnsi" w:hAnsiTheme="minorHAnsi" w:cstheme="minorHAnsi"/>
                <w:color w:val="000000"/>
                <w:sz w:val="18"/>
                <w:szCs w:val="18"/>
              </w:rPr>
            </w:pPr>
            <w:r w:rsidRPr="00DB1AEA">
              <w:rPr>
                <w:rFonts w:asciiTheme="minorHAnsi" w:hAnsiTheme="minorHAnsi" w:cstheme="minorHAnsi"/>
                <w:color w:val="000000"/>
                <w:sz w:val="18"/>
                <w:szCs w:val="18"/>
              </w:rPr>
              <w:t>mikropodniky</w:t>
            </w:r>
          </w:p>
        </w:tc>
        <w:tc>
          <w:tcPr>
            <w:tcW w:w="1344" w:type="dxa"/>
            <w:tcBorders>
              <w:top w:val="nil"/>
              <w:left w:val="nil"/>
              <w:bottom w:val="single" w:sz="4" w:space="0" w:color="auto"/>
              <w:right w:val="single" w:sz="4" w:space="0" w:color="auto"/>
            </w:tcBorders>
            <w:shd w:val="clear" w:color="auto" w:fill="auto"/>
            <w:noWrap/>
            <w:vAlign w:val="bottom"/>
            <w:hideMark/>
          </w:tcPr>
          <w:p w14:paraId="6519C470"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72 753 913,79</w:t>
            </w:r>
          </w:p>
        </w:tc>
        <w:tc>
          <w:tcPr>
            <w:tcW w:w="1330" w:type="dxa"/>
            <w:tcBorders>
              <w:top w:val="nil"/>
              <w:left w:val="nil"/>
              <w:bottom w:val="single" w:sz="4" w:space="0" w:color="auto"/>
              <w:right w:val="single" w:sz="4" w:space="0" w:color="auto"/>
            </w:tcBorders>
            <w:shd w:val="clear" w:color="auto" w:fill="auto"/>
            <w:noWrap/>
            <w:vAlign w:val="bottom"/>
            <w:hideMark/>
          </w:tcPr>
          <w:p w14:paraId="2891F7CC"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24 704 045,62</w:t>
            </w:r>
          </w:p>
        </w:tc>
        <w:tc>
          <w:tcPr>
            <w:tcW w:w="1300" w:type="dxa"/>
            <w:tcBorders>
              <w:top w:val="nil"/>
              <w:left w:val="nil"/>
              <w:bottom w:val="single" w:sz="4" w:space="0" w:color="auto"/>
              <w:right w:val="single" w:sz="4" w:space="0" w:color="auto"/>
            </w:tcBorders>
            <w:shd w:val="clear" w:color="auto" w:fill="auto"/>
            <w:noWrap/>
            <w:vAlign w:val="bottom"/>
            <w:hideMark/>
          </w:tcPr>
          <w:p w14:paraId="02DC114C"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48 075 246,37</w:t>
            </w:r>
          </w:p>
        </w:tc>
        <w:tc>
          <w:tcPr>
            <w:tcW w:w="1161" w:type="dxa"/>
            <w:tcBorders>
              <w:top w:val="nil"/>
              <w:left w:val="nil"/>
              <w:bottom w:val="single" w:sz="4" w:space="0" w:color="auto"/>
              <w:right w:val="single" w:sz="4" w:space="0" w:color="auto"/>
            </w:tcBorders>
            <w:shd w:val="clear" w:color="auto" w:fill="auto"/>
            <w:noWrap/>
            <w:vAlign w:val="bottom"/>
            <w:hideMark/>
          </w:tcPr>
          <w:p w14:paraId="4F904F53"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6 532</w:t>
            </w:r>
          </w:p>
        </w:tc>
        <w:tc>
          <w:tcPr>
            <w:tcW w:w="1274" w:type="dxa"/>
            <w:tcBorders>
              <w:top w:val="nil"/>
              <w:left w:val="nil"/>
              <w:bottom w:val="single" w:sz="4" w:space="0" w:color="auto"/>
              <w:right w:val="single" w:sz="8" w:space="0" w:color="auto"/>
            </w:tcBorders>
            <w:shd w:val="clear" w:color="auto" w:fill="auto"/>
            <w:noWrap/>
            <w:vAlign w:val="bottom"/>
            <w:hideMark/>
          </w:tcPr>
          <w:p w14:paraId="6E3FFE44"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17 129</w:t>
            </w:r>
          </w:p>
        </w:tc>
      </w:tr>
      <w:tr w:rsidR="00DB1AEA" w:rsidRPr="00DB1AEA" w14:paraId="102E526F" w14:textId="77777777" w:rsidTr="00DB1AEA">
        <w:trPr>
          <w:trHeight w:val="251"/>
        </w:trPr>
        <w:tc>
          <w:tcPr>
            <w:tcW w:w="2638"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17B36E5" w14:textId="77777777" w:rsidR="00DB1AEA" w:rsidRPr="00DB1AEA" w:rsidRDefault="00DB1AEA" w:rsidP="00DB1AEA">
            <w:pPr>
              <w:spacing w:after="0"/>
              <w:ind w:firstLine="0"/>
              <w:jc w:val="left"/>
              <w:rPr>
                <w:rFonts w:asciiTheme="minorHAnsi" w:hAnsiTheme="minorHAnsi" w:cstheme="minorHAnsi"/>
                <w:color w:val="000000"/>
                <w:sz w:val="18"/>
                <w:szCs w:val="18"/>
              </w:rPr>
            </w:pPr>
            <w:r w:rsidRPr="00DB1AEA">
              <w:rPr>
                <w:rFonts w:asciiTheme="minorHAnsi" w:hAnsiTheme="minorHAnsi" w:cstheme="minorHAnsi"/>
                <w:color w:val="000000"/>
                <w:sz w:val="18"/>
                <w:szCs w:val="18"/>
              </w:rPr>
              <w:t>malé podniky</w:t>
            </w:r>
          </w:p>
        </w:tc>
        <w:tc>
          <w:tcPr>
            <w:tcW w:w="1344" w:type="dxa"/>
            <w:tcBorders>
              <w:top w:val="nil"/>
              <w:left w:val="nil"/>
              <w:bottom w:val="single" w:sz="4" w:space="0" w:color="auto"/>
              <w:right w:val="single" w:sz="4" w:space="0" w:color="auto"/>
            </w:tcBorders>
            <w:shd w:val="clear" w:color="auto" w:fill="auto"/>
            <w:noWrap/>
            <w:vAlign w:val="bottom"/>
            <w:hideMark/>
          </w:tcPr>
          <w:p w14:paraId="5EF5AC2E"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35 079 018,33</w:t>
            </w:r>
          </w:p>
        </w:tc>
        <w:tc>
          <w:tcPr>
            <w:tcW w:w="1330" w:type="dxa"/>
            <w:tcBorders>
              <w:top w:val="nil"/>
              <w:left w:val="nil"/>
              <w:bottom w:val="single" w:sz="4" w:space="0" w:color="auto"/>
              <w:right w:val="single" w:sz="4" w:space="0" w:color="auto"/>
            </w:tcBorders>
            <w:shd w:val="clear" w:color="auto" w:fill="auto"/>
            <w:noWrap/>
            <w:vAlign w:val="bottom"/>
            <w:hideMark/>
          </w:tcPr>
          <w:p w14:paraId="11DB5B5F"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12 970 055,74</w:t>
            </w:r>
          </w:p>
        </w:tc>
        <w:tc>
          <w:tcPr>
            <w:tcW w:w="1300" w:type="dxa"/>
            <w:tcBorders>
              <w:top w:val="nil"/>
              <w:left w:val="nil"/>
              <w:bottom w:val="single" w:sz="4" w:space="0" w:color="auto"/>
              <w:right w:val="single" w:sz="4" w:space="0" w:color="auto"/>
            </w:tcBorders>
            <w:shd w:val="clear" w:color="auto" w:fill="auto"/>
            <w:noWrap/>
            <w:vAlign w:val="bottom"/>
            <w:hideMark/>
          </w:tcPr>
          <w:p w14:paraId="274D0C40"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22 116 467,20</w:t>
            </w:r>
          </w:p>
        </w:tc>
        <w:tc>
          <w:tcPr>
            <w:tcW w:w="1161" w:type="dxa"/>
            <w:tcBorders>
              <w:top w:val="nil"/>
              <w:left w:val="nil"/>
              <w:bottom w:val="single" w:sz="4" w:space="0" w:color="auto"/>
              <w:right w:val="single" w:sz="4" w:space="0" w:color="auto"/>
            </w:tcBorders>
            <w:shd w:val="clear" w:color="auto" w:fill="auto"/>
            <w:noWrap/>
            <w:vAlign w:val="bottom"/>
            <w:hideMark/>
          </w:tcPr>
          <w:p w14:paraId="51DBCAB1"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971</w:t>
            </w:r>
          </w:p>
        </w:tc>
        <w:tc>
          <w:tcPr>
            <w:tcW w:w="1274" w:type="dxa"/>
            <w:tcBorders>
              <w:top w:val="nil"/>
              <w:left w:val="nil"/>
              <w:bottom w:val="single" w:sz="4" w:space="0" w:color="auto"/>
              <w:right w:val="single" w:sz="8" w:space="0" w:color="auto"/>
            </w:tcBorders>
            <w:shd w:val="clear" w:color="auto" w:fill="auto"/>
            <w:noWrap/>
            <w:vAlign w:val="bottom"/>
            <w:hideMark/>
          </w:tcPr>
          <w:p w14:paraId="77FBC12A"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9 730</w:t>
            </w:r>
          </w:p>
        </w:tc>
      </w:tr>
      <w:tr w:rsidR="00DB1AEA" w:rsidRPr="00DB1AEA" w14:paraId="680F51D8" w14:textId="77777777" w:rsidTr="00DB1AEA">
        <w:trPr>
          <w:trHeight w:val="251"/>
        </w:trPr>
        <w:tc>
          <w:tcPr>
            <w:tcW w:w="2638" w:type="dxa"/>
            <w:tcBorders>
              <w:top w:val="single" w:sz="4" w:space="0" w:color="auto"/>
              <w:left w:val="single" w:sz="8" w:space="0" w:color="auto"/>
              <w:bottom w:val="single" w:sz="4" w:space="0" w:color="auto"/>
              <w:right w:val="single" w:sz="4" w:space="0" w:color="000000"/>
            </w:tcBorders>
            <w:shd w:val="clear" w:color="auto" w:fill="auto"/>
            <w:noWrap/>
            <w:hideMark/>
          </w:tcPr>
          <w:p w14:paraId="5C1D2EA2" w14:textId="77777777" w:rsidR="00DB1AEA" w:rsidRPr="00DB1AEA" w:rsidRDefault="00DB1AEA" w:rsidP="00DB1AEA">
            <w:pPr>
              <w:spacing w:after="0"/>
              <w:ind w:firstLine="0"/>
              <w:jc w:val="left"/>
              <w:rPr>
                <w:rFonts w:asciiTheme="minorHAnsi" w:hAnsiTheme="minorHAnsi" w:cstheme="minorHAnsi"/>
                <w:color w:val="000000"/>
                <w:sz w:val="18"/>
                <w:szCs w:val="18"/>
              </w:rPr>
            </w:pPr>
            <w:r w:rsidRPr="00DB1AEA">
              <w:rPr>
                <w:rFonts w:asciiTheme="minorHAnsi" w:hAnsiTheme="minorHAnsi" w:cstheme="minorHAnsi"/>
                <w:color w:val="000000"/>
                <w:sz w:val="18"/>
                <w:szCs w:val="18"/>
              </w:rPr>
              <w:t>stredné podniky</w:t>
            </w:r>
          </w:p>
        </w:tc>
        <w:tc>
          <w:tcPr>
            <w:tcW w:w="1344" w:type="dxa"/>
            <w:tcBorders>
              <w:top w:val="nil"/>
              <w:left w:val="nil"/>
              <w:bottom w:val="single" w:sz="4" w:space="0" w:color="auto"/>
              <w:right w:val="single" w:sz="4" w:space="0" w:color="auto"/>
            </w:tcBorders>
            <w:shd w:val="clear" w:color="auto" w:fill="auto"/>
            <w:noWrap/>
            <w:vAlign w:val="bottom"/>
            <w:hideMark/>
          </w:tcPr>
          <w:p w14:paraId="6692F389"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14 642 222,78</w:t>
            </w:r>
          </w:p>
        </w:tc>
        <w:tc>
          <w:tcPr>
            <w:tcW w:w="1330" w:type="dxa"/>
            <w:tcBorders>
              <w:top w:val="nil"/>
              <w:left w:val="nil"/>
              <w:bottom w:val="single" w:sz="4" w:space="0" w:color="auto"/>
              <w:right w:val="single" w:sz="4" w:space="0" w:color="auto"/>
            </w:tcBorders>
            <w:shd w:val="clear" w:color="auto" w:fill="auto"/>
            <w:noWrap/>
            <w:vAlign w:val="bottom"/>
            <w:hideMark/>
          </w:tcPr>
          <w:p w14:paraId="2E95C42F"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5 531 459,60</w:t>
            </w:r>
          </w:p>
        </w:tc>
        <w:tc>
          <w:tcPr>
            <w:tcW w:w="1300" w:type="dxa"/>
            <w:tcBorders>
              <w:top w:val="nil"/>
              <w:left w:val="nil"/>
              <w:bottom w:val="single" w:sz="4" w:space="0" w:color="auto"/>
              <w:right w:val="single" w:sz="4" w:space="0" w:color="auto"/>
            </w:tcBorders>
            <w:shd w:val="clear" w:color="auto" w:fill="auto"/>
            <w:noWrap/>
            <w:vAlign w:val="bottom"/>
            <w:hideMark/>
          </w:tcPr>
          <w:p w14:paraId="42940AC1"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9 110 763,18</w:t>
            </w:r>
          </w:p>
        </w:tc>
        <w:tc>
          <w:tcPr>
            <w:tcW w:w="1161" w:type="dxa"/>
            <w:tcBorders>
              <w:top w:val="nil"/>
              <w:left w:val="nil"/>
              <w:bottom w:val="single" w:sz="4" w:space="0" w:color="auto"/>
              <w:right w:val="single" w:sz="4" w:space="0" w:color="auto"/>
            </w:tcBorders>
            <w:shd w:val="clear" w:color="auto" w:fill="auto"/>
            <w:noWrap/>
            <w:vAlign w:val="bottom"/>
            <w:hideMark/>
          </w:tcPr>
          <w:p w14:paraId="446D531F"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273</w:t>
            </w:r>
          </w:p>
        </w:tc>
        <w:tc>
          <w:tcPr>
            <w:tcW w:w="1274" w:type="dxa"/>
            <w:tcBorders>
              <w:top w:val="nil"/>
              <w:left w:val="nil"/>
              <w:bottom w:val="single" w:sz="4" w:space="0" w:color="auto"/>
              <w:right w:val="single" w:sz="8" w:space="0" w:color="auto"/>
            </w:tcBorders>
            <w:shd w:val="clear" w:color="auto" w:fill="auto"/>
            <w:noWrap/>
            <w:vAlign w:val="bottom"/>
            <w:hideMark/>
          </w:tcPr>
          <w:p w14:paraId="311AB144"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6 887</w:t>
            </w:r>
          </w:p>
        </w:tc>
      </w:tr>
      <w:tr w:rsidR="00DB1AEA" w:rsidRPr="00DB1AEA" w14:paraId="5F0EEAA7" w14:textId="77777777" w:rsidTr="00DB1AEA">
        <w:trPr>
          <w:trHeight w:val="264"/>
        </w:trPr>
        <w:tc>
          <w:tcPr>
            <w:tcW w:w="2638" w:type="dxa"/>
            <w:tcBorders>
              <w:top w:val="single" w:sz="4" w:space="0" w:color="auto"/>
              <w:left w:val="single" w:sz="8" w:space="0" w:color="auto"/>
              <w:bottom w:val="nil"/>
              <w:right w:val="single" w:sz="4" w:space="0" w:color="000000"/>
            </w:tcBorders>
            <w:shd w:val="clear" w:color="auto" w:fill="auto"/>
            <w:noWrap/>
            <w:hideMark/>
          </w:tcPr>
          <w:p w14:paraId="2EC3CB00" w14:textId="77777777" w:rsidR="00DB1AEA" w:rsidRPr="00DB1AEA" w:rsidRDefault="00DB1AEA" w:rsidP="00DB1AEA">
            <w:pPr>
              <w:spacing w:after="0"/>
              <w:ind w:firstLine="0"/>
              <w:jc w:val="lef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Spolu MSP</w:t>
            </w:r>
          </w:p>
        </w:tc>
        <w:tc>
          <w:tcPr>
            <w:tcW w:w="1344" w:type="dxa"/>
            <w:tcBorders>
              <w:top w:val="nil"/>
              <w:left w:val="nil"/>
              <w:bottom w:val="nil"/>
              <w:right w:val="single" w:sz="4" w:space="0" w:color="auto"/>
            </w:tcBorders>
            <w:shd w:val="clear" w:color="auto" w:fill="auto"/>
            <w:noWrap/>
            <w:vAlign w:val="bottom"/>
            <w:hideMark/>
          </w:tcPr>
          <w:p w14:paraId="284F7852"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122 475 154,90</w:t>
            </w:r>
          </w:p>
        </w:tc>
        <w:tc>
          <w:tcPr>
            <w:tcW w:w="1330" w:type="dxa"/>
            <w:tcBorders>
              <w:top w:val="nil"/>
              <w:left w:val="nil"/>
              <w:bottom w:val="nil"/>
              <w:right w:val="single" w:sz="4" w:space="0" w:color="auto"/>
            </w:tcBorders>
            <w:shd w:val="clear" w:color="auto" w:fill="auto"/>
            <w:noWrap/>
            <w:vAlign w:val="bottom"/>
            <w:hideMark/>
          </w:tcPr>
          <w:p w14:paraId="0BC7B9E9"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43 205 560,96</w:t>
            </w:r>
          </w:p>
        </w:tc>
        <w:tc>
          <w:tcPr>
            <w:tcW w:w="1300" w:type="dxa"/>
            <w:tcBorders>
              <w:top w:val="nil"/>
              <w:left w:val="nil"/>
              <w:bottom w:val="nil"/>
              <w:right w:val="single" w:sz="4" w:space="0" w:color="auto"/>
            </w:tcBorders>
            <w:shd w:val="clear" w:color="auto" w:fill="auto"/>
            <w:noWrap/>
            <w:vAlign w:val="bottom"/>
            <w:hideMark/>
          </w:tcPr>
          <w:p w14:paraId="0833C423"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79 302 476,75</w:t>
            </w:r>
          </w:p>
        </w:tc>
        <w:tc>
          <w:tcPr>
            <w:tcW w:w="1161" w:type="dxa"/>
            <w:tcBorders>
              <w:top w:val="nil"/>
              <w:left w:val="nil"/>
              <w:bottom w:val="nil"/>
              <w:right w:val="single" w:sz="4" w:space="0" w:color="auto"/>
            </w:tcBorders>
            <w:shd w:val="clear" w:color="auto" w:fill="auto"/>
            <w:noWrap/>
            <w:vAlign w:val="bottom"/>
            <w:hideMark/>
          </w:tcPr>
          <w:p w14:paraId="44F837CC"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7 700</w:t>
            </w:r>
          </w:p>
        </w:tc>
        <w:tc>
          <w:tcPr>
            <w:tcW w:w="1274" w:type="dxa"/>
            <w:tcBorders>
              <w:top w:val="nil"/>
              <w:left w:val="nil"/>
              <w:bottom w:val="nil"/>
              <w:right w:val="single" w:sz="4" w:space="0" w:color="auto"/>
            </w:tcBorders>
            <w:shd w:val="clear" w:color="auto" w:fill="auto"/>
            <w:noWrap/>
            <w:vAlign w:val="bottom"/>
            <w:hideMark/>
          </w:tcPr>
          <w:p w14:paraId="01817916"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33 746</w:t>
            </w:r>
          </w:p>
        </w:tc>
      </w:tr>
      <w:tr w:rsidR="00DB1AEA" w:rsidRPr="00DB1AEA" w14:paraId="13B3C303" w14:textId="77777777" w:rsidTr="00DB1AEA">
        <w:trPr>
          <w:trHeight w:val="264"/>
        </w:trPr>
        <w:tc>
          <w:tcPr>
            <w:tcW w:w="263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4CE235" w14:textId="77777777" w:rsidR="00DB1AEA" w:rsidRPr="00DB1AEA" w:rsidRDefault="00DB1AEA" w:rsidP="00DB1AEA">
            <w:pPr>
              <w:spacing w:after="0"/>
              <w:ind w:firstLine="0"/>
              <w:jc w:val="lef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Veľké podniky</w:t>
            </w:r>
          </w:p>
        </w:tc>
        <w:tc>
          <w:tcPr>
            <w:tcW w:w="1344" w:type="dxa"/>
            <w:tcBorders>
              <w:top w:val="single" w:sz="8" w:space="0" w:color="auto"/>
              <w:left w:val="nil"/>
              <w:bottom w:val="single" w:sz="8" w:space="0" w:color="auto"/>
              <w:right w:val="single" w:sz="4" w:space="0" w:color="auto"/>
            </w:tcBorders>
            <w:shd w:val="clear" w:color="auto" w:fill="auto"/>
            <w:noWrap/>
            <w:vAlign w:val="bottom"/>
            <w:hideMark/>
          </w:tcPr>
          <w:p w14:paraId="528EF2E1"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6 692 025,81</w:t>
            </w:r>
          </w:p>
        </w:tc>
        <w:tc>
          <w:tcPr>
            <w:tcW w:w="1330" w:type="dxa"/>
            <w:tcBorders>
              <w:top w:val="single" w:sz="8" w:space="0" w:color="auto"/>
              <w:left w:val="nil"/>
              <w:bottom w:val="single" w:sz="8" w:space="0" w:color="auto"/>
              <w:right w:val="single" w:sz="4" w:space="0" w:color="auto"/>
            </w:tcBorders>
            <w:shd w:val="clear" w:color="auto" w:fill="auto"/>
            <w:noWrap/>
            <w:vAlign w:val="bottom"/>
            <w:hideMark/>
          </w:tcPr>
          <w:p w14:paraId="51088398"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1 442 692,61</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4EAD4099"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5 249 333,20</w:t>
            </w:r>
          </w:p>
        </w:tc>
        <w:tc>
          <w:tcPr>
            <w:tcW w:w="1161" w:type="dxa"/>
            <w:tcBorders>
              <w:top w:val="single" w:sz="8" w:space="0" w:color="auto"/>
              <w:left w:val="nil"/>
              <w:bottom w:val="single" w:sz="8" w:space="0" w:color="auto"/>
              <w:right w:val="single" w:sz="4" w:space="0" w:color="auto"/>
            </w:tcBorders>
            <w:shd w:val="clear" w:color="auto" w:fill="auto"/>
            <w:noWrap/>
            <w:vAlign w:val="bottom"/>
            <w:hideMark/>
          </w:tcPr>
          <w:p w14:paraId="67941A60"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153</w:t>
            </w:r>
          </w:p>
        </w:tc>
        <w:tc>
          <w:tcPr>
            <w:tcW w:w="1274" w:type="dxa"/>
            <w:tcBorders>
              <w:top w:val="single" w:sz="8" w:space="0" w:color="auto"/>
              <w:left w:val="nil"/>
              <w:bottom w:val="single" w:sz="8" w:space="0" w:color="auto"/>
              <w:right w:val="single" w:sz="8" w:space="0" w:color="auto"/>
            </w:tcBorders>
            <w:shd w:val="clear" w:color="auto" w:fill="auto"/>
            <w:noWrap/>
            <w:vAlign w:val="bottom"/>
            <w:hideMark/>
          </w:tcPr>
          <w:p w14:paraId="37C4CB30"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10 916</w:t>
            </w:r>
          </w:p>
        </w:tc>
      </w:tr>
      <w:tr w:rsidR="00DB1AEA" w:rsidRPr="00DB1AEA" w14:paraId="6137FC78" w14:textId="77777777" w:rsidTr="00DB1AEA">
        <w:trPr>
          <w:trHeight w:val="251"/>
        </w:trPr>
        <w:tc>
          <w:tcPr>
            <w:tcW w:w="2638" w:type="dxa"/>
            <w:tcBorders>
              <w:top w:val="nil"/>
              <w:left w:val="single" w:sz="8" w:space="0" w:color="auto"/>
              <w:bottom w:val="single" w:sz="4" w:space="0" w:color="auto"/>
              <w:right w:val="single" w:sz="4" w:space="0" w:color="auto"/>
            </w:tcBorders>
            <w:shd w:val="clear" w:color="auto" w:fill="auto"/>
            <w:noWrap/>
            <w:vAlign w:val="center"/>
            <w:hideMark/>
          </w:tcPr>
          <w:p w14:paraId="724D0402" w14:textId="77777777" w:rsidR="00DB1AEA" w:rsidRPr="00DB1AEA" w:rsidRDefault="00DB1AEA" w:rsidP="00DB1AEA">
            <w:pPr>
              <w:spacing w:after="0"/>
              <w:ind w:firstLine="0"/>
              <w:jc w:val="left"/>
              <w:rPr>
                <w:rFonts w:asciiTheme="minorHAnsi" w:hAnsiTheme="minorHAnsi" w:cstheme="minorHAnsi"/>
                <w:color w:val="000000"/>
                <w:sz w:val="18"/>
                <w:szCs w:val="18"/>
              </w:rPr>
            </w:pPr>
            <w:r w:rsidRPr="00DB1AEA">
              <w:rPr>
                <w:rFonts w:asciiTheme="minorHAnsi" w:hAnsiTheme="minorHAnsi" w:cstheme="minorHAnsi"/>
                <w:color w:val="000000"/>
                <w:sz w:val="18"/>
                <w:szCs w:val="18"/>
              </w:rPr>
              <w:t>Veľkosť podniku - nezadaný</w:t>
            </w:r>
          </w:p>
        </w:tc>
        <w:tc>
          <w:tcPr>
            <w:tcW w:w="1344" w:type="dxa"/>
            <w:tcBorders>
              <w:top w:val="nil"/>
              <w:left w:val="nil"/>
              <w:bottom w:val="single" w:sz="4" w:space="0" w:color="auto"/>
              <w:right w:val="single" w:sz="4" w:space="0" w:color="auto"/>
            </w:tcBorders>
            <w:shd w:val="clear" w:color="auto" w:fill="auto"/>
            <w:noWrap/>
            <w:vAlign w:val="bottom"/>
            <w:hideMark/>
          </w:tcPr>
          <w:p w14:paraId="0F9FAA3B"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117 839,12</w:t>
            </w:r>
          </w:p>
        </w:tc>
        <w:tc>
          <w:tcPr>
            <w:tcW w:w="1330" w:type="dxa"/>
            <w:tcBorders>
              <w:top w:val="nil"/>
              <w:left w:val="nil"/>
              <w:bottom w:val="single" w:sz="4" w:space="0" w:color="auto"/>
              <w:right w:val="single" w:sz="4" w:space="0" w:color="auto"/>
            </w:tcBorders>
            <w:shd w:val="clear" w:color="auto" w:fill="auto"/>
            <w:noWrap/>
            <w:vAlign w:val="bottom"/>
            <w:hideMark/>
          </w:tcPr>
          <w:p w14:paraId="7B524351"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15 770,51</w:t>
            </w:r>
          </w:p>
        </w:tc>
        <w:tc>
          <w:tcPr>
            <w:tcW w:w="1300" w:type="dxa"/>
            <w:tcBorders>
              <w:top w:val="nil"/>
              <w:left w:val="nil"/>
              <w:bottom w:val="single" w:sz="4" w:space="0" w:color="auto"/>
              <w:right w:val="single" w:sz="4" w:space="0" w:color="auto"/>
            </w:tcBorders>
            <w:shd w:val="clear" w:color="auto" w:fill="auto"/>
            <w:noWrap/>
            <w:vAlign w:val="bottom"/>
            <w:hideMark/>
          </w:tcPr>
          <w:p w14:paraId="1DED68DF"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102 068,61</w:t>
            </w:r>
          </w:p>
        </w:tc>
        <w:tc>
          <w:tcPr>
            <w:tcW w:w="1161" w:type="dxa"/>
            <w:tcBorders>
              <w:top w:val="nil"/>
              <w:left w:val="nil"/>
              <w:bottom w:val="single" w:sz="4" w:space="0" w:color="auto"/>
              <w:right w:val="single" w:sz="4" w:space="0" w:color="auto"/>
            </w:tcBorders>
            <w:shd w:val="clear" w:color="auto" w:fill="auto"/>
            <w:noWrap/>
            <w:vAlign w:val="bottom"/>
            <w:hideMark/>
          </w:tcPr>
          <w:p w14:paraId="37DD02F6"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30</w:t>
            </w:r>
          </w:p>
        </w:tc>
        <w:tc>
          <w:tcPr>
            <w:tcW w:w="1274" w:type="dxa"/>
            <w:tcBorders>
              <w:top w:val="nil"/>
              <w:left w:val="nil"/>
              <w:bottom w:val="single" w:sz="4" w:space="0" w:color="auto"/>
              <w:right w:val="single" w:sz="8" w:space="0" w:color="auto"/>
            </w:tcBorders>
            <w:shd w:val="clear" w:color="auto" w:fill="auto"/>
            <w:noWrap/>
            <w:vAlign w:val="bottom"/>
            <w:hideMark/>
          </w:tcPr>
          <w:p w14:paraId="34C769F0"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195</w:t>
            </w:r>
          </w:p>
        </w:tc>
      </w:tr>
      <w:tr w:rsidR="00DB1AEA" w:rsidRPr="00DB1AEA" w14:paraId="72379C5D" w14:textId="77777777" w:rsidTr="00DB1AEA">
        <w:trPr>
          <w:trHeight w:val="264"/>
        </w:trPr>
        <w:tc>
          <w:tcPr>
            <w:tcW w:w="2638" w:type="dxa"/>
            <w:tcBorders>
              <w:top w:val="single" w:sz="4" w:space="0" w:color="auto"/>
              <w:left w:val="single" w:sz="8" w:space="0" w:color="auto"/>
              <w:bottom w:val="nil"/>
              <w:right w:val="single" w:sz="4" w:space="0" w:color="auto"/>
            </w:tcBorders>
            <w:shd w:val="clear" w:color="auto" w:fill="auto"/>
            <w:noWrap/>
            <w:vAlign w:val="center"/>
            <w:hideMark/>
          </w:tcPr>
          <w:p w14:paraId="3BDD7118" w14:textId="77777777" w:rsidR="00DB1AEA" w:rsidRPr="00DB1AEA" w:rsidRDefault="00DB1AEA" w:rsidP="00DB1AEA">
            <w:pPr>
              <w:spacing w:after="0"/>
              <w:ind w:firstLine="0"/>
              <w:jc w:val="left"/>
              <w:rPr>
                <w:rFonts w:asciiTheme="minorHAnsi" w:hAnsiTheme="minorHAnsi" w:cstheme="minorHAnsi"/>
                <w:color w:val="000000"/>
                <w:sz w:val="18"/>
                <w:szCs w:val="18"/>
              </w:rPr>
            </w:pPr>
            <w:r w:rsidRPr="00DB1AEA">
              <w:rPr>
                <w:rFonts w:asciiTheme="minorHAnsi" w:hAnsiTheme="minorHAnsi" w:cstheme="minorHAnsi"/>
                <w:color w:val="000000"/>
                <w:sz w:val="18"/>
                <w:szCs w:val="18"/>
              </w:rPr>
              <w:t>Veľkosť podniku - nevyplnený</w:t>
            </w:r>
          </w:p>
        </w:tc>
        <w:tc>
          <w:tcPr>
            <w:tcW w:w="1344" w:type="dxa"/>
            <w:tcBorders>
              <w:top w:val="nil"/>
              <w:left w:val="nil"/>
              <w:bottom w:val="nil"/>
              <w:right w:val="single" w:sz="4" w:space="0" w:color="auto"/>
            </w:tcBorders>
            <w:shd w:val="clear" w:color="auto" w:fill="auto"/>
            <w:noWrap/>
            <w:vAlign w:val="bottom"/>
            <w:hideMark/>
          </w:tcPr>
          <w:p w14:paraId="394875F8"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42 874,69</w:t>
            </w:r>
          </w:p>
        </w:tc>
        <w:tc>
          <w:tcPr>
            <w:tcW w:w="1330" w:type="dxa"/>
            <w:tcBorders>
              <w:top w:val="nil"/>
              <w:left w:val="nil"/>
              <w:bottom w:val="nil"/>
              <w:right w:val="single" w:sz="4" w:space="0" w:color="auto"/>
            </w:tcBorders>
            <w:shd w:val="clear" w:color="auto" w:fill="auto"/>
            <w:noWrap/>
            <w:vAlign w:val="bottom"/>
            <w:hideMark/>
          </w:tcPr>
          <w:p w14:paraId="2BE2732D"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0,00</w:t>
            </w:r>
          </w:p>
        </w:tc>
        <w:tc>
          <w:tcPr>
            <w:tcW w:w="1300" w:type="dxa"/>
            <w:tcBorders>
              <w:top w:val="nil"/>
              <w:left w:val="nil"/>
              <w:bottom w:val="nil"/>
              <w:right w:val="single" w:sz="4" w:space="0" w:color="auto"/>
            </w:tcBorders>
            <w:shd w:val="clear" w:color="auto" w:fill="auto"/>
            <w:noWrap/>
            <w:vAlign w:val="bottom"/>
            <w:hideMark/>
          </w:tcPr>
          <w:p w14:paraId="29695526"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42 874,69</w:t>
            </w:r>
          </w:p>
        </w:tc>
        <w:tc>
          <w:tcPr>
            <w:tcW w:w="1161" w:type="dxa"/>
            <w:tcBorders>
              <w:top w:val="nil"/>
              <w:left w:val="nil"/>
              <w:bottom w:val="nil"/>
              <w:right w:val="single" w:sz="4" w:space="0" w:color="auto"/>
            </w:tcBorders>
            <w:shd w:val="clear" w:color="auto" w:fill="auto"/>
            <w:noWrap/>
            <w:vAlign w:val="bottom"/>
            <w:hideMark/>
          </w:tcPr>
          <w:p w14:paraId="48F45770"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7</w:t>
            </w:r>
          </w:p>
        </w:tc>
        <w:tc>
          <w:tcPr>
            <w:tcW w:w="1274" w:type="dxa"/>
            <w:tcBorders>
              <w:top w:val="nil"/>
              <w:left w:val="nil"/>
              <w:bottom w:val="nil"/>
              <w:right w:val="single" w:sz="8" w:space="0" w:color="auto"/>
            </w:tcBorders>
            <w:shd w:val="clear" w:color="auto" w:fill="auto"/>
            <w:noWrap/>
            <w:vAlign w:val="bottom"/>
            <w:hideMark/>
          </w:tcPr>
          <w:p w14:paraId="60CB4C36" w14:textId="77777777" w:rsidR="00DB1AEA" w:rsidRPr="00DB1AEA" w:rsidRDefault="00DB1AEA" w:rsidP="00DB1AEA">
            <w:pPr>
              <w:spacing w:after="0"/>
              <w:ind w:firstLine="0"/>
              <w:jc w:val="right"/>
              <w:rPr>
                <w:rFonts w:asciiTheme="minorHAnsi" w:hAnsiTheme="minorHAnsi" w:cstheme="minorHAnsi"/>
                <w:color w:val="000000"/>
                <w:sz w:val="18"/>
                <w:szCs w:val="18"/>
              </w:rPr>
            </w:pPr>
            <w:r w:rsidRPr="00DB1AEA">
              <w:rPr>
                <w:rFonts w:asciiTheme="minorHAnsi" w:hAnsiTheme="minorHAnsi" w:cstheme="minorHAnsi"/>
                <w:color w:val="000000"/>
                <w:sz w:val="18"/>
                <w:szCs w:val="18"/>
              </w:rPr>
              <w:t>33</w:t>
            </w:r>
          </w:p>
        </w:tc>
      </w:tr>
      <w:tr w:rsidR="00DB1AEA" w:rsidRPr="00DB1AEA" w14:paraId="763B919B" w14:textId="77777777" w:rsidTr="00DB1AEA">
        <w:trPr>
          <w:trHeight w:val="264"/>
        </w:trPr>
        <w:tc>
          <w:tcPr>
            <w:tcW w:w="263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769970" w14:textId="77777777" w:rsidR="00DB1AEA" w:rsidRPr="00DB1AEA" w:rsidRDefault="00DB1AEA" w:rsidP="00DB1AEA">
            <w:pPr>
              <w:spacing w:after="0"/>
              <w:ind w:firstLine="0"/>
              <w:jc w:val="lef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Spolu</w:t>
            </w:r>
          </w:p>
        </w:tc>
        <w:tc>
          <w:tcPr>
            <w:tcW w:w="1344" w:type="dxa"/>
            <w:tcBorders>
              <w:top w:val="single" w:sz="8" w:space="0" w:color="auto"/>
              <w:left w:val="nil"/>
              <w:bottom w:val="single" w:sz="8" w:space="0" w:color="auto"/>
              <w:right w:val="single" w:sz="4" w:space="0" w:color="auto"/>
            </w:tcBorders>
            <w:shd w:val="clear" w:color="auto" w:fill="auto"/>
            <w:noWrap/>
            <w:vAlign w:val="bottom"/>
            <w:hideMark/>
          </w:tcPr>
          <w:p w14:paraId="12E94F0F"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129 327 894,52</w:t>
            </w:r>
          </w:p>
        </w:tc>
        <w:tc>
          <w:tcPr>
            <w:tcW w:w="1330" w:type="dxa"/>
            <w:tcBorders>
              <w:top w:val="single" w:sz="8" w:space="0" w:color="auto"/>
              <w:left w:val="nil"/>
              <w:bottom w:val="single" w:sz="8" w:space="0" w:color="auto"/>
              <w:right w:val="single" w:sz="4" w:space="0" w:color="auto"/>
            </w:tcBorders>
            <w:shd w:val="clear" w:color="auto" w:fill="auto"/>
            <w:noWrap/>
            <w:vAlign w:val="bottom"/>
            <w:hideMark/>
          </w:tcPr>
          <w:p w14:paraId="1B8A9F1C"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44 664 024,08</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3006B28A"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84 696 753,25</w:t>
            </w:r>
          </w:p>
        </w:tc>
        <w:tc>
          <w:tcPr>
            <w:tcW w:w="1161" w:type="dxa"/>
            <w:tcBorders>
              <w:top w:val="single" w:sz="8" w:space="0" w:color="auto"/>
              <w:left w:val="nil"/>
              <w:bottom w:val="single" w:sz="8" w:space="0" w:color="auto"/>
              <w:right w:val="single" w:sz="4" w:space="0" w:color="auto"/>
            </w:tcBorders>
            <w:shd w:val="clear" w:color="auto" w:fill="auto"/>
            <w:noWrap/>
            <w:vAlign w:val="bottom"/>
            <w:hideMark/>
          </w:tcPr>
          <w:p w14:paraId="0BFC28E9"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7 864</w:t>
            </w:r>
          </w:p>
        </w:tc>
        <w:tc>
          <w:tcPr>
            <w:tcW w:w="1274" w:type="dxa"/>
            <w:tcBorders>
              <w:top w:val="single" w:sz="8" w:space="0" w:color="auto"/>
              <w:left w:val="nil"/>
              <w:bottom w:val="single" w:sz="8" w:space="0" w:color="auto"/>
              <w:right w:val="single" w:sz="4" w:space="0" w:color="auto"/>
            </w:tcBorders>
            <w:shd w:val="clear" w:color="auto" w:fill="auto"/>
            <w:noWrap/>
            <w:vAlign w:val="bottom"/>
            <w:hideMark/>
          </w:tcPr>
          <w:p w14:paraId="63BA1EC7" w14:textId="77777777" w:rsidR="00DB1AEA" w:rsidRPr="00DB1AEA" w:rsidRDefault="00DB1AEA" w:rsidP="00DB1AEA">
            <w:pPr>
              <w:spacing w:after="0"/>
              <w:ind w:firstLine="0"/>
              <w:jc w:val="right"/>
              <w:rPr>
                <w:rFonts w:asciiTheme="minorHAnsi" w:hAnsiTheme="minorHAnsi" w:cstheme="minorHAnsi"/>
                <w:b/>
                <w:bCs/>
                <w:color w:val="000000"/>
                <w:sz w:val="18"/>
                <w:szCs w:val="18"/>
              </w:rPr>
            </w:pPr>
            <w:r w:rsidRPr="00DB1AEA">
              <w:rPr>
                <w:rFonts w:asciiTheme="minorHAnsi" w:hAnsiTheme="minorHAnsi" w:cstheme="minorHAnsi"/>
                <w:b/>
                <w:bCs/>
                <w:color w:val="000000"/>
                <w:sz w:val="18"/>
                <w:szCs w:val="18"/>
              </w:rPr>
              <w:t>44 890</w:t>
            </w:r>
          </w:p>
        </w:tc>
      </w:tr>
    </w:tbl>
    <w:p w14:paraId="4A0FE1A8" w14:textId="39CBA00B" w:rsidR="00B02A0B" w:rsidRPr="0062585F" w:rsidRDefault="0057796E" w:rsidP="0062585F">
      <w:pPr>
        <w:pStyle w:val="Nadpis2"/>
      </w:pPr>
      <w:bookmarkStart w:id="8" w:name="_Toc199230808"/>
      <w:bookmarkStart w:id="9" w:name="_Toc514941024"/>
      <w:bookmarkStart w:id="10" w:name="_Toc37094580"/>
      <w:r w:rsidRPr="0062585F">
        <w:t>Aktívne opatrenia na trhu práce</w:t>
      </w:r>
      <w:bookmarkEnd w:id="8"/>
    </w:p>
    <w:bookmarkEnd w:id="9"/>
    <w:bookmarkEnd w:id="10"/>
    <w:p w14:paraId="1C338367" w14:textId="64FAC8F6" w:rsidR="00055F80" w:rsidRDefault="0053696F" w:rsidP="005C09D5">
      <w:pPr>
        <w:pStyle w:val="Odsekzoznamu"/>
        <w:spacing w:after="120"/>
        <w:ind w:firstLine="0"/>
        <w:rPr>
          <w:rFonts w:cs="Times New Roman"/>
        </w:rPr>
      </w:pPr>
      <w:r>
        <w:rPr>
          <w:rFonts w:cs="Times New Roman"/>
        </w:rPr>
        <w:t xml:space="preserve">Jednotlivé AOTP tak, ako sú ustanovené v zákone o službách zamestnanosti a taktiež v zákone </w:t>
      </w:r>
      <w:r w:rsidRPr="0053696F">
        <w:rPr>
          <w:rFonts w:cs="Times New Roman"/>
        </w:rPr>
        <w:t>o sociálnej ekonomike</w:t>
      </w:r>
      <w:r>
        <w:rPr>
          <w:rFonts w:cs="Times New Roman"/>
        </w:rPr>
        <w:t>,</w:t>
      </w:r>
      <w:r w:rsidRPr="0053696F">
        <w:rPr>
          <w:rFonts w:cs="Times New Roman"/>
        </w:rPr>
        <w:t xml:space="preserve"> </w:t>
      </w:r>
      <w:r w:rsidR="003A194D" w:rsidRPr="00C35CA8">
        <w:rPr>
          <w:rFonts w:cs="Times New Roman"/>
        </w:rPr>
        <w:t xml:space="preserve">možno </w:t>
      </w:r>
      <w:r w:rsidR="009E77D7">
        <w:rPr>
          <w:rFonts w:cs="Times New Roman"/>
        </w:rPr>
        <w:t xml:space="preserve">pracovne </w:t>
      </w:r>
      <w:r w:rsidR="003A194D" w:rsidRPr="00C35CA8">
        <w:rPr>
          <w:rFonts w:cs="Times New Roman"/>
        </w:rPr>
        <w:t xml:space="preserve">členiť podľa ich zamerania na opatrenia a príspevky zvyšujúce zamestnateľnosť </w:t>
      </w:r>
      <w:r w:rsidR="0092073D" w:rsidRPr="00C35CA8">
        <w:rPr>
          <w:rFonts w:cs="Times New Roman"/>
        </w:rPr>
        <w:t>UoZ</w:t>
      </w:r>
      <w:r w:rsidR="009E77D7">
        <w:rPr>
          <w:rFonts w:cs="Times New Roman"/>
        </w:rPr>
        <w:t xml:space="preserve"> (intervencie do osoby</w:t>
      </w:r>
      <w:r w:rsidR="00315AFB">
        <w:rPr>
          <w:rFonts w:cs="Times New Roman"/>
        </w:rPr>
        <w:t xml:space="preserve"> UoZ/</w:t>
      </w:r>
      <w:r>
        <w:rPr>
          <w:rFonts w:cs="Times New Roman"/>
        </w:rPr>
        <w:t>ZoZ</w:t>
      </w:r>
      <w:r w:rsidR="009E77D7">
        <w:rPr>
          <w:rFonts w:cs="Times New Roman"/>
        </w:rPr>
        <w:t>)</w:t>
      </w:r>
      <w:r w:rsidR="003A194D" w:rsidRPr="00C35CA8">
        <w:rPr>
          <w:rFonts w:cs="Times New Roman"/>
        </w:rPr>
        <w:t xml:space="preserve">, zvyšujúce zamestnanosť podporou vytvárania nových </w:t>
      </w:r>
      <w:r w:rsidR="0092073D" w:rsidRPr="00C35CA8">
        <w:rPr>
          <w:rFonts w:cs="Times New Roman"/>
        </w:rPr>
        <w:t>PM</w:t>
      </w:r>
      <w:r w:rsidR="003A194D" w:rsidRPr="00C35CA8">
        <w:rPr>
          <w:rFonts w:cs="Times New Roman"/>
        </w:rPr>
        <w:t xml:space="preserve"> </w:t>
      </w:r>
      <w:r w:rsidR="009E77D7">
        <w:rPr>
          <w:rFonts w:cs="Times New Roman"/>
        </w:rPr>
        <w:t xml:space="preserve">(intervencie smerom k zamestnávateľom aj SZČO) </w:t>
      </w:r>
      <w:r w:rsidR="003A194D" w:rsidRPr="00C35CA8">
        <w:rPr>
          <w:rFonts w:cs="Times New Roman"/>
        </w:rPr>
        <w:t>a</w:t>
      </w:r>
      <w:r w:rsidR="009E77D7">
        <w:rPr>
          <w:rFonts w:cs="Times New Roman"/>
        </w:rPr>
        <w:t> </w:t>
      </w:r>
      <w:r w:rsidR="003A194D" w:rsidRPr="00C35CA8">
        <w:rPr>
          <w:rFonts w:cs="Times New Roman"/>
        </w:rPr>
        <w:t>opatrenia</w:t>
      </w:r>
      <w:r w:rsidR="009E77D7">
        <w:rPr>
          <w:rFonts w:cs="Times New Roman"/>
        </w:rPr>
        <w:t xml:space="preserve"> </w:t>
      </w:r>
      <w:r w:rsidR="003A194D" w:rsidRPr="00C35CA8">
        <w:rPr>
          <w:rFonts w:cs="Times New Roman"/>
        </w:rPr>
        <w:t>a príspevky podporujúce udržanie existujúcich PM</w:t>
      </w:r>
      <w:r w:rsidR="009E77D7">
        <w:rPr>
          <w:rFonts w:cs="Times New Roman"/>
        </w:rPr>
        <w:t xml:space="preserve"> (intervencie smerom k zamestnávateľom)</w:t>
      </w:r>
      <w:r w:rsidR="00CE5234" w:rsidRPr="00C35CA8">
        <w:rPr>
          <w:rFonts w:cs="Times New Roman"/>
        </w:rPr>
        <w:t>.</w:t>
      </w:r>
    </w:p>
    <w:p w14:paraId="7616F2F0" w14:textId="1FF25407" w:rsidR="003A194D" w:rsidRPr="0062585F" w:rsidRDefault="0062585F" w:rsidP="0062585F">
      <w:pPr>
        <w:pStyle w:val="Nadpis3"/>
      </w:pPr>
      <w:bookmarkStart w:id="11" w:name="_Toc360447220"/>
      <w:bookmarkStart w:id="12" w:name="_Toc362010880"/>
      <w:bookmarkStart w:id="13" w:name="_Toc514941025"/>
      <w:bookmarkStart w:id="14" w:name="_Toc37094581"/>
      <w:bookmarkStart w:id="15" w:name="_Toc199230809"/>
      <w:r>
        <w:t>Z</w:t>
      </w:r>
      <w:r w:rsidR="003A194D" w:rsidRPr="0062585F">
        <w:t>vyšovanie zamestnateľnosti</w:t>
      </w:r>
      <w:bookmarkEnd w:id="11"/>
      <w:bookmarkEnd w:id="12"/>
      <w:bookmarkEnd w:id="13"/>
      <w:bookmarkEnd w:id="14"/>
      <w:bookmarkEnd w:id="15"/>
      <w:r w:rsidR="003A194D" w:rsidRPr="0062585F">
        <w:t xml:space="preserve"> </w:t>
      </w:r>
    </w:p>
    <w:p w14:paraId="6972CA3C" w14:textId="03088783" w:rsidR="003A194D" w:rsidRPr="00C35CA8" w:rsidRDefault="003A194D" w:rsidP="009E77D7">
      <w:pPr>
        <w:spacing w:before="120" w:after="0"/>
        <w:ind w:firstLine="0"/>
      </w:pPr>
      <w:r w:rsidRPr="00C35CA8">
        <w:t xml:space="preserve">AOTP orientované na ponukovú stránku </w:t>
      </w:r>
      <w:r w:rsidR="009E77D7">
        <w:t>trhu práce</w:t>
      </w:r>
      <w:r w:rsidRPr="00C35CA8">
        <w:t>, t. j. na rozvoj potenciálu pracovnej sily a zvyšovanie jej zamestnateľnosti a pracovnej mobility, sú:</w:t>
      </w:r>
    </w:p>
    <w:p w14:paraId="73C5531C" w14:textId="77777777" w:rsidR="003A194D" w:rsidRPr="00C35CA8" w:rsidRDefault="003A194D" w:rsidP="00AA7E7B">
      <w:pPr>
        <w:numPr>
          <w:ilvl w:val="0"/>
          <w:numId w:val="4"/>
        </w:numPr>
        <w:spacing w:after="0"/>
        <w:ind w:left="284" w:hanging="284"/>
      </w:pPr>
      <w:r w:rsidRPr="00C35CA8">
        <w:t xml:space="preserve">poskytovanie náhrady častí cestovných výdavkov UoZ, ktoré súvisia s absolvovaním vstupného pohovoru alebo výberového konania </w:t>
      </w:r>
      <w:r w:rsidR="00821B1C" w:rsidRPr="00C35CA8">
        <w:t xml:space="preserve">(ďalej len „VK“) </w:t>
      </w:r>
      <w:r w:rsidRPr="00C35CA8">
        <w:t>u zamestnávateľa (§ 32</w:t>
      </w:r>
      <w:r w:rsidR="00AF75A3" w:rsidRPr="00C35CA8">
        <w:t xml:space="preserve"> </w:t>
      </w:r>
      <w:r w:rsidRPr="00C35CA8">
        <w:t xml:space="preserve">ods. 12 písm. d) </w:t>
      </w:r>
      <w:r w:rsidR="000008C8" w:rsidRPr="00C35CA8">
        <w:t>zákona o službách zamestnanosti</w:t>
      </w:r>
      <w:r w:rsidRPr="00C35CA8">
        <w:t>),</w:t>
      </w:r>
    </w:p>
    <w:p w14:paraId="741247EA" w14:textId="77777777" w:rsidR="003A194D" w:rsidRPr="00C35CA8" w:rsidRDefault="003A194D" w:rsidP="00AA7E7B">
      <w:pPr>
        <w:numPr>
          <w:ilvl w:val="0"/>
          <w:numId w:val="4"/>
        </w:numPr>
        <w:spacing w:after="0"/>
        <w:ind w:left="284" w:hanging="284"/>
      </w:pPr>
      <w:r w:rsidRPr="00C35CA8">
        <w:t>informačné a poradenské služby (§ 42 zákona</w:t>
      </w:r>
      <w:r w:rsidR="000008C8" w:rsidRPr="00C35CA8">
        <w:t xml:space="preserve"> o službách zamestnanosti</w:t>
      </w:r>
      <w:r w:rsidRPr="00C35CA8">
        <w:t>),</w:t>
      </w:r>
    </w:p>
    <w:p w14:paraId="7C5DC7D4" w14:textId="54508D32" w:rsidR="003A194D" w:rsidRPr="00C35CA8" w:rsidRDefault="003A194D" w:rsidP="00AA7E7B">
      <w:pPr>
        <w:numPr>
          <w:ilvl w:val="0"/>
          <w:numId w:val="4"/>
        </w:numPr>
        <w:spacing w:after="0"/>
        <w:ind w:left="284" w:hanging="284"/>
      </w:pPr>
      <w:r w:rsidRPr="00C35CA8">
        <w:t xml:space="preserve">odborné poradenské služby (§ 43 </w:t>
      </w:r>
      <w:r w:rsidR="00061DF7">
        <w:t xml:space="preserve">a § 54 </w:t>
      </w:r>
      <w:r w:rsidR="000008C8" w:rsidRPr="00C35CA8">
        <w:t>zákona o službách zamestnanosti</w:t>
      </w:r>
      <w:r w:rsidRPr="00C35CA8">
        <w:t>),</w:t>
      </w:r>
    </w:p>
    <w:p w14:paraId="500AA9E1" w14:textId="77777777" w:rsidR="009E77D7" w:rsidRDefault="003A194D" w:rsidP="009E77D7">
      <w:pPr>
        <w:numPr>
          <w:ilvl w:val="0"/>
          <w:numId w:val="4"/>
        </w:numPr>
        <w:spacing w:after="0"/>
        <w:ind w:left="284" w:hanging="284"/>
      </w:pPr>
      <w:r w:rsidRPr="00C35CA8">
        <w:t xml:space="preserve">vzdelávanie a príprava pre </w:t>
      </w:r>
      <w:r w:rsidR="000C2530" w:rsidRPr="00C35CA8">
        <w:t>TP</w:t>
      </w:r>
      <w:r w:rsidRPr="00C35CA8">
        <w:t xml:space="preserve"> UoZ (§ 46 </w:t>
      </w:r>
      <w:r w:rsidR="000008C8" w:rsidRPr="00C35CA8">
        <w:t>zákona o službách zamestnanosti</w:t>
      </w:r>
      <w:r w:rsidRPr="00C35CA8">
        <w:t>),</w:t>
      </w:r>
    </w:p>
    <w:p w14:paraId="6988CC6A" w14:textId="69395854" w:rsidR="009E77D7" w:rsidRPr="00C35CA8" w:rsidRDefault="009E77D7" w:rsidP="00282F1A">
      <w:pPr>
        <w:numPr>
          <w:ilvl w:val="0"/>
          <w:numId w:val="4"/>
        </w:numPr>
        <w:spacing w:after="0"/>
        <w:ind w:left="284" w:hanging="284"/>
      </w:pPr>
      <w:r>
        <w:t>p</w:t>
      </w:r>
      <w:r w:rsidRPr="009E77D7">
        <w:t xml:space="preserve">ríspevok na podporu rekvalifikácie </w:t>
      </w:r>
      <w:r w:rsidR="00061DF7">
        <w:t xml:space="preserve">UoZ </w:t>
      </w:r>
      <w:r>
        <w:t>(</w:t>
      </w:r>
      <w:r w:rsidRPr="009E77D7">
        <w:t>46a</w:t>
      </w:r>
      <w:r>
        <w:t xml:space="preserve"> </w:t>
      </w:r>
      <w:r w:rsidRPr="009E77D7">
        <w:t>zákona o službách zamestnanosti),</w:t>
      </w:r>
    </w:p>
    <w:p w14:paraId="7696AEF4" w14:textId="77777777" w:rsidR="003A194D" w:rsidRPr="00C35CA8" w:rsidRDefault="003A194D" w:rsidP="00AA7E7B">
      <w:pPr>
        <w:numPr>
          <w:ilvl w:val="0"/>
          <w:numId w:val="4"/>
        </w:numPr>
        <w:spacing w:after="0"/>
        <w:ind w:left="284" w:hanging="284"/>
      </w:pPr>
      <w:r w:rsidRPr="00C35CA8">
        <w:t xml:space="preserve">príspevok na vykonávanie absolventskej praxe (§ 51 </w:t>
      </w:r>
      <w:r w:rsidR="000008C8" w:rsidRPr="00C35CA8">
        <w:t>zákona o službách zamestnanosti</w:t>
      </w:r>
      <w:r w:rsidRPr="00C35CA8">
        <w:t>),</w:t>
      </w:r>
    </w:p>
    <w:p w14:paraId="2D328A41" w14:textId="77777777" w:rsidR="00061DF7" w:rsidRDefault="003A194D" w:rsidP="00061DF7">
      <w:pPr>
        <w:numPr>
          <w:ilvl w:val="0"/>
          <w:numId w:val="4"/>
        </w:numPr>
        <w:spacing w:after="0"/>
        <w:ind w:left="284" w:hanging="284"/>
      </w:pPr>
      <w:r w:rsidRPr="00C35CA8">
        <w:t xml:space="preserve">príspevok na aktivačnú činnosť formou menších obecných služieb pre obec alebo formou menších služieb pre samosprávny kraj (§ 52 </w:t>
      </w:r>
      <w:r w:rsidR="000008C8" w:rsidRPr="00C35CA8">
        <w:t>zákona o službách zamestnanosti</w:t>
      </w:r>
      <w:r w:rsidRPr="00C35CA8">
        <w:t>),</w:t>
      </w:r>
      <w:r w:rsidR="00061DF7">
        <w:t xml:space="preserve"> </w:t>
      </w:r>
    </w:p>
    <w:p w14:paraId="210F45C2" w14:textId="64B274AA" w:rsidR="00061DF7" w:rsidRDefault="00061DF7" w:rsidP="00061DF7">
      <w:pPr>
        <w:numPr>
          <w:ilvl w:val="0"/>
          <w:numId w:val="4"/>
        </w:numPr>
        <w:spacing w:after="0"/>
        <w:ind w:left="284" w:hanging="284"/>
      </w:pPr>
      <w:r>
        <w:t>príspevok na podporu rekvalifikácie UoZ (§54 ods. 1 písm. d) zákona o službách zamestnanosti),</w:t>
      </w:r>
    </w:p>
    <w:p w14:paraId="0DC2CB44" w14:textId="50CC398F" w:rsidR="003A194D" w:rsidRDefault="00061DF7" w:rsidP="00061DF7">
      <w:pPr>
        <w:numPr>
          <w:ilvl w:val="0"/>
          <w:numId w:val="4"/>
        </w:numPr>
        <w:spacing w:after="0"/>
        <w:ind w:left="284" w:hanging="284"/>
      </w:pPr>
      <w:r>
        <w:t>príspevok na podporu vzdelávania ZoZ (§54 ods. 1 písm. d) zákona o službách zamestnanosti).</w:t>
      </w:r>
    </w:p>
    <w:p w14:paraId="107B2C29" w14:textId="2B57825C" w:rsidR="003A194D" w:rsidRPr="00C35CA8" w:rsidRDefault="003A194D" w:rsidP="0062585F">
      <w:pPr>
        <w:pStyle w:val="Nadpis3"/>
      </w:pPr>
      <w:bookmarkStart w:id="16" w:name="_Toc360447221"/>
      <w:bookmarkStart w:id="17" w:name="_Toc362010881"/>
      <w:bookmarkStart w:id="18" w:name="_Toc514941026"/>
      <w:bookmarkStart w:id="19" w:name="_Toc37094582"/>
      <w:bookmarkStart w:id="20" w:name="_Toc199230810"/>
      <w:bookmarkStart w:id="21" w:name="_Hlk103506527"/>
      <w:r w:rsidRPr="00C35CA8">
        <w:t>Zvyšovanie zamestnanosti</w:t>
      </w:r>
      <w:bookmarkEnd w:id="16"/>
      <w:bookmarkEnd w:id="17"/>
      <w:bookmarkEnd w:id="18"/>
      <w:bookmarkEnd w:id="19"/>
      <w:bookmarkEnd w:id="20"/>
      <w:r w:rsidRPr="00C35CA8">
        <w:t xml:space="preserve"> </w:t>
      </w:r>
    </w:p>
    <w:bookmarkEnd w:id="21"/>
    <w:p w14:paraId="6059D019" w14:textId="10311CBA" w:rsidR="003A194D" w:rsidRPr="00C35CA8" w:rsidRDefault="003A194D" w:rsidP="00282F1A">
      <w:pPr>
        <w:spacing w:after="0"/>
        <w:ind w:firstLine="0"/>
      </w:pPr>
      <w:r w:rsidRPr="00C35CA8">
        <w:t xml:space="preserve">AOTP orientované na stimulovanie dopytu po pracovnej sile najmä formou poskytovania príspevkov zamestnávateľom a UoZ na vytváranie nových </w:t>
      </w:r>
      <w:r w:rsidR="004D2D01" w:rsidRPr="00C35CA8">
        <w:t>PM,</w:t>
      </w:r>
      <w:r w:rsidRPr="00C35CA8">
        <w:t xml:space="preserve"> sú:</w:t>
      </w:r>
    </w:p>
    <w:p w14:paraId="7091398D" w14:textId="77777777" w:rsidR="00C23350" w:rsidRPr="00C35CA8" w:rsidRDefault="00C23350" w:rsidP="00282F1A">
      <w:pPr>
        <w:numPr>
          <w:ilvl w:val="0"/>
          <w:numId w:val="5"/>
        </w:numPr>
        <w:spacing w:after="0"/>
        <w:ind w:left="284" w:hanging="284"/>
      </w:pPr>
      <w:r w:rsidRPr="00C35CA8">
        <w:t>sprostredkovanie zamestnania (§ 32 zákona o službách zamestnanosti),</w:t>
      </w:r>
    </w:p>
    <w:p w14:paraId="0E59DAB3" w14:textId="77777777" w:rsidR="003A194D" w:rsidRPr="00C35CA8" w:rsidRDefault="003A194D" w:rsidP="00AA7E7B">
      <w:pPr>
        <w:numPr>
          <w:ilvl w:val="0"/>
          <w:numId w:val="5"/>
        </w:numPr>
        <w:spacing w:after="0"/>
        <w:ind w:left="284" w:hanging="284"/>
      </w:pPr>
      <w:r w:rsidRPr="00C35CA8">
        <w:t xml:space="preserve">príspevok na </w:t>
      </w:r>
      <w:r w:rsidR="004D2D01" w:rsidRPr="00C35CA8">
        <w:t>SZČ</w:t>
      </w:r>
      <w:r w:rsidRPr="00C35CA8">
        <w:t xml:space="preserve"> </w:t>
      </w:r>
      <w:bookmarkStart w:id="22" w:name="_Hlk71033795"/>
      <w:r w:rsidRPr="00C35CA8">
        <w:t xml:space="preserve">(§ 49 </w:t>
      </w:r>
      <w:r w:rsidR="000008C8" w:rsidRPr="00C35CA8">
        <w:t>zákona o službách zamestnanosti</w:t>
      </w:r>
      <w:r w:rsidRPr="00C35CA8">
        <w:t>),</w:t>
      </w:r>
    </w:p>
    <w:bookmarkEnd w:id="22"/>
    <w:p w14:paraId="2827BDE6" w14:textId="77777777" w:rsidR="003A194D" w:rsidRPr="00C35CA8" w:rsidRDefault="003A194D" w:rsidP="00AA7E7B">
      <w:pPr>
        <w:numPr>
          <w:ilvl w:val="0"/>
          <w:numId w:val="5"/>
        </w:numPr>
        <w:spacing w:after="0"/>
        <w:ind w:left="284" w:hanging="284"/>
      </w:pPr>
      <w:r w:rsidRPr="00C35CA8">
        <w:t xml:space="preserve">príspevok na zamestnávanie znevýhodneného UoZ (§ 50 </w:t>
      </w:r>
      <w:r w:rsidR="000008C8" w:rsidRPr="00C35CA8">
        <w:t>zákona o službách zamestnanosti</w:t>
      </w:r>
      <w:r w:rsidRPr="00C35CA8">
        <w:t>),</w:t>
      </w:r>
    </w:p>
    <w:p w14:paraId="32E22CB8" w14:textId="77777777" w:rsidR="003A194D" w:rsidRPr="00C35CA8" w:rsidRDefault="003A194D" w:rsidP="00AA7E7B">
      <w:pPr>
        <w:numPr>
          <w:ilvl w:val="0"/>
          <w:numId w:val="5"/>
        </w:numPr>
        <w:spacing w:after="0"/>
        <w:ind w:left="284" w:hanging="284"/>
      </w:pPr>
      <w:r w:rsidRPr="00C35CA8">
        <w:t xml:space="preserve">príspevok na vytvorenie nového </w:t>
      </w:r>
      <w:r w:rsidR="004D2D01" w:rsidRPr="00C35CA8">
        <w:t>PM</w:t>
      </w:r>
      <w:r w:rsidRPr="00C35CA8">
        <w:t xml:space="preserve"> (§ 53d </w:t>
      </w:r>
      <w:r w:rsidR="000008C8" w:rsidRPr="00C35CA8">
        <w:t>zákona o službách zamestnanosti</w:t>
      </w:r>
      <w:r w:rsidRPr="00C35CA8">
        <w:t>),</w:t>
      </w:r>
    </w:p>
    <w:p w14:paraId="3B1151B2" w14:textId="77777777" w:rsidR="00C23350" w:rsidRPr="00C35CA8" w:rsidRDefault="00C23350" w:rsidP="00AA7E7B">
      <w:pPr>
        <w:numPr>
          <w:ilvl w:val="0"/>
          <w:numId w:val="5"/>
        </w:numPr>
        <w:spacing w:after="0"/>
        <w:ind w:left="284" w:hanging="284"/>
      </w:pPr>
      <w:r w:rsidRPr="00C35CA8">
        <w:t>projekty a programy (§ 54 zákona o službách zamestnanosti),</w:t>
      </w:r>
    </w:p>
    <w:p w14:paraId="2277E7F7" w14:textId="77777777" w:rsidR="003A194D" w:rsidRPr="00C35CA8" w:rsidRDefault="003A194D" w:rsidP="00AA7E7B">
      <w:pPr>
        <w:numPr>
          <w:ilvl w:val="0"/>
          <w:numId w:val="5"/>
        </w:numPr>
        <w:spacing w:after="0"/>
        <w:ind w:left="284" w:hanging="284"/>
      </w:pPr>
      <w:r w:rsidRPr="00C35CA8">
        <w:lastRenderedPageBreak/>
        <w:t xml:space="preserve">príspevok na zriadenie chránenej dielne a chráneného pracoviska (§ 56 </w:t>
      </w:r>
      <w:r w:rsidR="000008C8" w:rsidRPr="00C35CA8">
        <w:t>zákona o službách zamestnanosti</w:t>
      </w:r>
      <w:r w:rsidRPr="00C35CA8">
        <w:t>),</w:t>
      </w:r>
    </w:p>
    <w:p w14:paraId="286575F2" w14:textId="77777777" w:rsidR="00B551CC" w:rsidRDefault="003A194D" w:rsidP="00B551CC">
      <w:pPr>
        <w:numPr>
          <w:ilvl w:val="0"/>
          <w:numId w:val="6"/>
        </w:numPr>
        <w:spacing w:after="0"/>
        <w:ind w:left="284" w:hanging="284"/>
      </w:pPr>
      <w:r w:rsidRPr="00C35CA8">
        <w:t xml:space="preserve">príspevok občanovi so </w:t>
      </w:r>
      <w:r w:rsidR="004D2D01" w:rsidRPr="00C35CA8">
        <w:t>ZP</w:t>
      </w:r>
      <w:r w:rsidRPr="00C35CA8">
        <w:t xml:space="preserve"> na </w:t>
      </w:r>
      <w:r w:rsidR="004D2D01" w:rsidRPr="00C35CA8">
        <w:t>SZČ</w:t>
      </w:r>
      <w:r w:rsidRPr="00C35CA8">
        <w:t xml:space="preserve"> (§ 57 </w:t>
      </w:r>
      <w:r w:rsidR="000008C8" w:rsidRPr="00C35CA8">
        <w:t>zákona o službách zamestnanosti</w:t>
      </w:r>
      <w:r w:rsidR="00B551CC">
        <w:t>),</w:t>
      </w:r>
    </w:p>
    <w:p w14:paraId="4723B5DB" w14:textId="5DC82A2D" w:rsidR="00FD21F1" w:rsidRDefault="00B551CC" w:rsidP="00B551CC">
      <w:pPr>
        <w:numPr>
          <w:ilvl w:val="0"/>
          <w:numId w:val="6"/>
        </w:numPr>
        <w:spacing w:after="0"/>
        <w:ind w:left="284" w:hanging="284"/>
      </w:pPr>
      <w:r w:rsidRPr="00C35CA8">
        <w:t xml:space="preserve">umiestňovací príspevok (§ </w:t>
      </w:r>
      <w:r>
        <w:t>19a</w:t>
      </w:r>
      <w:r w:rsidRPr="00C35CA8">
        <w:t xml:space="preserve"> zákona o</w:t>
      </w:r>
      <w:r>
        <w:t> </w:t>
      </w:r>
      <w:r w:rsidRPr="00C35CA8">
        <w:t>s</w:t>
      </w:r>
      <w:r>
        <w:t>ociálnej ekonomike).</w:t>
      </w:r>
    </w:p>
    <w:p w14:paraId="7C2C85F7" w14:textId="61255684" w:rsidR="003A194D" w:rsidRPr="0062585F" w:rsidRDefault="003A194D" w:rsidP="0062585F">
      <w:pPr>
        <w:pStyle w:val="Nadpis3"/>
      </w:pPr>
      <w:bookmarkStart w:id="23" w:name="_Toc360447222"/>
      <w:bookmarkStart w:id="24" w:name="_Toc362010882"/>
      <w:bookmarkStart w:id="25" w:name="_Toc514941027"/>
      <w:bookmarkStart w:id="26" w:name="_Toc37094583"/>
      <w:bookmarkStart w:id="27" w:name="_Toc199230811"/>
      <w:bookmarkStart w:id="28" w:name="_Hlk103506547"/>
      <w:r w:rsidRPr="0062585F">
        <w:t>Udržanie existujúcich pracovných miest</w:t>
      </w:r>
      <w:bookmarkEnd w:id="23"/>
      <w:bookmarkEnd w:id="24"/>
      <w:bookmarkEnd w:id="25"/>
      <w:bookmarkEnd w:id="26"/>
      <w:bookmarkEnd w:id="27"/>
    </w:p>
    <w:bookmarkEnd w:id="28"/>
    <w:p w14:paraId="531C530F" w14:textId="77777777" w:rsidR="003A194D" w:rsidRPr="00C35CA8" w:rsidRDefault="003A194D" w:rsidP="00172525">
      <w:pPr>
        <w:spacing w:before="120" w:after="0"/>
        <w:ind w:firstLine="0"/>
      </w:pPr>
      <w:r w:rsidRPr="00C35CA8">
        <w:t>AOTP zamerané na podporu udržania zam</w:t>
      </w:r>
      <w:r w:rsidR="00694DC9" w:rsidRPr="00C35CA8">
        <w:t>estnancov v zamestnaní, udržania</w:t>
      </w:r>
      <w:r w:rsidRPr="00C35CA8">
        <w:t xml:space="preserve"> existujúcich PM</w:t>
      </w:r>
      <w:r w:rsidR="00800F64" w:rsidRPr="00C35CA8">
        <w:t xml:space="preserve"> </w:t>
      </w:r>
      <w:r w:rsidR="003D2C5F" w:rsidRPr="00C35CA8">
        <w:t xml:space="preserve">  </w:t>
      </w:r>
      <w:r w:rsidR="000C2530" w:rsidRPr="00C35CA8">
        <w:t xml:space="preserve">                          </w:t>
      </w:r>
      <w:r w:rsidR="003D2C5F" w:rsidRPr="00C35CA8">
        <w:t xml:space="preserve">a </w:t>
      </w:r>
      <w:r w:rsidRPr="00C35CA8">
        <w:t>predchádzanie zrušeni</w:t>
      </w:r>
      <w:r w:rsidR="00AE0537" w:rsidRPr="00C35CA8">
        <w:t>a</w:t>
      </w:r>
      <w:r w:rsidRPr="00C35CA8">
        <w:t xml:space="preserve"> PM alebo hromadného prepúšťania zamestnancov</w:t>
      </w:r>
      <w:r w:rsidR="004D2D01" w:rsidRPr="00C35CA8">
        <w:t>,</w:t>
      </w:r>
      <w:r w:rsidRPr="00C35CA8">
        <w:t xml:space="preserve"> sú:</w:t>
      </w:r>
    </w:p>
    <w:p w14:paraId="00AB49E2" w14:textId="77777777" w:rsidR="003A194D" w:rsidRPr="00C35CA8" w:rsidRDefault="003A194D" w:rsidP="00AA7E7B">
      <w:pPr>
        <w:numPr>
          <w:ilvl w:val="0"/>
          <w:numId w:val="6"/>
        </w:numPr>
        <w:spacing w:after="0"/>
        <w:ind w:left="284" w:hanging="284"/>
      </w:pPr>
      <w:r w:rsidRPr="00C35CA8">
        <w:t xml:space="preserve">vzdelávanie a príprava pre </w:t>
      </w:r>
      <w:r w:rsidR="00AE0537" w:rsidRPr="00C35CA8">
        <w:t>TP</w:t>
      </w:r>
      <w:r w:rsidRPr="00C35CA8">
        <w:t xml:space="preserve"> zamestnanca (§ 47 </w:t>
      </w:r>
      <w:r w:rsidR="002646A2" w:rsidRPr="00C35CA8">
        <w:t xml:space="preserve">a § 54 </w:t>
      </w:r>
      <w:r w:rsidRPr="00C35CA8">
        <w:t>zákona</w:t>
      </w:r>
      <w:r w:rsidR="00AE0537" w:rsidRPr="00C35CA8">
        <w:t xml:space="preserve"> o službách zamestnanosti</w:t>
      </w:r>
      <w:r w:rsidRPr="00C35CA8">
        <w:t>),</w:t>
      </w:r>
    </w:p>
    <w:p w14:paraId="463E1800" w14:textId="77777777" w:rsidR="003A194D" w:rsidRPr="00C35CA8" w:rsidRDefault="003A194D" w:rsidP="00AA7E7B">
      <w:pPr>
        <w:numPr>
          <w:ilvl w:val="0"/>
          <w:numId w:val="6"/>
        </w:numPr>
        <w:spacing w:after="0"/>
        <w:ind w:left="284" w:hanging="284"/>
      </w:pPr>
      <w:r w:rsidRPr="00C35CA8">
        <w:t>príspevok na dochádzku za prácou (§ 53 zákona</w:t>
      </w:r>
      <w:r w:rsidR="00AE0537" w:rsidRPr="00C35CA8">
        <w:t xml:space="preserve"> o službách zamestnanosti</w:t>
      </w:r>
      <w:r w:rsidRPr="00C35CA8">
        <w:t>),</w:t>
      </w:r>
    </w:p>
    <w:p w14:paraId="572B9AFB" w14:textId="77777777" w:rsidR="003A194D" w:rsidRPr="00C35CA8" w:rsidRDefault="003A194D" w:rsidP="00AA7E7B">
      <w:pPr>
        <w:numPr>
          <w:ilvl w:val="0"/>
          <w:numId w:val="6"/>
        </w:numPr>
        <w:spacing w:after="0"/>
        <w:ind w:left="284" w:hanging="284"/>
      </w:pPr>
      <w:r w:rsidRPr="00C35CA8">
        <w:t>príspevok na podporu mobility za prácou (§ 53a zákona</w:t>
      </w:r>
      <w:r w:rsidR="00AE0537" w:rsidRPr="00C35CA8">
        <w:t xml:space="preserve"> o službách zamestnanosti</w:t>
      </w:r>
      <w:r w:rsidRPr="00C35CA8">
        <w:t>),</w:t>
      </w:r>
    </w:p>
    <w:p w14:paraId="3EE57277" w14:textId="77777777" w:rsidR="003A194D" w:rsidRPr="00C35CA8" w:rsidRDefault="003A194D" w:rsidP="00AA7E7B">
      <w:pPr>
        <w:numPr>
          <w:ilvl w:val="0"/>
          <w:numId w:val="6"/>
        </w:numPr>
        <w:spacing w:after="0"/>
        <w:ind w:left="284" w:hanging="284"/>
      </w:pPr>
      <w:r w:rsidRPr="00C35CA8">
        <w:t>príspevok na dopravu do zamestnania (§ 53b zákona</w:t>
      </w:r>
      <w:r w:rsidR="00AE0537" w:rsidRPr="00C35CA8">
        <w:t xml:space="preserve"> o službách zamestnanosti</w:t>
      </w:r>
      <w:r w:rsidRPr="00C35CA8">
        <w:t>),</w:t>
      </w:r>
    </w:p>
    <w:p w14:paraId="3DCA7717" w14:textId="77777777" w:rsidR="003A194D" w:rsidRPr="00C35CA8" w:rsidRDefault="003A194D" w:rsidP="00AA7E7B">
      <w:pPr>
        <w:numPr>
          <w:ilvl w:val="0"/>
          <w:numId w:val="6"/>
        </w:numPr>
        <w:spacing w:after="0"/>
        <w:ind w:left="284" w:hanging="284"/>
      </w:pPr>
      <w:r w:rsidRPr="00C35CA8">
        <w:t>príspevok na činnosť pracovného asistenta (§ 59 zákona</w:t>
      </w:r>
      <w:r w:rsidR="00AE0537" w:rsidRPr="00C35CA8">
        <w:t xml:space="preserve"> o službách zamestnanosti</w:t>
      </w:r>
      <w:r w:rsidRPr="00C35CA8">
        <w:t>),</w:t>
      </w:r>
    </w:p>
    <w:p w14:paraId="1B4785C6" w14:textId="5E953D0B" w:rsidR="00ED5CA0" w:rsidRDefault="003A194D" w:rsidP="00AA7E7B">
      <w:pPr>
        <w:numPr>
          <w:ilvl w:val="0"/>
          <w:numId w:val="6"/>
        </w:numPr>
        <w:spacing w:after="0"/>
        <w:ind w:left="284" w:hanging="284"/>
      </w:pPr>
      <w:r w:rsidRPr="00C35CA8">
        <w:t>príspevok na úhradu prevádzkových nákladov</w:t>
      </w:r>
      <w:r w:rsidR="00821B1C" w:rsidRPr="00C35CA8">
        <w:t xml:space="preserve"> </w:t>
      </w:r>
      <w:r w:rsidR="000C2530" w:rsidRPr="00C35CA8">
        <w:t>chránenej dielne („</w:t>
      </w:r>
      <w:r w:rsidR="00821B1C" w:rsidRPr="00C35CA8">
        <w:t>CHD</w:t>
      </w:r>
      <w:r w:rsidR="000C2530" w:rsidRPr="00C35CA8">
        <w:t>“)</w:t>
      </w:r>
      <w:r w:rsidRPr="00C35CA8">
        <w:t xml:space="preserve"> alebo</w:t>
      </w:r>
      <w:r w:rsidR="000C2530" w:rsidRPr="00C35CA8">
        <w:t xml:space="preserve"> chráneného pracoviska („</w:t>
      </w:r>
      <w:r w:rsidR="00821B1C" w:rsidRPr="00C35CA8">
        <w:t>CHP</w:t>
      </w:r>
      <w:r w:rsidR="000C2530" w:rsidRPr="00C35CA8">
        <w:t xml:space="preserve">“) a na úhradu nákladov </w:t>
      </w:r>
      <w:r w:rsidR="0053696F">
        <w:t xml:space="preserve">na dopravu zamestnancov </w:t>
      </w:r>
      <w:r w:rsidRPr="00C35CA8">
        <w:t>(§ 60 zákona</w:t>
      </w:r>
      <w:r w:rsidR="00AE0537" w:rsidRPr="00C35CA8">
        <w:t xml:space="preserve"> o službách zamestnanosti</w:t>
      </w:r>
      <w:r w:rsidR="00B551CC">
        <w:t>),</w:t>
      </w:r>
    </w:p>
    <w:p w14:paraId="7DA2E0A2" w14:textId="01CF1724" w:rsidR="00B551CC" w:rsidRPr="00B551CC" w:rsidRDefault="00B551CC" w:rsidP="00B551CC">
      <w:pPr>
        <w:numPr>
          <w:ilvl w:val="0"/>
          <w:numId w:val="6"/>
        </w:numPr>
        <w:spacing w:after="0"/>
        <w:ind w:left="284" w:hanging="284"/>
      </w:pPr>
      <w:r w:rsidRPr="00B551CC">
        <w:t>vyrovnávací príspevok (§ 19</w:t>
      </w:r>
      <w:r>
        <w:t>b zákona o sociálnej ekonomike).</w:t>
      </w:r>
    </w:p>
    <w:p w14:paraId="1923AD08" w14:textId="377FA0E2" w:rsidR="0057796E" w:rsidRDefault="0057796E" w:rsidP="0062585F">
      <w:pPr>
        <w:pStyle w:val="Nadpis2"/>
      </w:pPr>
      <w:bookmarkStart w:id="29" w:name="_Toc199230812"/>
      <w:bookmarkStart w:id="30" w:name="_Toc514941028"/>
      <w:bookmarkStart w:id="31" w:name="_Toc37094584"/>
      <w:bookmarkStart w:id="32" w:name="_Hlk103507080"/>
      <w:r w:rsidRPr="0062585F">
        <w:t xml:space="preserve">Využívanie </w:t>
      </w:r>
      <w:r w:rsidR="00947D68" w:rsidRPr="0062585F">
        <w:t>aktívnych opatrení trhu práce</w:t>
      </w:r>
      <w:r w:rsidRPr="0062585F">
        <w:t xml:space="preserve"> v roku 20</w:t>
      </w:r>
      <w:r w:rsidR="00267413" w:rsidRPr="0062585F">
        <w:t>2</w:t>
      </w:r>
      <w:r w:rsidR="00041320" w:rsidRPr="0062585F">
        <w:t>3</w:t>
      </w:r>
      <w:bookmarkEnd w:id="29"/>
    </w:p>
    <w:tbl>
      <w:tblPr>
        <w:tblStyle w:val="tltabsprav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705"/>
        <w:gridCol w:w="1405"/>
        <w:gridCol w:w="1316"/>
        <w:gridCol w:w="1462"/>
        <w:gridCol w:w="1316"/>
      </w:tblGrid>
      <w:tr w:rsidR="00DB1AEA" w:rsidRPr="00DB1AEA" w14:paraId="4292C1B8" w14:textId="77777777" w:rsidTr="00DB1AEA">
        <w:trPr>
          <w:cnfStyle w:val="100000000000" w:firstRow="1" w:lastRow="0" w:firstColumn="0" w:lastColumn="0" w:oddVBand="0" w:evenVBand="0" w:oddHBand="0" w:evenHBand="0" w:firstRowFirstColumn="0" w:firstRowLastColumn="0" w:lastRowFirstColumn="0" w:lastRowLastColumn="0"/>
          <w:trHeight w:val="335"/>
        </w:trPr>
        <w:tc>
          <w:tcPr>
            <w:tcW w:w="2013" w:type="pct"/>
            <w:vMerge w:val="restart"/>
            <w:shd w:val="clear" w:color="auto" w:fill="auto"/>
          </w:tcPr>
          <w:p w14:paraId="4AB1AEBA" w14:textId="1955A703" w:rsidR="00DB4AE3" w:rsidRPr="00DB1AEA" w:rsidRDefault="00DB1AEA" w:rsidP="00DB4AE3">
            <w:pPr>
              <w:jc w:val="center"/>
              <w:rPr>
                <w:bCs/>
                <w:color w:val="auto"/>
                <w:sz w:val="18"/>
                <w:szCs w:val="18"/>
                <w:lang w:val="sk-SK"/>
              </w:rPr>
            </w:pPr>
            <w:r>
              <w:rPr>
                <w:bCs/>
                <w:color w:val="auto"/>
                <w:sz w:val="18"/>
                <w:szCs w:val="18"/>
                <w:lang w:val="sk-SK"/>
              </w:rPr>
              <w:t>AOTP podľa §</w:t>
            </w:r>
            <w:r w:rsidR="00DB4AE3" w:rsidRPr="00DB1AEA">
              <w:rPr>
                <w:bCs/>
                <w:color w:val="auto"/>
                <w:sz w:val="18"/>
                <w:szCs w:val="18"/>
                <w:lang w:val="sk-SK"/>
              </w:rPr>
              <w:t>§ zákona o službách zamestnanosti /</w:t>
            </w:r>
          </w:p>
          <w:p w14:paraId="1D89018B" w14:textId="77777777" w:rsidR="00DB4AE3" w:rsidRPr="00DB1AEA" w:rsidRDefault="00DB4AE3" w:rsidP="00DB4AE3">
            <w:pPr>
              <w:jc w:val="center"/>
              <w:rPr>
                <w:color w:val="auto"/>
                <w:sz w:val="18"/>
                <w:szCs w:val="18"/>
                <w:lang w:val="sk-SK"/>
              </w:rPr>
            </w:pPr>
            <w:r w:rsidRPr="00DB1AEA">
              <w:rPr>
                <w:bCs/>
                <w:color w:val="auto"/>
                <w:sz w:val="18"/>
                <w:szCs w:val="18"/>
                <w:lang w:val="sk-SK"/>
              </w:rPr>
              <w:t xml:space="preserve">zákona o sociálnej ekonomike </w:t>
            </w:r>
            <w:r w:rsidRPr="00DB1AEA">
              <w:rPr>
                <w:b w:val="0"/>
                <w:bCs/>
                <w:color w:val="auto"/>
                <w:sz w:val="18"/>
                <w:szCs w:val="18"/>
                <w:lang w:val="sk-SK"/>
              </w:rPr>
              <w:t>(§§19a, 19b)</w:t>
            </w:r>
          </w:p>
        </w:tc>
        <w:tc>
          <w:tcPr>
            <w:tcW w:w="1478" w:type="pct"/>
            <w:gridSpan w:val="2"/>
            <w:shd w:val="clear" w:color="auto" w:fill="auto"/>
            <w:noWrap/>
          </w:tcPr>
          <w:p w14:paraId="2C0D0185" w14:textId="77777777" w:rsidR="00DB4AE3" w:rsidRPr="00DB1AEA" w:rsidRDefault="00DB4AE3" w:rsidP="00DB4AE3">
            <w:pPr>
              <w:ind w:right="153"/>
              <w:jc w:val="center"/>
              <w:rPr>
                <w:b w:val="0"/>
                <w:color w:val="auto"/>
                <w:sz w:val="18"/>
                <w:szCs w:val="18"/>
                <w:lang w:val="sk-SK"/>
              </w:rPr>
            </w:pPr>
            <w:r w:rsidRPr="00DB1AEA">
              <w:rPr>
                <w:b w:val="0"/>
                <w:bCs/>
                <w:color w:val="auto"/>
                <w:sz w:val="18"/>
                <w:szCs w:val="18"/>
                <w:lang w:val="sk-SK"/>
              </w:rPr>
              <w:t>Rok 2023</w:t>
            </w:r>
          </w:p>
        </w:tc>
        <w:tc>
          <w:tcPr>
            <w:tcW w:w="1509" w:type="pct"/>
            <w:gridSpan w:val="2"/>
            <w:shd w:val="clear" w:color="auto" w:fill="auto"/>
            <w:noWrap/>
          </w:tcPr>
          <w:p w14:paraId="0A0024DC" w14:textId="77777777" w:rsidR="00DB4AE3" w:rsidRPr="00DB1AEA" w:rsidRDefault="00DB4AE3" w:rsidP="00DB4AE3">
            <w:pPr>
              <w:ind w:right="153"/>
              <w:jc w:val="center"/>
              <w:rPr>
                <w:b w:val="0"/>
                <w:color w:val="auto"/>
                <w:sz w:val="18"/>
                <w:szCs w:val="18"/>
                <w:lang w:val="sk-SK"/>
              </w:rPr>
            </w:pPr>
            <w:r w:rsidRPr="00DB1AEA">
              <w:rPr>
                <w:b w:val="0"/>
                <w:bCs/>
                <w:color w:val="auto"/>
                <w:sz w:val="18"/>
                <w:szCs w:val="18"/>
                <w:lang w:val="sk-SK"/>
              </w:rPr>
              <w:t>Rok 2024</w:t>
            </w:r>
          </w:p>
        </w:tc>
      </w:tr>
      <w:tr w:rsidR="00DB1AEA" w:rsidRPr="00DB1AEA" w14:paraId="78FB239E" w14:textId="77777777" w:rsidTr="00DB1AEA">
        <w:trPr>
          <w:cnfStyle w:val="000000100000" w:firstRow="0" w:lastRow="0" w:firstColumn="0" w:lastColumn="0" w:oddVBand="0" w:evenVBand="0" w:oddHBand="1" w:evenHBand="0" w:firstRowFirstColumn="0" w:firstRowLastColumn="0" w:lastRowFirstColumn="0" w:lastRowLastColumn="0"/>
          <w:trHeight w:val="1165"/>
        </w:trPr>
        <w:tc>
          <w:tcPr>
            <w:tcW w:w="2013" w:type="pct"/>
            <w:vMerge/>
          </w:tcPr>
          <w:p w14:paraId="131E99B8" w14:textId="77777777" w:rsidR="00DB4AE3" w:rsidRPr="00DB1AEA" w:rsidRDefault="00DB4AE3" w:rsidP="00DB4AE3">
            <w:pPr>
              <w:rPr>
                <w:sz w:val="18"/>
                <w:szCs w:val="18"/>
                <w:lang w:val="sk-SK"/>
              </w:rPr>
            </w:pPr>
          </w:p>
        </w:tc>
        <w:tc>
          <w:tcPr>
            <w:tcW w:w="763" w:type="pct"/>
            <w:noWrap/>
          </w:tcPr>
          <w:p w14:paraId="17FBF493" w14:textId="77777777" w:rsidR="00DB4AE3" w:rsidRPr="00DB1AEA" w:rsidRDefault="00DB4AE3" w:rsidP="00DB4AE3">
            <w:pPr>
              <w:ind w:right="16"/>
              <w:jc w:val="center"/>
              <w:rPr>
                <w:b/>
                <w:sz w:val="18"/>
                <w:szCs w:val="18"/>
                <w:lang w:val="sk-SK"/>
              </w:rPr>
            </w:pPr>
            <w:r w:rsidRPr="00DB1AEA">
              <w:rPr>
                <w:b/>
                <w:bCs/>
                <w:sz w:val="18"/>
                <w:szCs w:val="18"/>
                <w:lang w:val="sk-SK"/>
              </w:rPr>
              <w:t>Počet zaradených UoZ/osôb, resp. počet podporených PM/UoZ/osôb</w:t>
            </w:r>
          </w:p>
        </w:tc>
        <w:tc>
          <w:tcPr>
            <w:tcW w:w="715" w:type="pct"/>
            <w:noWrap/>
          </w:tcPr>
          <w:p w14:paraId="37E25EE1" w14:textId="77777777" w:rsidR="00DB4AE3" w:rsidRPr="00DB1AEA" w:rsidRDefault="00DB4AE3" w:rsidP="00DB4AE3">
            <w:pPr>
              <w:ind w:right="16"/>
              <w:jc w:val="center"/>
              <w:rPr>
                <w:b/>
                <w:bCs/>
                <w:sz w:val="18"/>
                <w:szCs w:val="18"/>
                <w:lang w:val="sk-SK"/>
              </w:rPr>
            </w:pPr>
            <w:r w:rsidRPr="00DB1AEA">
              <w:rPr>
                <w:b/>
                <w:bCs/>
                <w:sz w:val="18"/>
                <w:szCs w:val="18"/>
                <w:lang w:val="sk-SK"/>
              </w:rPr>
              <w:t xml:space="preserve">Čerpanie finančných prostriedkov </w:t>
            </w:r>
          </w:p>
          <w:p w14:paraId="025EAF6A" w14:textId="0DC90D7C" w:rsidR="00DB4AE3" w:rsidRPr="00DB1AEA" w:rsidRDefault="00DB4AE3" w:rsidP="00DB4AE3">
            <w:pPr>
              <w:ind w:right="16"/>
              <w:jc w:val="center"/>
              <w:rPr>
                <w:sz w:val="18"/>
                <w:szCs w:val="18"/>
                <w:lang w:val="sk-SK"/>
              </w:rPr>
            </w:pPr>
            <w:r w:rsidRPr="00DB1AEA">
              <w:rPr>
                <w:bCs/>
                <w:sz w:val="18"/>
                <w:szCs w:val="18"/>
                <w:lang w:val="sk-SK"/>
              </w:rPr>
              <w:t>(v </w:t>
            </w:r>
            <w:r w:rsidR="00790522" w:rsidRPr="00DB1AEA">
              <w:rPr>
                <w:bCs/>
                <w:sz w:val="18"/>
                <w:szCs w:val="18"/>
                <w:lang w:val="sk-SK"/>
              </w:rPr>
              <w:t>eur</w:t>
            </w:r>
            <w:r w:rsidRPr="00DB1AEA">
              <w:rPr>
                <w:bCs/>
                <w:sz w:val="18"/>
                <w:szCs w:val="18"/>
                <w:lang w:val="sk-SK"/>
              </w:rPr>
              <w:t>)</w:t>
            </w:r>
          </w:p>
        </w:tc>
        <w:tc>
          <w:tcPr>
            <w:tcW w:w="794" w:type="pct"/>
            <w:noWrap/>
          </w:tcPr>
          <w:p w14:paraId="057C288A" w14:textId="77777777" w:rsidR="00DB4AE3" w:rsidRPr="00DB1AEA" w:rsidRDefault="00DB4AE3" w:rsidP="00DB4AE3">
            <w:pPr>
              <w:ind w:right="16"/>
              <w:jc w:val="center"/>
              <w:rPr>
                <w:b/>
                <w:sz w:val="18"/>
                <w:szCs w:val="18"/>
                <w:lang w:val="sk-SK"/>
              </w:rPr>
            </w:pPr>
            <w:r w:rsidRPr="00DB1AEA">
              <w:rPr>
                <w:b/>
                <w:bCs/>
                <w:sz w:val="18"/>
                <w:szCs w:val="18"/>
                <w:lang w:val="sk-SK"/>
              </w:rPr>
              <w:t>Počet zaradených UoZ/osôb, resp. počet podporených PM/UoZ/osôb</w:t>
            </w:r>
          </w:p>
        </w:tc>
        <w:tc>
          <w:tcPr>
            <w:tcW w:w="715" w:type="pct"/>
            <w:noWrap/>
          </w:tcPr>
          <w:p w14:paraId="072BDE00" w14:textId="77777777" w:rsidR="00DB4AE3" w:rsidRPr="00DB1AEA" w:rsidRDefault="00DB4AE3" w:rsidP="00DB4AE3">
            <w:pPr>
              <w:ind w:right="16"/>
              <w:jc w:val="center"/>
              <w:rPr>
                <w:bCs/>
                <w:sz w:val="18"/>
                <w:szCs w:val="18"/>
                <w:lang w:val="sk-SK"/>
              </w:rPr>
            </w:pPr>
            <w:r w:rsidRPr="00DB1AEA">
              <w:rPr>
                <w:b/>
                <w:bCs/>
                <w:sz w:val="18"/>
                <w:szCs w:val="18"/>
                <w:lang w:val="sk-SK"/>
              </w:rPr>
              <w:t>Čerpanie finančných prostriedko</w:t>
            </w:r>
            <w:r w:rsidRPr="00DB1AEA">
              <w:rPr>
                <w:bCs/>
                <w:sz w:val="18"/>
                <w:szCs w:val="18"/>
                <w:lang w:val="sk-SK"/>
              </w:rPr>
              <w:t xml:space="preserve">v </w:t>
            </w:r>
          </w:p>
          <w:p w14:paraId="38F06262" w14:textId="10DE499E" w:rsidR="00DB4AE3" w:rsidRPr="00DB1AEA" w:rsidRDefault="00DB4AE3" w:rsidP="00DB4AE3">
            <w:pPr>
              <w:ind w:right="16"/>
              <w:jc w:val="center"/>
              <w:rPr>
                <w:sz w:val="18"/>
                <w:szCs w:val="18"/>
                <w:lang w:val="sk-SK"/>
              </w:rPr>
            </w:pPr>
            <w:r w:rsidRPr="00DB1AEA">
              <w:rPr>
                <w:bCs/>
                <w:sz w:val="18"/>
                <w:szCs w:val="18"/>
                <w:lang w:val="sk-SK"/>
              </w:rPr>
              <w:t xml:space="preserve">(v </w:t>
            </w:r>
            <w:r w:rsidR="00790522" w:rsidRPr="00DB1AEA">
              <w:rPr>
                <w:bCs/>
                <w:sz w:val="18"/>
                <w:szCs w:val="18"/>
                <w:lang w:val="sk-SK"/>
              </w:rPr>
              <w:t>eur</w:t>
            </w:r>
            <w:r w:rsidRPr="00DB1AEA">
              <w:rPr>
                <w:bCs/>
                <w:sz w:val="18"/>
                <w:szCs w:val="18"/>
                <w:lang w:val="sk-SK"/>
              </w:rPr>
              <w:t>)</w:t>
            </w:r>
          </w:p>
        </w:tc>
      </w:tr>
      <w:tr w:rsidR="00DB1AEA" w:rsidRPr="00DB1AEA" w14:paraId="12DC1641" w14:textId="77777777" w:rsidTr="00DB1AEA">
        <w:trPr>
          <w:trHeight w:val="349"/>
        </w:trPr>
        <w:tc>
          <w:tcPr>
            <w:tcW w:w="2013" w:type="pct"/>
          </w:tcPr>
          <w:p w14:paraId="55924B6D"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32   Sprostredkovanie zamestnania </w:t>
            </w:r>
          </w:p>
        </w:tc>
        <w:tc>
          <w:tcPr>
            <w:tcW w:w="763" w:type="pct"/>
            <w:noWrap/>
          </w:tcPr>
          <w:p w14:paraId="68646525" w14:textId="77777777" w:rsidR="00DB4AE3" w:rsidRPr="00DB1AEA" w:rsidRDefault="00DB4AE3" w:rsidP="00DB4AE3">
            <w:pPr>
              <w:jc w:val="right"/>
              <w:rPr>
                <w:rFonts w:cs="Calibri"/>
                <w:sz w:val="18"/>
                <w:szCs w:val="18"/>
                <w:lang w:val="sk-SK"/>
              </w:rPr>
            </w:pPr>
            <w:r w:rsidRPr="00DB1AEA">
              <w:rPr>
                <w:rFonts w:cs="Calibri"/>
                <w:sz w:val="18"/>
                <w:szCs w:val="18"/>
                <w:lang w:val="sk-SK"/>
              </w:rPr>
              <w:t>683</w:t>
            </w:r>
          </w:p>
        </w:tc>
        <w:tc>
          <w:tcPr>
            <w:tcW w:w="715" w:type="pct"/>
            <w:noWrap/>
          </w:tcPr>
          <w:p w14:paraId="6E892065" w14:textId="77777777" w:rsidR="00DB4AE3" w:rsidRPr="00DB1AEA" w:rsidRDefault="00DB4AE3" w:rsidP="00DB4AE3">
            <w:pPr>
              <w:jc w:val="right"/>
              <w:rPr>
                <w:rFonts w:cs="Calibri"/>
                <w:sz w:val="18"/>
                <w:szCs w:val="18"/>
                <w:lang w:val="sk-SK"/>
              </w:rPr>
            </w:pPr>
            <w:r w:rsidRPr="00DB1AEA">
              <w:rPr>
                <w:rFonts w:cs="Calibri"/>
                <w:sz w:val="18"/>
                <w:szCs w:val="18"/>
                <w:lang w:val="sk-SK"/>
              </w:rPr>
              <w:t>8 825 </w:t>
            </w:r>
          </w:p>
        </w:tc>
        <w:tc>
          <w:tcPr>
            <w:tcW w:w="794" w:type="pct"/>
            <w:noWrap/>
          </w:tcPr>
          <w:p w14:paraId="1DACA85F" w14:textId="77777777" w:rsidR="00DB4AE3" w:rsidRPr="00DB1AEA" w:rsidRDefault="00DB4AE3" w:rsidP="00DB4AE3">
            <w:pPr>
              <w:jc w:val="right"/>
              <w:rPr>
                <w:rFonts w:cs="Calibri"/>
                <w:sz w:val="18"/>
                <w:szCs w:val="18"/>
                <w:lang w:val="sk-SK"/>
              </w:rPr>
            </w:pPr>
            <w:r w:rsidRPr="00DB1AEA">
              <w:rPr>
                <w:rFonts w:cs="Calibri"/>
                <w:sz w:val="18"/>
                <w:szCs w:val="18"/>
                <w:lang w:val="sk-SK"/>
              </w:rPr>
              <w:t>779</w:t>
            </w:r>
          </w:p>
        </w:tc>
        <w:tc>
          <w:tcPr>
            <w:tcW w:w="715" w:type="pct"/>
            <w:noWrap/>
          </w:tcPr>
          <w:p w14:paraId="03C40AB9" w14:textId="77777777" w:rsidR="00DB4AE3" w:rsidRPr="00DB1AEA" w:rsidRDefault="00DB4AE3" w:rsidP="00DB4AE3">
            <w:pPr>
              <w:jc w:val="right"/>
              <w:rPr>
                <w:rFonts w:cs="Calibri"/>
                <w:sz w:val="18"/>
                <w:szCs w:val="18"/>
                <w:lang w:val="sk-SK"/>
              </w:rPr>
            </w:pPr>
            <w:r w:rsidRPr="00DB1AEA">
              <w:rPr>
                <w:rFonts w:cs="Calibri"/>
                <w:sz w:val="18"/>
                <w:szCs w:val="18"/>
                <w:lang w:val="sk-SK"/>
              </w:rPr>
              <w:t>8 427</w:t>
            </w:r>
          </w:p>
        </w:tc>
      </w:tr>
      <w:tr w:rsidR="00DB1AEA" w:rsidRPr="00DB1AEA" w14:paraId="619FE0D3"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204E7430" w14:textId="77777777" w:rsidR="00DB4AE3" w:rsidRPr="00DB1AEA" w:rsidRDefault="00DB4AE3" w:rsidP="00DB4AE3">
            <w:pPr>
              <w:jc w:val="left"/>
              <w:rPr>
                <w:rFonts w:cs="Calibri"/>
                <w:sz w:val="18"/>
                <w:szCs w:val="18"/>
                <w:lang w:val="sk-SK"/>
              </w:rPr>
            </w:pPr>
            <w:r w:rsidRPr="00DB1AEA">
              <w:rPr>
                <w:rFonts w:cs="Calibri"/>
                <w:sz w:val="18"/>
                <w:szCs w:val="18"/>
                <w:lang w:val="sk-SK"/>
              </w:rPr>
              <w:t>§ 42*  Informačné a</w:t>
            </w:r>
            <w:r w:rsidRPr="00DB1AEA">
              <w:rPr>
                <w:rFonts w:ascii="Arial" w:hAnsi="Arial" w:cs="Arial"/>
                <w:sz w:val="18"/>
                <w:szCs w:val="18"/>
                <w:lang w:val="sk-SK"/>
              </w:rPr>
              <w:t> </w:t>
            </w:r>
            <w:r w:rsidRPr="00DB1AEA">
              <w:rPr>
                <w:rFonts w:cs="Calibri"/>
                <w:sz w:val="18"/>
                <w:szCs w:val="18"/>
                <w:lang w:val="sk-SK"/>
              </w:rPr>
              <w:t>poradensk</w:t>
            </w:r>
            <w:r w:rsidRPr="00DB1AEA">
              <w:rPr>
                <w:rFonts w:cs="Arial Narrow"/>
                <w:sz w:val="18"/>
                <w:szCs w:val="18"/>
                <w:lang w:val="sk-SK"/>
              </w:rPr>
              <w:t>é</w:t>
            </w:r>
            <w:r w:rsidRPr="00DB1AEA">
              <w:rPr>
                <w:rFonts w:cs="Calibri"/>
                <w:sz w:val="18"/>
                <w:szCs w:val="18"/>
                <w:lang w:val="sk-SK"/>
              </w:rPr>
              <w:t xml:space="preserve"> slu</w:t>
            </w:r>
            <w:r w:rsidRPr="00DB1AEA">
              <w:rPr>
                <w:rFonts w:cs="Arial Narrow"/>
                <w:sz w:val="18"/>
                <w:szCs w:val="18"/>
                <w:lang w:val="sk-SK"/>
              </w:rPr>
              <w:t>ž</w:t>
            </w:r>
            <w:r w:rsidRPr="00DB1AEA">
              <w:rPr>
                <w:rFonts w:cs="Calibri"/>
                <w:sz w:val="18"/>
                <w:szCs w:val="18"/>
                <w:lang w:val="sk-SK"/>
              </w:rPr>
              <w:t xml:space="preserve">by </w:t>
            </w:r>
          </w:p>
        </w:tc>
        <w:tc>
          <w:tcPr>
            <w:tcW w:w="763" w:type="pct"/>
            <w:noWrap/>
          </w:tcPr>
          <w:p w14:paraId="7CCC0E3B" w14:textId="77777777" w:rsidR="00DB4AE3" w:rsidRPr="00DB1AEA" w:rsidRDefault="00DB4AE3" w:rsidP="00DB4AE3">
            <w:pPr>
              <w:jc w:val="right"/>
              <w:rPr>
                <w:rFonts w:cs="Calibri"/>
                <w:sz w:val="18"/>
                <w:szCs w:val="18"/>
                <w:lang w:val="sk-SK"/>
              </w:rPr>
            </w:pPr>
            <w:r w:rsidRPr="00DB1AEA">
              <w:rPr>
                <w:rFonts w:cs="Calibri"/>
                <w:sz w:val="18"/>
                <w:szCs w:val="18"/>
                <w:lang w:val="sk-SK"/>
              </w:rPr>
              <w:t>113 676</w:t>
            </w:r>
          </w:p>
        </w:tc>
        <w:tc>
          <w:tcPr>
            <w:tcW w:w="715" w:type="pct"/>
            <w:noWrap/>
          </w:tcPr>
          <w:p w14:paraId="3B4AE180"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42B9ACEA" w14:textId="77777777" w:rsidR="00DB4AE3" w:rsidRPr="00DB1AEA" w:rsidRDefault="00DB4AE3" w:rsidP="00DB4AE3">
            <w:pPr>
              <w:jc w:val="right"/>
              <w:rPr>
                <w:rFonts w:cs="Calibri"/>
                <w:sz w:val="18"/>
                <w:szCs w:val="18"/>
                <w:lang w:val="sk-SK"/>
              </w:rPr>
            </w:pPr>
            <w:r w:rsidRPr="00DB1AEA">
              <w:rPr>
                <w:rFonts w:cs="Calibri"/>
                <w:sz w:val="18"/>
                <w:szCs w:val="18"/>
                <w:lang w:val="sk-SK"/>
              </w:rPr>
              <w:t>166 189</w:t>
            </w:r>
          </w:p>
        </w:tc>
        <w:tc>
          <w:tcPr>
            <w:tcW w:w="715" w:type="pct"/>
            <w:noWrap/>
          </w:tcPr>
          <w:p w14:paraId="682B566F"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4153A60C" w14:textId="77777777" w:rsidTr="00DB1AEA">
        <w:trPr>
          <w:trHeight w:val="349"/>
        </w:trPr>
        <w:tc>
          <w:tcPr>
            <w:tcW w:w="2013" w:type="pct"/>
            <w:noWrap/>
          </w:tcPr>
          <w:p w14:paraId="4D80EC32" w14:textId="77777777" w:rsidR="00DB4AE3" w:rsidRPr="00DB1AEA" w:rsidRDefault="00DB4AE3" w:rsidP="00DB4AE3">
            <w:pPr>
              <w:jc w:val="left"/>
              <w:rPr>
                <w:rFonts w:cs="Calibri"/>
                <w:sz w:val="18"/>
                <w:szCs w:val="18"/>
                <w:lang w:val="sk-SK"/>
              </w:rPr>
            </w:pPr>
            <w:r w:rsidRPr="00DB1AEA">
              <w:rPr>
                <w:rFonts w:cs="Calibri"/>
                <w:sz w:val="18"/>
                <w:szCs w:val="18"/>
                <w:lang w:val="sk-SK"/>
              </w:rPr>
              <w:t>§ 43   Odborné poradenské služby</w:t>
            </w:r>
          </w:p>
        </w:tc>
        <w:tc>
          <w:tcPr>
            <w:tcW w:w="763" w:type="pct"/>
            <w:noWrap/>
          </w:tcPr>
          <w:p w14:paraId="65F2296E" w14:textId="77777777" w:rsidR="00DB4AE3" w:rsidRPr="00DB1AEA" w:rsidRDefault="00DB4AE3" w:rsidP="00DB4AE3">
            <w:pPr>
              <w:jc w:val="right"/>
              <w:rPr>
                <w:rFonts w:cs="Calibri"/>
                <w:sz w:val="18"/>
                <w:szCs w:val="18"/>
                <w:lang w:val="sk-SK"/>
              </w:rPr>
            </w:pPr>
            <w:r w:rsidRPr="00DB1AEA">
              <w:rPr>
                <w:rFonts w:cs="Calibri"/>
                <w:sz w:val="18"/>
                <w:szCs w:val="18"/>
                <w:lang w:val="sk-SK"/>
              </w:rPr>
              <w:t>10 389</w:t>
            </w:r>
          </w:p>
        </w:tc>
        <w:tc>
          <w:tcPr>
            <w:tcW w:w="715" w:type="pct"/>
            <w:noWrap/>
          </w:tcPr>
          <w:p w14:paraId="162C570D" w14:textId="77777777" w:rsidR="00DB4AE3" w:rsidRPr="00DB1AEA" w:rsidRDefault="00DB4AE3" w:rsidP="00DB4AE3">
            <w:pPr>
              <w:jc w:val="right"/>
              <w:rPr>
                <w:rFonts w:cs="Calibri"/>
                <w:sz w:val="18"/>
                <w:szCs w:val="18"/>
                <w:lang w:val="sk-SK"/>
              </w:rPr>
            </w:pPr>
            <w:r w:rsidRPr="00DB1AEA">
              <w:rPr>
                <w:rFonts w:cs="Calibri"/>
                <w:sz w:val="18"/>
                <w:szCs w:val="18"/>
                <w:lang w:val="sk-SK"/>
              </w:rPr>
              <w:t>120 609</w:t>
            </w:r>
          </w:p>
        </w:tc>
        <w:tc>
          <w:tcPr>
            <w:tcW w:w="794" w:type="pct"/>
            <w:noWrap/>
          </w:tcPr>
          <w:p w14:paraId="3E144B64" w14:textId="77777777" w:rsidR="00DB4AE3" w:rsidRPr="00DB1AEA" w:rsidRDefault="00DB4AE3" w:rsidP="00DB4AE3">
            <w:pPr>
              <w:jc w:val="right"/>
              <w:rPr>
                <w:rFonts w:cs="Calibri"/>
                <w:sz w:val="18"/>
                <w:szCs w:val="18"/>
                <w:lang w:val="sk-SK"/>
              </w:rPr>
            </w:pPr>
            <w:r w:rsidRPr="00DB1AEA">
              <w:rPr>
                <w:rFonts w:cs="Calibri"/>
                <w:sz w:val="18"/>
                <w:szCs w:val="18"/>
                <w:lang w:val="sk-SK"/>
              </w:rPr>
              <w:t>7 173</w:t>
            </w:r>
          </w:p>
        </w:tc>
        <w:tc>
          <w:tcPr>
            <w:tcW w:w="715" w:type="pct"/>
            <w:noWrap/>
          </w:tcPr>
          <w:p w14:paraId="2B9D019D" w14:textId="77777777" w:rsidR="00DB4AE3" w:rsidRPr="00DB1AEA" w:rsidRDefault="00DB4AE3" w:rsidP="00DB4AE3">
            <w:pPr>
              <w:jc w:val="right"/>
              <w:rPr>
                <w:rFonts w:cs="Calibri"/>
                <w:sz w:val="18"/>
                <w:szCs w:val="18"/>
                <w:lang w:val="sk-SK"/>
              </w:rPr>
            </w:pPr>
            <w:r w:rsidRPr="00DB1AEA">
              <w:rPr>
                <w:rFonts w:cs="Calibri"/>
                <w:sz w:val="18"/>
                <w:szCs w:val="18"/>
                <w:lang w:val="sk-SK"/>
              </w:rPr>
              <w:t>144 505</w:t>
            </w:r>
          </w:p>
        </w:tc>
      </w:tr>
      <w:tr w:rsidR="00DB1AEA" w:rsidRPr="00DB1AEA" w14:paraId="5C525A4C"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4115F52C" w14:textId="77777777" w:rsidR="00DB4AE3" w:rsidRPr="00DB1AEA" w:rsidRDefault="00DB4AE3" w:rsidP="00DB4AE3">
            <w:pPr>
              <w:jc w:val="left"/>
              <w:rPr>
                <w:rFonts w:cs="Calibri"/>
                <w:sz w:val="18"/>
                <w:szCs w:val="18"/>
                <w:lang w:val="sk-SK"/>
              </w:rPr>
            </w:pPr>
            <w:r w:rsidRPr="00DB1AEA">
              <w:rPr>
                <w:rFonts w:cs="Calibri"/>
                <w:sz w:val="18"/>
                <w:szCs w:val="18"/>
                <w:lang w:val="sk-SK"/>
              </w:rPr>
              <w:t>§ 46  Vzdelávanie a príprava pre trh práce UoZ</w:t>
            </w:r>
          </w:p>
        </w:tc>
        <w:tc>
          <w:tcPr>
            <w:tcW w:w="763" w:type="pct"/>
            <w:noWrap/>
          </w:tcPr>
          <w:p w14:paraId="026B7886"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6FFB507E"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174BEB3D"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568C3822"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704CE221" w14:textId="77777777" w:rsidTr="00DB1AEA">
        <w:trPr>
          <w:trHeight w:val="349"/>
        </w:trPr>
        <w:tc>
          <w:tcPr>
            <w:tcW w:w="2013" w:type="pct"/>
            <w:noWrap/>
          </w:tcPr>
          <w:p w14:paraId="5E5F0FAB" w14:textId="77777777" w:rsidR="00DB4AE3" w:rsidRPr="00DB1AEA" w:rsidRDefault="00DB4AE3" w:rsidP="00DB4AE3">
            <w:pPr>
              <w:jc w:val="left"/>
              <w:rPr>
                <w:rFonts w:cs="Calibri"/>
                <w:sz w:val="18"/>
                <w:szCs w:val="18"/>
                <w:lang w:val="sk-SK"/>
              </w:rPr>
            </w:pPr>
            <w:r w:rsidRPr="00DB1AEA">
              <w:rPr>
                <w:rFonts w:cs="Calibri"/>
                <w:sz w:val="18"/>
                <w:szCs w:val="18"/>
                <w:lang w:val="sk-SK"/>
              </w:rPr>
              <w:t>§ 47 Vzdelávanie a</w:t>
            </w:r>
            <w:r w:rsidRPr="00DB1AEA">
              <w:rPr>
                <w:rFonts w:ascii="Arial" w:hAnsi="Arial" w:cs="Arial"/>
                <w:sz w:val="18"/>
                <w:szCs w:val="18"/>
                <w:lang w:val="sk-SK"/>
              </w:rPr>
              <w:t> </w:t>
            </w:r>
            <w:r w:rsidRPr="00DB1AEA">
              <w:rPr>
                <w:rFonts w:cs="Calibri"/>
                <w:sz w:val="18"/>
                <w:szCs w:val="18"/>
                <w:lang w:val="sk-SK"/>
              </w:rPr>
              <w:t>príprava pre trh práce zamestnanca</w:t>
            </w:r>
          </w:p>
        </w:tc>
        <w:tc>
          <w:tcPr>
            <w:tcW w:w="763" w:type="pct"/>
            <w:noWrap/>
          </w:tcPr>
          <w:p w14:paraId="7FE8E8D6"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25395227"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2311781D"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7039B11F"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7385DE78"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508BED2B" w14:textId="77777777" w:rsidR="00DB4AE3" w:rsidRPr="00DB1AEA" w:rsidRDefault="00DB4AE3" w:rsidP="00DB4AE3">
            <w:pPr>
              <w:jc w:val="left"/>
              <w:rPr>
                <w:rFonts w:cs="Calibri"/>
                <w:sz w:val="18"/>
                <w:szCs w:val="18"/>
                <w:lang w:val="sk-SK"/>
              </w:rPr>
            </w:pPr>
            <w:r w:rsidRPr="00DB1AEA">
              <w:rPr>
                <w:rFonts w:cs="Calibri"/>
                <w:sz w:val="18"/>
                <w:szCs w:val="18"/>
                <w:lang w:val="sk-SK"/>
              </w:rPr>
              <w:t>§ 49   Príspevok na samostatnú zárobkovú činnosť</w:t>
            </w:r>
          </w:p>
        </w:tc>
        <w:tc>
          <w:tcPr>
            <w:tcW w:w="763" w:type="pct"/>
            <w:noWrap/>
          </w:tcPr>
          <w:p w14:paraId="23167B17"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307CED7C"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43AF7681"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3D61FF24"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441DD14B" w14:textId="77777777" w:rsidTr="00DB1AEA">
        <w:trPr>
          <w:trHeight w:val="349"/>
        </w:trPr>
        <w:tc>
          <w:tcPr>
            <w:tcW w:w="2013" w:type="pct"/>
            <w:noWrap/>
          </w:tcPr>
          <w:p w14:paraId="71B48BFD" w14:textId="77777777" w:rsidR="00DB4AE3" w:rsidRPr="00DB1AEA" w:rsidRDefault="00DB4AE3" w:rsidP="00DB4AE3">
            <w:pPr>
              <w:jc w:val="left"/>
              <w:rPr>
                <w:rFonts w:cs="Calibri"/>
                <w:sz w:val="18"/>
                <w:szCs w:val="18"/>
                <w:lang w:val="sk-SK"/>
              </w:rPr>
            </w:pPr>
            <w:r w:rsidRPr="00DB1AEA">
              <w:rPr>
                <w:rFonts w:cs="Calibri"/>
                <w:sz w:val="18"/>
                <w:szCs w:val="18"/>
                <w:lang w:val="sk-SK"/>
              </w:rPr>
              <w:t>§ 50  Príspevok na podporu zamestnávania znevýhodneného UoZ</w:t>
            </w:r>
          </w:p>
        </w:tc>
        <w:tc>
          <w:tcPr>
            <w:tcW w:w="763" w:type="pct"/>
            <w:noWrap/>
          </w:tcPr>
          <w:p w14:paraId="366B666A"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5144D3F0"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58837973"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46D713C2"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5699A0E0"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46F2FF97"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51  Príspevok na vykonávanie absolventskej praxe </w:t>
            </w:r>
          </w:p>
        </w:tc>
        <w:tc>
          <w:tcPr>
            <w:tcW w:w="763" w:type="pct"/>
            <w:noWrap/>
          </w:tcPr>
          <w:p w14:paraId="7344196C"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16902EB6"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345CB3F1"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636FE463"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0961834C" w14:textId="77777777" w:rsidTr="00DB1AEA">
        <w:trPr>
          <w:trHeight w:val="349"/>
        </w:trPr>
        <w:tc>
          <w:tcPr>
            <w:tcW w:w="2013" w:type="pct"/>
            <w:noWrap/>
          </w:tcPr>
          <w:p w14:paraId="5EBD9554"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52  Príspevok na aktivačnú činnosť </w:t>
            </w:r>
          </w:p>
        </w:tc>
        <w:tc>
          <w:tcPr>
            <w:tcW w:w="763" w:type="pct"/>
            <w:noWrap/>
          </w:tcPr>
          <w:p w14:paraId="2A169D32" w14:textId="77777777" w:rsidR="00DB4AE3" w:rsidRPr="00DB1AEA" w:rsidRDefault="00DB4AE3" w:rsidP="00DB4AE3">
            <w:pPr>
              <w:jc w:val="right"/>
              <w:rPr>
                <w:rFonts w:cs="Calibri"/>
                <w:sz w:val="18"/>
                <w:szCs w:val="18"/>
                <w:lang w:val="sk-SK"/>
              </w:rPr>
            </w:pPr>
            <w:r w:rsidRPr="00DB1AEA">
              <w:rPr>
                <w:rFonts w:cs="Calibri"/>
                <w:sz w:val="18"/>
                <w:szCs w:val="18"/>
                <w:lang w:val="sk-SK"/>
              </w:rPr>
              <w:t>743</w:t>
            </w:r>
          </w:p>
        </w:tc>
        <w:tc>
          <w:tcPr>
            <w:tcW w:w="715" w:type="pct"/>
            <w:noWrap/>
          </w:tcPr>
          <w:p w14:paraId="40994D4C" w14:textId="77777777" w:rsidR="00DB4AE3" w:rsidRPr="00DB1AEA" w:rsidRDefault="00DB4AE3" w:rsidP="00DB4AE3">
            <w:pPr>
              <w:jc w:val="right"/>
              <w:rPr>
                <w:rFonts w:cs="Calibri"/>
                <w:sz w:val="18"/>
                <w:szCs w:val="18"/>
                <w:highlight w:val="cyan"/>
                <w:lang w:val="sk-SK"/>
              </w:rPr>
            </w:pPr>
            <w:r w:rsidRPr="00DB1AEA">
              <w:rPr>
                <w:rFonts w:cs="Calibri"/>
                <w:sz w:val="18"/>
                <w:szCs w:val="18"/>
                <w:lang w:val="sk-SK"/>
              </w:rPr>
              <w:t>260 951</w:t>
            </w:r>
          </w:p>
        </w:tc>
        <w:tc>
          <w:tcPr>
            <w:tcW w:w="794" w:type="pct"/>
            <w:noWrap/>
          </w:tcPr>
          <w:p w14:paraId="5437370C"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6547AA6A"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1BE38956"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7CF6A577" w14:textId="77777777" w:rsidR="00DB4AE3" w:rsidRPr="00DB1AEA" w:rsidRDefault="00DB4AE3" w:rsidP="00DB4AE3">
            <w:pPr>
              <w:jc w:val="left"/>
              <w:rPr>
                <w:rFonts w:cs="Calibri"/>
                <w:sz w:val="18"/>
                <w:szCs w:val="18"/>
                <w:lang w:val="sk-SK"/>
              </w:rPr>
            </w:pPr>
            <w:r w:rsidRPr="00DB1AEA">
              <w:rPr>
                <w:rFonts w:cs="Calibri"/>
                <w:sz w:val="18"/>
                <w:szCs w:val="18"/>
                <w:lang w:val="sk-SK"/>
              </w:rPr>
              <w:t>§ 52a  Príspevok na AČ formou dobrovoľníckej služby</w:t>
            </w:r>
            <w:r w:rsidRPr="00DB1AEA">
              <w:rPr>
                <w:rFonts w:cs="Calibri"/>
                <w:i/>
                <w:sz w:val="18"/>
                <w:szCs w:val="18"/>
                <w:lang w:val="sk-SK"/>
              </w:rPr>
              <w:t xml:space="preserve"> (vypustený zo zákona)</w:t>
            </w:r>
          </w:p>
        </w:tc>
        <w:tc>
          <w:tcPr>
            <w:tcW w:w="763" w:type="pct"/>
            <w:noWrap/>
          </w:tcPr>
          <w:p w14:paraId="1D36C28A" w14:textId="77777777" w:rsidR="00DB4AE3" w:rsidRPr="00DB1AEA" w:rsidRDefault="00DB4AE3" w:rsidP="00DB4AE3">
            <w:pPr>
              <w:jc w:val="right"/>
              <w:rPr>
                <w:rFonts w:cs="Calibri"/>
                <w:sz w:val="18"/>
                <w:szCs w:val="18"/>
                <w:lang w:val="sk-SK"/>
              </w:rPr>
            </w:pPr>
            <w:r w:rsidRPr="00DB1AEA">
              <w:rPr>
                <w:rFonts w:cs="Calibri"/>
                <w:sz w:val="18"/>
                <w:szCs w:val="18"/>
                <w:lang w:val="sk-SK"/>
              </w:rPr>
              <w:t>27 </w:t>
            </w:r>
          </w:p>
        </w:tc>
        <w:tc>
          <w:tcPr>
            <w:tcW w:w="715" w:type="pct"/>
            <w:noWrap/>
          </w:tcPr>
          <w:p w14:paraId="58D1E8CB" w14:textId="77777777" w:rsidR="00DB4AE3" w:rsidRPr="00DB1AEA" w:rsidRDefault="00DB4AE3" w:rsidP="00DB4AE3">
            <w:pPr>
              <w:jc w:val="right"/>
              <w:rPr>
                <w:rFonts w:cs="Calibri"/>
                <w:sz w:val="18"/>
                <w:szCs w:val="18"/>
                <w:lang w:val="sk-SK"/>
              </w:rPr>
            </w:pPr>
            <w:r w:rsidRPr="00DB1AEA">
              <w:rPr>
                <w:rFonts w:cs="Calibri"/>
                <w:sz w:val="18"/>
                <w:szCs w:val="18"/>
                <w:lang w:val="sk-SK"/>
              </w:rPr>
              <w:t>8 036</w:t>
            </w:r>
          </w:p>
        </w:tc>
        <w:tc>
          <w:tcPr>
            <w:tcW w:w="794" w:type="pct"/>
            <w:noWrap/>
          </w:tcPr>
          <w:p w14:paraId="07DCAA96"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3788F31E" w14:textId="77777777" w:rsidR="00DB4AE3" w:rsidRPr="00DB1AEA" w:rsidRDefault="00DB4AE3" w:rsidP="00DB4AE3">
            <w:pPr>
              <w:ind w:right="-48"/>
              <w:jc w:val="right"/>
              <w:rPr>
                <w:rFonts w:cs="Calibri"/>
                <w:sz w:val="18"/>
                <w:szCs w:val="18"/>
                <w:lang w:val="sk-SK"/>
              </w:rPr>
            </w:pPr>
            <w:r w:rsidRPr="00DB1AEA">
              <w:rPr>
                <w:rFonts w:cs="Calibri"/>
                <w:sz w:val="18"/>
                <w:szCs w:val="18"/>
                <w:lang w:val="sk-SK"/>
              </w:rPr>
              <w:t xml:space="preserve">  0 </w:t>
            </w:r>
          </w:p>
        </w:tc>
      </w:tr>
      <w:tr w:rsidR="00DB1AEA" w:rsidRPr="00DB1AEA" w14:paraId="6D3CBFF3" w14:textId="77777777" w:rsidTr="00DB1AEA">
        <w:trPr>
          <w:trHeight w:val="383"/>
        </w:trPr>
        <w:tc>
          <w:tcPr>
            <w:tcW w:w="2013" w:type="pct"/>
            <w:noWrap/>
          </w:tcPr>
          <w:p w14:paraId="03186E01"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53  Príspevok na dochádzku za prácou </w:t>
            </w:r>
          </w:p>
        </w:tc>
        <w:tc>
          <w:tcPr>
            <w:tcW w:w="763" w:type="pct"/>
            <w:noWrap/>
          </w:tcPr>
          <w:p w14:paraId="5B40D3F5" w14:textId="77777777" w:rsidR="00DB4AE3" w:rsidRPr="00DB1AEA" w:rsidRDefault="00DB4AE3" w:rsidP="00DB4AE3">
            <w:pPr>
              <w:jc w:val="right"/>
              <w:rPr>
                <w:rFonts w:cs="Calibri"/>
                <w:sz w:val="18"/>
                <w:szCs w:val="18"/>
                <w:lang w:val="sk-SK"/>
              </w:rPr>
            </w:pPr>
            <w:r w:rsidRPr="00DB1AEA">
              <w:rPr>
                <w:rFonts w:cs="Calibri"/>
                <w:sz w:val="18"/>
                <w:szCs w:val="18"/>
                <w:lang w:val="sk-SK"/>
              </w:rPr>
              <w:t>20 666 </w:t>
            </w:r>
          </w:p>
        </w:tc>
        <w:tc>
          <w:tcPr>
            <w:tcW w:w="715" w:type="pct"/>
            <w:noWrap/>
          </w:tcPr>
          <w:p w14:paraId="611055AA" w14:textId="77777777" w:rsidR="00DB4AE3" w:rsidRPr="00DB1AEA" w:rsidRDefault="00DB4AE3" w:rsidP="00DB4AE3">
            <w:pPr>
              <w:jc w:val="right"/>
              <w:rPr>
                <w:rFonts w:cs="Calibri"/>
                <w:sz w:val="18"/>
                <w:szCs w:val="18"/>
                <w:lang w:val="sk-SK"/>
              </w:rPr>
            </w:pPr>
            <w:r w:rsidRPr="00DB1AEA">
              <w:rPr>
                <w:rFonts w:cs="Calibri"/>
                <w:sz w:val="18"/>
                <w:szCs w:val="18"/>
                <w:lang w:val="sk-SK"/>
              </w:rPr>
              <w:t>7 623 137 </w:t>
            </w:r>
          </w:p>
        </w:tc>
        <w:tc>
          <w:tcPr>
            <w:tcW w:w="794" w:type="pct"/>
            <w:noWrap/>
          </w:tcPr>
          <w:p w14:paraId="4AB34EAC" w14:textId="77777777" w:rsidR="00DB4AE3" w:rsidRPr="00DB1AEA" w:rsidRDefault="00DB4AE3" w:rsidP="00DB4AE3">
            <w:pPr>
              <w:ind w:right="-20"/>
              <w:jc w:val="right"/>
              <w:rPr>
                <w:rFonts w:cs="Calibri"/>
                <w:sz w:val="18"/>
                <w:szCs w:val="18"/>
                <w:lang w:val="sk-SK"/>
              </w:rPr>
            </w:pPr>
            <w:r w:rsidRPr="00DB1AEA">
              <w:rPr>
                <w:rFonts w:cs="Calibri"/>
                <w:sz w:val="18"/>
                <w:szCs w:val="18"/>
                <w:lang w:val="sk-SK"/>
              </w:rPr>
              <w:t xml:space="preserve">  22 266 </w:t>
            </w:r>
          </w:p>
        </w:tc>
        <w:tc>
          <w:tcPr>
            <w:tcW w:w="715" w:type="pct"/>
            <w:noWrap/>
          </w:tcPr>
          <w:p w14:paraId="5BDDF63F" w14:textId="77777777" w:rsidR="00DB4AE3" w:rsidRPr="00DB1AEA" w:rsidRDefault="00DB4AE3" w:rsidP="00DB4AE3">
            <w:pPr>
              <w:ind w:right="-48"/>
              <w:jc w:val="right"/>
              <w:rPr>
                <w:rFonts w:cs="Calibri"/>
                <w:sz w:val="18"/>
                <w:szCs w:val="18"/>
                <w:lang w:val="sk-SK"/>
              </w:rPr>
            </w:pPr>
            <w:r w:rsidRPr="00DB1AEA">
              <w:rPr>
                <w:rFonts w:cs="Calibri"/>
                <w:sz w:val="18"/>
                <w:szCs w:val="18"/>
                <w:lang w:val="sk-SK"/>
              </w:rPr>
              <w:t>8 200 271 </w:t>
            </w:r>
          </w:p>
        </w:tc>
      </w:tr>
      <w:tr w:rsidR="00DB1AEA" w:rsidRPr="00DB1AEA" w14:paraId="68262612"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4E9CD127"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53a  Príspevok na podporu mobility za prácou </w:t>
            </w:r>
          </w:p>
        </w:tc>
        <w:tc>
          <w:tcPr>
            <w:tcW w:w="763" w:type="pct"/>
            <w:noWrap/>
          </w:tcPr>
          <w:p w14:paraId="71109304" w14:textId="77777777" w:rsidR="00DB4AE3" w:rsidRPr="00DB1AEA" w:rsidRDefault="00DB4AE3" w:rsidP="00DB4AE3">
            <w:pPr>
              <w:jc w:val="right"/>
              <w:rPr>
                <w:rFonts w:cs="Calibri"/>
                <w:sz w:val="18"/>
                <w:szCs w:val="18"/>
                <w:lang w:val="sk-SK"/>
              </w:rPr>
            </w:pPr>
            <w:r w:rsidRPr="00DB1AEA">
              <w:rPr>
                <w:rFonts w:cs="Calibri"/>
                <w:sz w:val="18"/>
                <w:szCs w:val="18"/>
                <w:lang w:val="sk-SK"/>
              </w:rPr>
              <w:t>239 </w:t>
            </w:r>
          </w:p>
        </w:tc>
        <w:tc>
          <w:tcPr>
            <w:tcW w:w="715" w:type="pct"/>
            <w:noWrap/>
          </w:tcPr>
          <w:p w14:paraId="23E4F618" w14:textId="77777777" w:rsidR="00DB4AE3" w:rsidRPr="00DB1AEA" w:rsidRDefault="00DB4AE3" w:rsidP="00DB4AE3">
            <w:pPr>
              <w:jc w:val="right"/>
              <w:rPr>
                <w:rFonts w:cs="Calibri"/>
                <w:sz w:val="18"/>
                <w:szCs w:val="18"/>
                <w:lang w:val="sk-SK"/>
              </w:rPr>
            </w:pPr>
            <w:r w:rsidRPr="00DB1AEA">
              <w:rPr>
                <w:rFonts w:cs="Calibri"/>
                <w:sz w:val="18"/>
                <w:szCs w:val="18"/>
                <w:lang w:val="sk-SK"/>
              </w:rPr>
              <w:t>432 335 </w:t>
            </w:r>
          </w:p>
        </w:tc>
        <w:tc>
          <w:tcPr>
            <w:tcW w:w="794" w:type="pct"/>
            <w:noWrap/>
          </w:tcPr>
          <w:p w14:paraId="21C1B117" w14:textId="77777777" w:rsidR="00DB4AE3" w:rsidRPr="00DB1AEA" w:rsidRDefault="00DB4AE3" w:rsidP="00DB4AE3">
            <w:pPr>
              <w:jc w:val="right"/>
              <w:rPr>
                <w:rFonts w:cs="Calibri"/>
                <w:sz w:val="18"/>
                <w:szCs w:val="18"/>
                <w:highlight w:val="yellow"/>
                <w:lang w:val="sk-SK"/>
              </w:rPr>
            </w:pPr>
            <w:r w:rsidRPr="00DB1AEA">
              <w:rPr>
                <w:rFonts w:cs="Calibri"/>
                <w:sz w:val="18"/>
                <w:szCs w:val="18"/>
                <w:lang w:val="sk-SK"/>
              </w:rPr>
              <w:t>195</w:t>
            </w:r>
          </w:p>
        </w:tc>
        <w:tc>
          <w:tcPr>
            <w:tcW w:w="715" w:type="pct"/>
            <w:noWrap/>
          </w:tcPr>
          <w:p w14:paraId="1EB385F1" w14:textId="77777777" w:rsidR="00DB4AE3" w:rsidRPr="00DB1AEA" w:rsidRDefault="00DB4AE3" w:rsidP="00DB4AE3">
            <w:pPr>
              <w:jc w:val="right"/>
              <w:rPr>
                <w:rFonts w:cs="Calibri"/>
                <w:sz w:val="18"/>
                <w:szCs w:val="18"/>
                <w:highlight w:val="yellow"/>
                <w:lang w:val="sk-SK"/>
              </w:rPr>
            </w:pPr>
            <w:r w:rsidRPr="00DB1AEA">
              <w:rPr>
                <w:rFonts w:cs="Calibri"/>
                <w:sz w:val="18"/>
                <w:szCs w:val="18"/>
                <w:lang w:val="sk-SK"/>
              </w:rPr>
              <w:t>451 534</w:t>
            </w:r>
          </w:p>
        </w:tc>
      </w:tr>
      <w:tr w:rsidR="00DB1AEA" w:rsidRPr="00DB1AEA" w14:paraId="0B359346" w14:textId="77777777" w:rsidTr="00DB1AEA">
        <w:trPr>
          <w:trHeight w:val="349"/>
        </w:trPr>
        <w:tc>
          <w:tcPr>
            <w:tcW w:w="2013" w:type="pct"/>
            <w:noWrap/>
          </w:tcPr>
          <w:p w14:paraId="1A8F713C"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53b  Príspevok na dopravu do zamestnania </w:t>
            </w:r>
          </w:p>
        </w:tc>
        <w:tc>
          <w:tcPr>
            <w:tcW w:w="763" w:type="pct"/>
            <w:noWrap/>
          </w:tcPr>
          <w:p w14:paraId="0BF7C578" w14:textId="77777777" w:rsidR="00DB4AE3" w:rsidRPr="00DB1AEA" w:rsidRDefault="00DB4AE3" w:rsidP="00DB4AE3">
            <w:pPr>
              <w:jc w:val="right"/>
              <w:rPr>
                <w:rFonts w:cs="Calibri"/>
                <w:sz w:val="18"/>
                <w:szCs w:val="18"/>
                <w:lang w:val="sk-SK"/>
              </w:rPr>
            </w:pPr>
            <w:r w:rsidRPr="00DB1AEA">
              <w:rPr>
                <w:rFonts w:cs="Calibri"/>
                <w:sz w:val="18"/>
                <w:szCs w:val="18"/>
                <w:lang w:val="sk-SK"/>
              </w:rPr>
              <w:t>0 </w:t>
            </w:r>
          </w:p>
        </w:tc>
        <w:tc>
          <w:tcPr>
            <w:tcW w:w="715" w:type="pct"/>
            <w:noWrap/>
          </w:tcPr>
          <w:p w14:paraId="3B5F48B0"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51745556" w14:textId="77777777" w:rsidR="00DB4AE3" w:rsidRPr="00DB1AEA" w:rsidRDefault="00DB4AE3" w:rsidP="00DB4AE3">
            <w:pPr>
              <w:jc w:val="right"/>
              <w:rPr>
                <w:rFonts w:cs="Calibri"/>
                <w:sz w:val="18"/>
                <w:szCs w:val="18"/>
                <w:lang w:val="sk-SK"/>
              </w:rPr>
            </w:pPr>
            <w:r w:rsidRPr="00DB1AEA">
              <w:rPr>
                <w:rFonts w:cs="Calibri"/>
                <w:sz w:val="18"/>
                <w:szCs w:val="18"/>
                <w:lang w:val="sk-SK"/>
              </w:rPr>
              <w:t>0 </w:t>
            </w:r>
          </w:p>
        </w:tc>
        <w:tc>
          <w:tcPr>
            <w:tcW w:w="715" w:type="pct"/>
            <w:noWrap/>
          </w:tcPr>
          <w:p w14:paraId="76FAB66E" w14:textId="77777777" w:rsidR="00DB4AE3" w:rsidRPr="00DB1AEA" w:rsidRDefault="00DB4AE3" w:rsidP="00DB4AE3">
            <w:pPr>
              <w:jc w:val="right"/>
              <w:rPr>
                <w:rFonts w:cs="Calibri"/>
                <w:sz w:val="18"/>
                <w:szCs w:val="18"/>
                <w:lang w:val="sk-SK"/>
              </w:rPr>
            </w:pPr>
            <w:r w:rsidRPr="00DB1AEA">
              <w:rPr>
                <w:rFonts w:cs="Calibri"/>
                <w:sz w:val="18"/>
                <w:szCs w:val="18"/>
                <w:lang w:val="sk-SK"/>
              </w:rPr>
              <w:t>0 </w:t>
            </w:r>
          </w:p>
        </w:tc>
      </w:tr>
      <w:tr w:rsidR="00DB1AEA" w:rsidRPr="00DB1AEA" w14:paraId="23A7B449"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215F9AE8" w14:textId="77777777" w:rsidR="00DB4AE3" w:rsidRPr="00DB1AEA" w:rsidRDefault="00DB4AE3" w:rsidP="00DB4AE3">
            <w:pPr>
              <w:jc w:val="left"/>
              <w:rPr>
                <w:rFonts w:cs="Calibri"/>
                <w:sz w:val="18"/>
                <w:szCs w:val="18"/>
                <w:lang w:val="sk-SK"/>
              </w:rPr>
            </w:pPr>
            <w:r w:rsidRPr="00DB1AEA">
              <w:rPr>
                <w:rFonts w:cs="Calibri"/>
                <w:sz w:val="18"/>
                <w:szCs w:val="18"/>
                <w:lang w:val="sk-SK"/>
              </w:rPr>
              <w:t>§ 53c  Príspevok na presťahovanie za prácou</w:t>
            </w:r>
          </w:p>
          <w:p w14:paraId="6BC66BC7" w14:textId="77777777" w:rsidR="00DB4AE3" w:rsidRPr="00DB1AEA" w:rsidRDefault="00DB4AE3" w:rsidP="00DB4AE3">
            <w:pPr>
              <w:jc w:val="left"/>
              <w:rPr>
                <w:rFonts w:cs="Calibri"/>
                <w:i/>
                <w:sz w:val="18"/>
                <w:szCs w:val="18"/>
                <w:lang w:val="sk-SK"/>
              </w:rPr>
            </w:pPr>
            <w:r w:rsidRPr="00DB1AEA">
              <w:rPr>
                <w:rFonts w:cs="Calibri"/>
                <w:i/>
                <w:sz w:val="18"/>
                <w:szCs w:val="18"/>
                <w:lang w:val="sk-SK"/>
              </w:rPr>
              <w:t xml:space="preserve">          (vypustený zo zákona)</w:t>
            </w:r>
          </w:p>
        </w:tc>
        <w:tc>
          <w:tcPr>
            <w:tcW w:w="763" w:type="pct"/>
            <w:noWrap/>
          </w:tcPr>
          <w:p w14:paraId="3621A5A8"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43DCFB51" w14:textId="77777777" w:rsidR="00DB4AE3" w:rsidRPr="00DB1AEA" w:rsidRDefault="00DB4AE3" w:rsidP="00DB4AE3">
            <w:pPr>
              <w:jc w:val="right"/>
              <w:rPr>
                <w:rFonts w:cs="Calibri"/>
                <w:sz w:val="18"/>
                <w:szCs w:val="18"/>
                <w:lang w:val="sk-SK"/>
              </w:rPr>
            </w:pPr>
            <w:r w:rsidRPr="00DB1AEA">
              <w:rPr>
                <w:rFonts w:cs="Calibri"/>
                <w:sz w:val="18"/>
                <w:szCs w:val="18"/>
                <w:lang w:val="sk-SK"/>
              </w:rPr>
              <w:t>219 555</w:t>
            </w:r>
          </w:p>
        </w:tc>
        <w:tc>
          <w:tcPr>
            <w:tcW w:w="794" w:type="pct"/>
            <w:noWrap/>
          </w:tcPr>
          <w:p w14:paraId="0FA231BD" w14:textId="77777777" w:rsidR="00DB4AE3" w:rsidRPr="00DB1AEA" w:rsidRDefault="00DB4AE3" w:rsidP="00DB4AE3">
            <w:pPr>
              <w:ind w:right="-30"/>
              <w:jc w:val="right"/>
              <w:rPr>
                <w:rFonts w:cs="Calibri"/>
                <w:sz w:val="18"/>
                <w:szCs w:val="18"/>
                <w:lang w:val="sk-SK"/>
              </w:rPr>
            </w:pPr>
            <w:r w:rsidRPr="00DB1AEA">
              <w:rPr>
                <w:rFonts w:cs="Calibri"/>
                <w:sz w:val="18"/>
                <w:szCs w:val="18"/>
                <w:lang w:val="sk-SK"/>
              </w:rPr>
              <w:t>0</w:t>
            </w:r>
          </w:p>
        </w:tc>
        <w:tc>
          <w:tcPr>
            <w:tcW w:w="715" w:type="pct"/>
            <w:noWrap/>
          </w:tcPr>
          <w:p w14:paraId="5C5AD4EF"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2A89422D" w14:textId="77777777" w:rsidTr="00DB1AEA">
        <w:trPr>
          <w:trHeight w:val="349"/>
        </w:trPr>
        <w:tc>
          <w:tcPr>
            <w:tcW w:w="2013" w:type="pct"/>
            <w:noWrap/>
          </w:tcPr>
          <w:p w14:paraId="73BC17BA"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53d   Príspevok na vytvorenie nového pracovného miesta </w:t>
            </w:r>
          </w:p>
        </w:tc>
        <w:tc>
          <w:tcPr>
            <w:tcW w:w="763" w:type="pct"/>
            <w:noWrap/>
          </w:tcPr>
          <w:p w14:paraId="11E73827" w14:textId="77777777" w:rsidR="00DB4AE3" w:rsidRPr="00DB1AEA" w:rsidRDefault="00DB4AE3" w:rsidP="00DB4AE3">
            <w:pPr>
              <w:jc w:val="right"/>
              <w:rPr>
                <w:rFonts w:cs="Calibri"/>
                <w:sz w:val="18"/>
                <w:szCs w:val="18"/>
                <w:lang w:val="sk-SK"/>
              </w:rPr>
            </w:pPr>
            <w:r w:rsidRPr="00DB1AEA">
              <w:rPr>
                <w:rFonts w:cs="Calibri"/>
                <w:sz w:val="18"/>
                <w:szCs w:val="18"/>
                <w:lang w:val="sk-SK"/>
              </w:rPr>
              <w:t>349</w:t>
            </w:r>
          </w:p>
        </w:tc>
        <w:tc>
          <w:tcPr>
            <w:tcW w:w="715" w:type="pct"/>
            <w:noWrap/>
          </w:tcPr>
          <w:p w14:paraId="6E61F420" w14:textId="77777777" w:rsidR="00DB4AE3" w:rsidRPr="00DB1AEA" w:rsidRDefault="00DB4AE3" w:rsidP="00DB4AE3">
            <w:pPr>
              <w:jc w:val="right"/>
              <w:rPr>
                <w:rFonts w:cs="Calibri"/>
                <w:sz w:val="18"/>
                <w:szCs w:val="18"/>
                <w:lang w:val="sk-SK"/>
              </w:rPr>
            </w:pPr>
            <w:r w:rsidRPr="00DB1AEA">
              <w:rPr>
                <w:rFonts w:cs="Calibri"/>
                <w:sz w:val="18"/>
                <w:szCs w:val="18"/>
                <w:lang w:val="sk-SK"/>
              </w:rPr>
              <w:t>2 660 751</w:t>
            </w:r>
          </w:p>
        </w:tc>
        <w:tc>
          <w:tcPr>
            <w:tcW w:w="794" w:type="pct"/>
            <w:noWrap/>
          </w:tcPr>
          <w:p w14:paraId="3EDF6629" w14:textId="77777777" w:rsidR="00DB4AE3" w:rsidRPr="00DB1AEA" w:rsidRDefault="00DB4AE3" w:rsidP="00DB4AE3">
            <w:pPr>
              <w:jc w:val="right"/>
              <w:rPr>
                <w:rFonts w:cs="Calibri"/>
                <w:sz w:val="18"/>
                <w:szCs w:val="18"/>
                <w:lang w:val="sk-SK"/>
              </w:rPr>
            </w:pPr>
            <w:r w:rsidRPr="00DB1AEA">
              <w:rPr>
                <w:rFonts w:cs="Calibri"/>
                <w:sz w:val="18"/>
                <w:szCs w:val="18"/>
                <w:lang w:val="sk-SK"/>
              </w:rPr>
              <w:t>334</w:t>
            </w:r>
          </w:p>
        </w:tc>
        <w:tc>
          <w:tcPr>
            <w:tcW w:w="715" w:type="pct"/>
            <w:noWrap/>
          </w:tcPr>
          <w:p w14:paraId="1B5F1A86" w14:textId="77777777" w:rsidR="00DB4AE3" w:rsidRPr="00DB1AEA" w:rsidRDefault="00DB4AE3" w:rsidP="00DB4AE3">
            <w:pPr>
              <w:jc w:val="right"/>
              <w:rPr>
                <w:rFonts w:cs="Calibri"/>
                <w:sz w:val="18"/>
                <w:szCs w:val="18"/>
                <w:lang w:val="sk-SK"/>
              </w:rPr>
            </w:pPr>
            <w:r w:rsidRPr="00DB1AEA">
              <w:rPr>
                <w:rFonts w:cs="Calibri"/>
                <w:sz w:val="18"/>
                <w:szCs w:val="18"/>
                <w:lang w:val="sk-SK"/>
              </w:rPr>
              <w:t>2 362 158</w:t>
            </w:r>
          </w:p>
        </w:tc>
      </w:tr>
      <w:tr w:rsidR="00DB1AEA" w:rsidRPr="00DB1AEA" w14:paraId="5AEE86C1"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6EBC745D"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19a Umiestňovací príspevok </w:t>
            </w:r>
          </w:p>
        </w:tc>
        <w:tc>
          <w:tcPr>
            <w:tcW w:w="763" w:type="pct"/>
            <w:noWrap/>
          </w:tcPr>
          <w:p w14:paraId="4EC90095" w14:textId="77777777" w:rsidR="00DB4AE3" w:rsidRPr="00DB1AEA" w:rsidRDefault="00DB4AE3" w:rsidP="00DB4AE3">
            <w:pPr>
              <w:jc w:val="right"/>
              <w:rPr>
                <w:rFonts w:cs="Calibri"/>
                <w:sz w:val="18"/>
                <w:szCs w:val="18"/>
                <w:lang w:val="sk-SK"/>
              </w:rPr>
            </w:pPr>
            <w:r w:rsidRPr="00DB1AEA">
              <w:rPr>
                <w:rFonts w:cs="Calibri"/>
                <w:sz w:val="18"/>
                <w:szCs w:val="18"/>
                <w:lang w:val="sk-SK"/>
              </w:rPr>
              <w:t>13</w:t>
            </w:r>
          </w:p>
        </w:tc>
        <w:tc>
          <w:tcPr>
            <w:tcW w:w="715" w:type="pct"/>
            <w:noWrap/>
          </w:tcPr>
          <w:p w14:paraId="10282415" w14:textId="77777777" w:rsidR="00DB4AE3" w:rsidRPr="00DB1AEA" w:rsidRDefault="00DB4AE3" w:rsidP="00DB4AE3">
            <w:pPr>
              <w:jc w:val="right"/>
              <w:rPr>
                <w:rFonts w:cs="Calibri"/>
                <w:sz w:val="18"/>
                <w:szCs w:val="18"/>
                <w:lang w:val="sk-SK"/>
              </w:rPr>
            </w:pPr>
            <w:r w:rsidRPr="00DB1AEA">
              <w:rPr>
                <w:rFonts w:cs="Calibri"/>
                <w:sz w:val="18"/>
                <w:szCs w:val="18"/>
                <w:lang w:val="sk-SK"/>
              </w:rPr>
              <w:t>11 449</w:t>
            </w:r>
          </w:p>
        </w:tc>
        <w:tc>
          <w:tcPr>
            <w:tcW w:w="794" w:type="pct"/>
            <w:noWrap/>
          </w:tcPr>
          <w:p w14:paraId="6EFCE5D6" w14:textId="77777777" w:rsidR="00DB4AE3" w:rsidRPr="00DB1AEA" w:rsidRDefault="00DB4AE3" w:rsidP="00DB4AE3">
            <w:pPr>
              <w:jc w:val="right"/>
              <w:rPr>
                <w:rFonts w:cs="Calibri"/>
                <w:sz w:val="18"/>
                <w:szCs w:val="18"/>
                <w:lang w:val="sk-SK"/>
              </w:rPr>
            </w:pPr>
            <w:r w:rsidRPr="00DB1AEA">
              <w:rPr>
                <w:rFonts w:cs="Calibri"/>
                <w:sz w:val="18"/>
                <w:szCs w:val="18"/>
                <w:lang w:val="sk-SK"/>
              </w:rPr>
              <w:t>25</w:t>
            </w:r>
          </w:p>
        </w:tc>
        <w:tc>
          <w:tcPr>
            <w:tcW w:w="715" w:type="pct"/>
            <w:noWrap/>
          </w:tcPr>
          <w:p w14:paraId="770A2306" w14:textId="77777777" w:rsidR="00DB4AE3" w:rsidRPr="00DB1AEA" w:rsidRDefault="00DB4AE3" w:rsidP="00DB4AE3">
            <w:pPr>
              <w:jc w:val="right"/>
              <w:rPr>
                <w:rFonts w:cs="Calibri"/>
                <w:sz w:val="18"/>
                <w:szCs w:val="18"/>
                <w:lang w:val="sk-SK"/>
              </w:rPr>
            </w:pPr>
            <w:r w:rsidRPr="00DB1AEA">
              <w:rPr>
                <w:rFonts w:cs="Calibri"/>
                <w:sz w:val="18"/>
                <w:szCs w:val="18"/>
                <w:lang w:val="sk-SK"/>
              </w:rPr>
              <w:t>54 975</w:t>
            </w:r>
          </w:p>
        </w:tc>
      </w:tr>
      <w:tr w:rsidR="00DB1AEA" w:rsidRPr="00DB1AEA" w14:paraId="5ED59B13" w14:textId="77777777" w:rsidTr="00DB1AEA">
        <w:trPr>
          <w:trHeight w:val="349"/>
        </w:trPr>
        <w:tc>
          <w:tcPr>
            <w:tcW w:w="2013" w:type="pct"/>
            <w:noWrap/>
          </w:tcPr>
          <w:p w14:paraId="0BB47169"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19b  Vyrovnávací príspevok </w:t>
            </w:r>
          </w:p>
        </w:tc>
        <w:tc>
          <w:tcPr>
            <w:tcW w:w="763" w:type="pct"/>
            <w:noWrap/>
          </w:tcPr>
          <w:p w14:paraId="246F6DB6" w14:textId="77777777" w:rsidR="00DB4AE3" w:rsidRPr="00DB1AEA" w:rsidRDefault="00DB4AE3" w:rsidP="00DB4AE3">
            <w:pPr>
              <w:jc w:val="right"/>
              <w:rPr>
                <w:rFonts w:cs="Calibri"/>
                <w:sz w:val="18"/>
                <w:szCs w:val="18"/>
                <w:lang w:val="sk-SK"/>
              </w:rPr>
            </w:pPr>
            <w:r w:rsidRPr="00DB1AEA">
              <w:rPr>
                <w:rFonts w:cs="Calibri"/>
                <w:sz w:val="18"/>
                <w:szCs w:val="18"/>
                <w:lang w:val="sk-SK"/>
              </w:rPr>
              <w:t>5 802</w:t>
            </w:r>
          </w:p>
        </w:tc>
        <w:tc>
          <w:tcPr>
            <w:tcW w:w="715" w:type="pct"/>
            <w:noWrap/>
          </w:tcPr>
          <w:p w14:paraId="61D0AB2B" w14:textId="77777777" w:rsidR="00DB4AE3" w:rsidRPr="00DB1AEA" w:rsidRDefault="00DB4AE3" w:rsidP="00DB4AE3">
            <w:pPr>
              <w:jc w:val="right"/>
              <w:rPr>
                <w:rFonts w:cs="Calibri"/>
                <w:sz w:val="18"/>
                <w:szCs w:val="18"/>
                <w:lang w:val="sk-SK"/>
              </w:rPr>
            </w:pPr>
            <w:r w:rsidRPr="00DB1AEA">
              <w:rPr>
                <w:rFonts w:cs="Calibri"/>
                <w:sz w:val="18"/>
                <w:szCs w:val="18"/>
                <w:lang w:val="sk-SK"/>
              </w:rPr>
              <w:t>40 905 233</w:t>
            </w:r>
          </w:p>
        </w:tc>
        <w:tc>
          <w:tcPr>
            <w:tcW w:w="794" w:type="pct"/>
            <w:noWrap/>
          </w:tcPr>
          <w:p w14:paraId="1D437879" w14:textId="77777777" w:rsidR="00DB4AE3" w:rsidRPr="00DB1AEA" w:rsidRDefault="00DB4AE3" w:rsidP="00DB4AE3">
            <w:pPr>
              <w:jc w:val="right"/>
              <w:rPr>
                <w:rFonts w:cs="Calibri"/>
                <w:sz w:val="18"/>
                <w:szCs w:val="18"/>
                <w:lang w:val="sk-SK"/>
              </w:rPr>
            </w:pPr>
            <w:r w:rsidRPr="00DB1AEA">
              <w:rPr>
                <w:rFonts w:cs="Calibri"/>
                <w:sz w:val="18"/>
                <w:szCs w:val="18"/>
                <w:lang w:val="sk-SK"/>
              </w:rPr>
              <w:t>6 574</w:t>
            </w:r>
          </w:p>
        </w:tc>
        <w:tc>
          <w:tcPr>
            <w:tcW w:w="715" w:type="pct"/>
            <w:noWrap/>
          </w:tcPr>
          <w:p w14:paraId="40718A5B" w14:textId="77777777" w:rsidR="00DB4AE3" w:rsidRPr="00DB1AEA" w:rsidRDefault="00DB4AE3" w:rsidP="00DB4AE3">
            <w:pPr>
              <w:jc w:val="right"/>
              <w:rPr>
                <w:rFonts w:cs="Calibri"/>
                <w:sz w:val="18"/>
                <w:szCs w:val="18"/>
                <w:lang w:val="sk-SK"/>
              </w:rPr>
            </w:pPr>
            <w:r w:rsidRPr="00DB1AEA">
              <w:rPr>
                <w:rFonts w:cs="Calibri"/>
                <w:sz w:val="18"/>
                <w:szCs w:val="18"/>
                <w:lang w:val="sk-SK"/>
              </w:rPr>
              <w:t>51 607 197</w:t>
            </w:r>
          </w:p>
        </w:tc>
      </w:tr>
      <w:tr w:rsidR="00DB1AEA" w:rsidRPr="00DB1AEA" w14:paraId="502624D4"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43AB15D2" w14:textId="77777777" w:rsidR="00DB4AE3" w:rsidRPr="00DB1AEA" w:rsidRDefault="00DB4AE3" w:rsidP="00DB4AE3">
            <w:pPr>
              <w:jc w:val="left"/>
              <w:rPr>
                <w:rFonts w:cs="Calibri"/>
                <w:sz w:val="18"/>
                <w:szCs w:val="18"/>
                <w:lang w:val="sk-SK"/>
              </w:rPr>
            </w:pPr>
            <w:r w:rsidRPr="00DB1AEA">
              <w:rPr>
                <w:rFonts w:cs="Calibri"/>
                <w:sz w:val="18"/>
                <w:szCs w:val="18"/>
                <w:lang w:val="sk-SK"/>
              </w:rPr>
              <w:t>§ 54  Projekty a</w:t>
            </w:r>
            <w:r w:rsidRPr="00DB1AEA">
              <w:rPr>
                <w:rFonts w:ascii="Arial" w:hAnsi="Arial" w:cs="Arial"/>
                <w:sz w:val="18"/>
                <w:szCs w:val="18"/>
                <w:lang w:val="sk-SK"/>
              </w:rPr>
              <w:t> </w:t>
            </w:r>
            <w:r w:rsidRPr="00DB1AEA">
              <w:rPr>
                <w:rFonts w:cs="Calibri"/>
                <w:sz w:val="18"/>
                <w:szCs w:val="18"/>
                <w:lang w:val="sk-SK"/>
              </w:rPr>
              <w:t xml:space="preserve">programy </w:t>
            </w:r>
          </w:p>
        </w:tc>
        <w:tc>
          <w:tcPr>
            <w:tcW w:w="763" w:type="pct"/>
            <w:noWrap/>
          </w:tcPr>
          <w:p w14:paraId="1571050A" w14:textId="77777777" w:rsidR="00DB4AE3" w:rsidRPr="00DB1AEA" w:rsidRDefault="00DB4AE3" w:rsidP="00DB4AE3">
            <w:pPr>
              <w:jc w:val="right"/>
              <w:rPr>
                <w:rFonts w:cs="Calibri"/>
                <w:sz w:val="18"/>
                <w:szCs w:val="18"/>
                <w:lang w:val="sk-SK"/>
              </w:rPr>
            </w:pPr>
            <w:r w:rsidRPr="00DB1AEA">
              <w:rPr>
                <w:rFonts w:cs="Calibri"/>
                <w:sz w:val="18"/>
                <w:szCs w:val="18"/>
                <w:lang w:val="sk-SK"/>
              </w:rPr>
              <w:t>49 266</w:t>
            </w:r>
          </w:p>
        </w:tc>
        <w:tc>
          <w:tcPr>
            <w:tcW w:w="715" w:type="pct"/>
            <w:noWrap/>
          </w:tcPr>
          <w:p w14:paraId="2BDB0BC1" w14:textId="77777777" w:rsidR="00DB4AE3" w:rsidRPr="00DB1AEA" w:rsidRDefault="00DB4AE3" w:rsidP="00DB4AE3">
            <w:pPr>
              <w:jc w:val="right"/>
              <w:rPr>
                <w:rFonts w:cs="Calibri"/>
                <w:sz w:val="18"/>
                <w:szCs w:val="18"/>
                <w:lang w:val="sk-SK"/>
              </w:rPr>
            </w:pPr>
            <w:r w:rsidRPr="00DB1AEA">
              <w:rPr>
                <w:rFonts w:cs="Calibri"/>
                <w:sz w:val="18"/>
                <w:szCs w:val="18"/>
                <w:lang w:val="sk-SK"/>
              </w:rPr>
              <w:t>90 678 493</w:t>
            </w:r>
          </w:p>
        </w:tc>
        <w:tc>
          <w:tcPr>
            <w:tcW w:w="794" w:type="pct"/>
            <w:noWrap/>
          </w:tcPr>
          <w:p w14:paraId="0D5EAAA8" w14:textId="77777777" w:rsidR="00DB4AE3" w:rsidRPr="00DB1AEA" w:rsidRDefault="00DB4AE3" w:rsidP="00DB4AE3">
            <w:pPr>
              <w:jc w:val="right"/>
              <w:rPr>
                <w:rFonts w:cs="Calibri"/>
                <w:sz w:val="18"/>
                <w:szCs w:val="18"/>
                <w:lang w:val="sk-SK"/>
              </w:rPr>
            </w:pPr>
            <w:r w:rsidRPr="00DB1AEA">
              <w:rPr>
                <w:rFonts w:cs="Calibri"/>
                <w:sz w:val="18"/>
                <w:szCs w:val="18"/>
                <w:lang w:val="sk-SK"/>
              </w:rPr>
              <w:t>75 002</w:t>
            </w:r>
          </w:p>
        </w:tc>
        <w:tc>
          <w:tcPr>
            <w:tcW w:w="715" w:type="pct"/>
            <w:noWrap/>
          </w:tcPr>
          <w:p w14:paraId="03C5A3B6" w14:textId="77777777" w:rsidR="00DB4AE3" w:rsidRPr="00DB1AEA" w:rsidRDefault="00DB4AE3" w:rsidP="00DB4AE3">
            <w:pPr>
              <w:jc w:val="right"/>
              <w:rPr>
                <w:rFonts w:cs="Calibri"/>
                <w:sz w:val="18"/>
                <w:szCs w:val="18"/>
                <w:lang w:val="sk-SK"/>
              </w:rPr>
            </w:pPr>
            <w:r w:rsidRPr="00DB1AEA">
              <w:rPr>
                <w:rFonts w:cs="Calibri"/>
                <w:sz w:val="18"/>
                <w:szCs w:val="18"/>
                <w:lang w:val="sk-SK"/>
              </w:rPr>
              <w:t>58 019 975</w:t>
            </w:r>
          </w:p>
        </w:tc>
      </w:tr>
      <w:tr w:rsidR="00DB1AEA" w:rsidRPr="00DB1AEA" w14:paraId="6A476EEA" w14:textId="77777777" w:rsidTr="00DB1AEA">
        <w:trPr>
          <w:trHeight w:val="349"/>
        </w:trPr>
        <w:tc>
          <w:tcPr>
            <w:tcW w:w="2013" w:type="pct"/>
            <w:noWrap/>
          </w:tcPr>
          <w:p w14:paraId="625FBD31" w14:textId="77777777" w:rsidR="00DB4AE3" w:rsidRPr="00DB1AEA" w:rsidRDefault="00DB4AE3" w:rsidP="00DB4AE3">
            <w:pPr>
              <w:jc w:val="left"/>
              <w:rPr>
                <w:rFonts w:cs="Calibri"/>
                <w:sz w:val="18"/>
                <w:szCs w:val="18"/>
                <w:lang w:val="sk-SK"/>
              </w:rPr>
            </w:pPr>
            <w:r w:rsidRPr="00DB1AEA">
              <w:rPr>
                <w:rFonts w:cs="Calibri"/>
                <w:sz w:val="18"/>
                <w:szCs w:val="18"/>
                <w:lang w:val="sk-SK"/>
              </w:rPr>
              <w:lastRenderedPageBreak/>
              <w:t>§ 56  Príspevok na zriadenie chránenej dielne alebo chráneného pracoviska</w:t>
            </w:r>
          </w:p>
        </w:tc>
        <w:tc>
          <w:tcPr>
            <w:tcW w:w="763" w:type="pct"/>
            <w:noWrap/>
          </w:tcPr>
          <w:p w14:paraId="0DE9FB63"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645DBEBC"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7B6B0DDB" w14:textId="77777777" w:rsidR="00DB4AE3" w:rsidRPr="00DB1AEA" w:rsidRDefault="00DB4AE3" w:rsidP="00DB4AE3">
            <w:pPr>
              <w:jc w:val="right"/>
              <w:rPr>
                <w:rFonts w:cs="Segoe UI"/>
                <w:sz w:val="18"/>
                <w:szCs w:val="18"/>
                <w:lang w:val="sk-SK"/>
              </w:rPr>
            </w:pPr>
            <w:r w:rsidRPr="00DB1AEA">
              <w:rPr>
                <w:rFonts w:cs="Segoe UI"/>
                <w:sz w:val="18"/>
                <w:szCs w:val="18"/>
                <w:lang w:val="sk-SK"/>
              </w:rPr>
              <w:t>0</w:t>
            </w:r>
          </w:p>
        </w:tc>
        <w:tc>
          <w:tcPr>
            <w:tcW w:w="715" w:type="pct"/>
            <w:noWrap/>
          </w:tcPr>
          <w:p w14:paraId="54FF8969"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7F3353F0"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5176E4D1" w14:textId="77777777" w:rsidR="00DB4AE3" w:rsidRPr="00DB1AEA" w:rsidRDefault="00DB4AE3" w:rsidP="00DB4AE3">
            <w:pPr>
              <w:jc w:val="left"/>
              <w:rPr>
                <w:rFonts w:cs="Calibri"/>
                <w:sz w:val="18"/>
                <w:szCs w:val="18"/>
                <w:lang w:val="sk-SK"/>
              </w:rPr>
            </w:pPr>
            <w:r w:rsidRPr="00DB1AEA">
              <w:rPr>
                <w:rFonts w:cs="Calibri"/>
                <w:sz w:val="18"/>
                <w:szCs w:val="18"/>
                <w:lang w:val="sk-SK"/>
              </w:rPr>
              <w:t>§ 57  Príspevok občanovi so zdravotným postihnutím na SZČ</w:t>
            </w:r>
          </w:p>
        </w:tc>
        <w:tc>
          <w:tcPr>
            <w:tcW w:w="763" w:type="pct"/>
            <w:noWrap/>
          </w:tcPr>
          <w:p w14:paraId="59350FA6"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15" w:type="pct"/>
            <w:noWrap/>
          </w:tcPr>
          <w:p w14:paraId="63A63875"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c>
          <w:tcPr>
            <w:tcW w:w="794" w:type="pct"/>
            <w:noWrap/>
          </w:tcPr>
          <w:p w14:paraId="7AD0C295" w14:textId="77777777" w:rsidR="00DB4AE3" w:rsidRPr="00DB1AEA" w:rsidRDefault="00DB4AE3" w:rsidP="00DB4AE3">
            <w:pPr>
              <w:jc w:val="right"/>
              <w:rPr>
                <w:rFonts w:cs="Segoe UI"/>
                <w:sz w:val="18"/>
                <w:szCs w:val="18"/>
                <w:lang w:val="sk-SK"/>
              </w:rPr>
            </w:pPr>
            <w:r w:rsidRPr="00DB1AEA">
              <w:rPr>
                <w:rFonts w:cs="Segoe UI"/>
                <w:sz w:val="18"/>
                <w:szCs w:val="18"/>
                <w:lang w:val="sk-SK"/>
              </w:rPr>
              <w:t>0</w:t>
            </w:r>
          </w:p>
        </w:tc>
        <w:tc>
          <w:tcPr>
            <w:tcW w:w="715" w:type="pct"/>
            <w:noWrap/>
          </w:tcPr>
          <w:p w14:paraId="35C5C56A" w14:textId="77777777" w:rsidR="00DB4AE3" w:rsidRPr="00DB1AEA" w:rsidRDefault="00DB4AE3" w:rsidP="00DB4AE3">
            <w:pPr>
              <w:jc w:val="right"/>
              <w:rPr>
                <w:rFonts w:cs="Calibri"/>
                <w:sz w:val="18"/>
                <w:szCs w:val="18"/>
                <w:lang w:val="sk-SK"/>
              </w:rPr>
            </w:pPr>
            <w:r w:rsidRPr="00DB1AEA">
              <w:rPr>
                <w:rFonts w:cs="Calibri"/>
                <w:sz w:val="18"/>
                <w:szCs w:val="18"/>
                <w:lang w:val="sk-SK"/>
              </w:rPr>
              <w:t>0</w:t>
            </w:r>
          </w:p>
        </w:tc>
      </w:tr>
      <w:tr w:rsidR="00DB1AEA" w:rsidRPr="00DB1AEA" w14:paraId="2FE43C4F" w14:textId="77777777" w:rsidTr="00DB1AEA">
        <w:trPr>
          <w:trHeight w:val="349"/>
        </w:trPr>
        <w:tc>
          <w:tcPr>
            <w:tcW w:w="2013" w:type="pct"/>
            <w:noWrap/>
          </w:tcPr>
          <w:p w14:paraId="6F28159F" w14:textId="77777777" w:rsidR="00DB4AE3" w:rsidRPr="00DB1AEA" w:rsidRDefault="00DB4AE3" w:rsidP="00DB4AE3">
            <w:pPr>
              <w:jc w:val="left"/>
              <w:rPr>
                <w:rFonts w:cs="Calibri"/>
                <w:sz w:val="18"/>
                <w:szCs w:val="18"/>
                <w:lang w:val="sk-SK"/>
              </w:rPr>
            </w:pPr>
            <w:r w:rsidRPr="00DB1AEA">
              <w:rPr>
                <w:rFonts w:cs="Calibri"/>
                <w:sz w:val="18"/>
                <w:szCs w:val="18"/>
                <w:lang w:val="sk-SK"/>
              </w:rPr>
              <w:t xml:space="preserve">§ 59  Príspevok na činnosť pracovného asistenta </w:t>
            </w:r>
          </w:p>
        </w:tc>
        <w:tc>
          <w:tcPr>
            <w:tcW w:w="763" w:type="pct"/>
            <w:noWrap/>
          </w:tcPr>
          <w:p w14:paraId="6FD26347" w14:textId="77777777" w:rsidR="00DB4AE3" w:rsidRPr="00DB1AEA" w:rsidRDefault="00DB4AE3" w:rsidP="00DB4AE3">
            <w:pPr>
              <w:jc w:val="right"/>
              <w:rPr>
                <w:rFonts w:cs="Calibri"/>
                <w:sz w:val="18"/>
                <w:szCs w:val="18"/>
                <w:lang w:val="sk-SK"/>
              </w:rPr>
            </w:pPr>
            <w:r w:rsidRPr="00DB1AEA">
              <w:rPr>
                <w:rFonts w:cs="Calibri"/>
                <w:sz w:val="18"/>
                <w:szCs w:val="18"/>
                <w:lang w:val="sk-SK"/>
              </w:rPr>
              <w:t>1 568</w:t>
            </w:r>
          </w:p>
        </w:tc>
        <w:tc>
          <w:tcPr>
            <w:tcW w:w="715" w:type="pct"/>
            <w:noWrap/>
          </w:tcPr>
          <w:p w14:paraId="753797FF" w14:textId="77777777" w:rsidR="00DB4AE3" w:rsidRPr="00DB1AEA" w:rsidRDefault="00DB4AE3" w:rsidP="00DB4AE3">
            <w:pPr>
              <w:jc w:val="right"/>
              <w:rPr>
                <w:rFonts w:cs="Calibri"/>
                <w:sz w:val="18"/>
                <w:szCs w:val="18"/>
                <w:lang w:val="sk-SK"/>
              </w:rPr>
            </w:pPr>
            <w:r w:rsidRPr="00DB1AEA">
              <w:rPr>
                <w:rFonts w:cs="Calibri"/>
                <w:sz w:val="18"/>
                <w:szCs w:val="18"/>
                <w:lang w:val="sk-SK"/>
              </w:rPr>
              <w:t>10 868 624</w:t>
            </w:r>
          </w:p>
        </w:tc>
        <w:tc>
          <w:tcPr>
            <w:tcW w:w="794" w:type="pct"/>
            <w:noWrap/>
          </w:tcPr>
          <w:p w14:paraId="70CEFF8E" w14:textId="77777777" w:rsidR="00DB4AE3" w:rsidRPr="00DB1AEA" w:rsidRDefault="00DB4AE3" w:rsidP="00DB4AE3">
            <w:pPr>
              <w:jc w:val="right"/>
              <w:rPr>
                <w:rFonts w:cs="Segoe UI"/>
                <w:sz w:val="18"/>
                <w:szCs w:val="18"/>
                <w:lang w:val="sk-SK"/>
              </w:rPr>
            </w:pPr>
            <w:r w:rsidRPr="00DB1AEA">
              <w:rPr>
                <w:rFonts w:cs="Segoe UI"/>
                <w:sz w:val="18"/>
                <w:szCs w:val="18"/>
                <w:lang w:val="sk-SK"/>
              </w:rPr>
              <w:t>1 928</w:t>
            </w:r>
          </w:p>
        </w:tc>
        <w:tc>
          <w:tcPr>
            <w:tcW w:w="715" w:type="pct"/>
            <w:noWrap/>
          </w:tcPr>
          <w:p w14:paraId="502ED668" w14:textId="77777777" w:rsidR="00DB4AE3" w:rsidRPr="00DB1AEA" w:rsidRDefault="00DB4AE3" w:rsidP="00DB4AE3">
            <w:pPr>
              <w:jc w:val="right"/>
              <w:rPr>
                <w:rFonts w:cs="Calibri"/>
                <w:sz w:val="18"/>
                <w:szCs w:val="18"/>
                <w:lang w:val="sk-SK"/>
              </w:rPr>
            </w:pPr>
            <w:r w:rsidRPr="00DB1AEA">
              <w:rPr>
                <w:rFonts w:cs="Calibri"/>
                <w:sz w:val="18"/>
                <w:szCs w:val="18"/>
                <w:lang w:val="sk-SK"/>
              </w:rPr>
              <w:t>14 341 345</w:t>
            </w:r>
          </w:p>
        </w:tc>
      </w:tr>
      <w:tr w:rsidR="00DB1AEA" w:rsidRPr="00DB1AEA" w14:paraId="61AACB0B" w14:textId="77777777" w:rsidTr="00DB1AEA">
        <w:trPr>
          <w:cnfStyle w:val="000000100000" w:firstRow="0" w:lastRow="0" w:firstColumn="0" w:lastColumn="0" w:oddVBand="0" w:evenVBand="0" w:oddHBand="1" w:evenHBand="0" w:firstRowFirstColumn="0" w:firstRowLastColumn="0" w:lastRowFirstColumn="0" w:lastRowLastColumn="0"/>
          <w:trHeight w:val="349"/>
        </w:trPr>
        <w:tc>
          <w:tcPr>
            <w:tcW w:w="2013" w:type="pct"/>
            <w:noWrap/>
          </w:tcPr>
          <w:p w14:paraId="61EA6515" w14:textId="77777777" w:rsidR="00DB4AE3" w:rsidRPr="00DB1AEA" w:rsidRDefault="00DB4AE3" w:rsidP="00DB4AE3">
            <w:pPr>
              <w:jc w:val="left"/>
              <w:rPr>
                <w:rFonts w:cs="Calibri"/>
                <w:sz w:val="18"/>
                <w:szCs w:val="18"/>
                <w:lang w:val="sk-SK"/>
              </w:rPr>
            </w:pPr>
            <w:r w:rsidRPr="00DB1AEA">
              <w:rPr>
                <w:rFonts w:cs="Calibri"/>
                <w:sz w:val="18"/>
                <w:szCs w:val="18"/>
                <w:lang w:val="sk-SK"/>
              </w:rPr>
              <w:t>§ 60  Príspevok na úhradu prevádzkových nákladov CHD/CHP a na dopravu zamestnancov</w:t>
            </w:r>
          </w:p>
        </w:tc>
        <w:tc>
          <w:tcPr>
            <w:tcW w:w="763" w:type="pct"/>
            <w:noWrap/>
          </w:tcPr>
          <w:p w14:paraId="7834D448" w14:textId="77777777" w:rsidR="00DB4AE3" w:rsidRPr="00DB1AEA" w:rsidRDefault="00DB4AE3" w:rsidP="00DB4AE3">
            <w:pPr>
              <w:jc w:val="right"/>
              <w:rPr>
                <w:rFonts w:cs="Calibri"/>
                <w:sz w:val="18"/>
                <w:szCs w:val="18"/>
                <w:lang w:val="sk-SK"/>
              </w:rPr>
            </w:pPr>
            <w:r w:rsidRPr="00DB1AEA">
              <w:rPr>
                <w:rFonts w:cs="Calibri"/>
                <w:sz w:val="18"/>
                <w:szCs w:val="18"/>
                <w:lang w:val="sk-SK"/>
              </w:rPr>
              <w:t>8 034</w:t>
            </w:r>
          </w:p>
        </w:tc>
        <w:tc>
          <w:tcPr>
            <w:tcW w:w="715" w:type="pct"/>
            <w:noWrap/>
          </w:tcPr>
          <w:p w14:paraId="1DC0BF73" w14:textId="77777777" w:rsidR="00DB4AE3" w:rsidRPr="00DB1AEA" w:rsidRDefault="00DB4AE3" w:rsidP="00DB4AE3">
            <w:pPr>
              <w:jc w:val="right"/>
              <w:rPr>
                <w:rFonts w:cs="Calibri"/>
                <w:sz w:val="18"/>
                <w:szCs w:val="18"/>
                <w:lang w:val="sk-SK"/>
              </w:rPr>
            </w:pPr>
            <w:r w:rsidRPr="00DB1AEA">
              <w:rPr>
                <w:rFonts w:cs="Calibri"/>
                <w:sz w:val="18"/>
                <w:szCs w:val="18"/>
                <w:lang w:val="sk-SK"/>
              </w:rPr>
              <w:t>34 675 801</w:t>
            </w:r>
          </w:p>
        </w:tc>
        <w:tc>
          <w:tcPr>
            <w:tcW w:w="794" w:type="pct"/>
            <w:noWrap/>
          </w:tcPr>
          <w:p w14:paraId="067D6AD5" w14:textId="77777777" w:rsidR="00DB4AE3" w:rsidRPr="00DB1AEA" w:rsidRDefault="00DB4AE3" w:rsidP="00DB4AE3">
            <w:pPr>
              <w:jc w:val="right"/>
              <w:rPr>
                <w:rFonts w:cs="Segoe UI"/>
                <w:sz w:val="18"/>
                <w:szCs w:val="18"/>
                <w:lang w:val="sk-SK"/>
              </w:rPr>
            </w:pPr>
            <w:r w:rsidRPr="00DB1AEA">
              <w:rPr>
                <w:rFonts w:cs="Segoe UI"/>
                <w:sz w:val="18"/>
                <w:szCs w:val="18"/>
                <w:lang w:val="sk-SK"/>
              </w:rPr>
              <w:t>7 258</w:t>
            </w:r>
          </w:p>
        </w:tc>
        <w:tc>
          <w:tcPr>
            <w:tcW w:w="715" w:type="pct"/>
            <w:noWrap/>
          </w:tcPr>
          <w:p w14:paraId="14782EDF" w14:textId="77777777" w:rsidR="00DB4AE3" w:rsidRPr="00DB1AEA" w:rsidRDefault="00DB4AE3" w:rsidP="00DB4AE3">
            <w:pPr>
              <w:jc w:val="right"/>
              <w:rPr>
                <w:rFonts w:cs="Calibri"/>
                <w:sz w:val="18"/>
                <w:szCs w:val="18"/>
                <w:lang w:val="sk-SK"/>
              </w:rPr>
            </w:pPr>
            <w:r w:rsidRPr="00DB1AEA">
              <w:rPr>
                <w:rFonts w:cs="Calibri"/>
                <w:sz w:val="18"/>
                <w:szCs w:val="18"/>
                <w:lang w:val="sk-SK"/>
              </w:rPr>
              <w:t>37 007 695</w:t>
            </w:r>
          </w:p>
        </w:tc>
      </w:tr>
      <w:tr w:rsidR="00DB1AEA" w:rsidRPr="00DB1AEA" w14:paraId="722E1531" w14:textId="77777777" w:rsidTr="00DB1AEA">
        <w:tblPrEx>
          <w:tblLook w:val="04A0" w:firstRow="1" w:lastRow="0" w:firstColumn="1" w:lastColumn="0" w:noHBand="0" w:noVBand="1"/>
        </w:tblPrEx>
        <w:trPr>
          <w:trHeight w:val="349"/>
        </w:trPr>
        <w:tc>
          <w:tcPr>
            <w:tcW w:w="2013" w:type="pct"/>
            <w:hideMark/>
          </w:tcPr>
          <w:p w14:paraId="703C6160" w14:textId="77777777" w:rsidR="00DB4AE3" w:rsidRPr="00DB1AEA" w:rsidRDefault="00DB4AE3" w:rsidP="00DB4AE3">
            <w:pPr>
              <w:rPr>
                <w:rFonts w:cs="Calibri"/>
                <w:b/>
                <w:bCs/>
                <w:sz w:val="18"/>
                <w:szCs w:val="18"/>
                <w:lang w:val="sk-SK"/>
              </w:rPr>
            </w:pPr>
            <w:r w:rsidRPr="00DB1AEA">
              <w:rPr>
                <w:rFonts w:cstheme="minorHAnsi"/>
                <w:b/>
                <w:sz w:val="18"/>
                <w:szCs w:val="18"/>
                <w:lang w:val="sk-SK"/>
              </w:rPr>
              <w:t>SPOLU</w:t>
            </w:r>
          </w:p>
        </w:tc>
        <w:tc>
          <w:tcPr>
            <w:tcW w:w="763" w:type="pct"/>
            <w:hideMark/>
          </w:tcPr>
          <w:p w14:paraId="57708DCB" w14:textId="77777777" w:rsidR="00DB4AE3" w:rsidRPr="00DB1AEA" w:rsidRDefault="00DB4AE3" w:rsidP="00DB4AE3">
            <w:pPr>
              <w:jc w:val="right"/>
              <w:rPr>
                <w:rFonts w:cs="Calibri"/>
                <w:b/>
                <w:bCs/>
                <w:sz w:val="18"/>
                <w:szCs w:val="18"/>
                <w:lang w:val="sk-SK"/>
              </w:rPr>
            </w:pPr>
            <w:r w:rsidRPr="00DB1AEA">
              <w:rPr>
                <w:rFonts w:cs="Calibri"/>
                <w:b/>
                <w:bCs/>
                <w:sz w:val="18"/>
                <w:szCs w:val="18"/>
                <w:lang w:val="sk-SK"/>
              </w:rPr>
              <w:t>211 455</w:t>
            </w:r>
          </w:p>
        </w:tc>
        <w:tc>
          <w:tcPr>
            <w:tcW w:w="715" w:type="pct"/>
            <w:hideMark/>
          </w:tcPr>
          <w:p w14:paraId="13FC9092" w14:textId="77777777" w:rsidR="00DB4AE3" w:rsidRPr="00DB1AEA" w:rsidRDefault="00DB4AE3" w:rsidP="00DB4AE3">
            <w:pPr>
              <w:jc w:val="right"/>
              <w:rPr>
                <w:rFonts w:cs="Calibri"/>
                <w:b/>
                <w:bCs/>
                <w:sz w:val="18"/>
                <w:szCs w:val="18"/>
                <w:lang w:val="sk-SK"/>
              </w:rPr>
            </w:pPr>
            <w:r w:rsidRPr="00DB1AEA">
              <w:rPr>
                <w:rFonts w:cs="Calibri"/>
                <w:b/>
                <w:bCs/>
                <w:sz w:val="18"/>
                <w:szCs w:val="18"/>
                <w:lang w:val="sk-SK"/>
              </w:rPr>
              <w:t>188 473 799</w:t>
            </w:r>
          </w:p>
        </w:tc>
        <w:tc>
          <w:tcPr>
            <w:tcW w:w="794" w:type="pct"/>
            <w:hideMark/>
          </w:tcPr>
          <w:p w14:paraId="5B42F320" w14:textId="77777777" w:rsidR="00DB4AE3" w:rsidRPr="00DB1AEA" w:rsidRDefault="00DB4AE3" w:rsidP="00DB4AE3">
            <w:pPr>
              <w:jc w:val="right"/>
              <w:rPr>
                <w:rFonts w:cs="Segoe UI"/>
                <w:b/>
                <w:bCs/>
                <w:sz w:val="18"/>
                <w:szCs w:val="18"/>
                <w:lang w:val="sk-SK"/>
              </w:rPr>
            </w:pPr>
            <w:r w:rsidRPr="00DB1AEA">
              <w:rPr>
                <w:rFonts w:cs="Segoe UI"/>
                <w:b/>
                <w:bCs/>
                <w:sz w:val="18"/>
                <w:szCs w:val="18"/>
                <w:lang w:val="sk-SK"/>
              </w:rPr>
              <w:t>287 723</w:t>
            </w:r>
          </w:p>
        </w:tc>
        <w:tc>
          <w:tcPr>
            <w:tcW w:w="715" w:type="pct"/>
            <w:hideMark/>
          </w:tcPr>
          <w:p w14:paraId="3275F468" w14:textId="77777777" w:rsidR="00DB4AE3" w:rsidRPr="00DB1AEA" w:rsidRDefault="00DB4AE3" w:rsidP="00DB4AE3">
            <w:pPr>
              <w:jc w:val="right"/>
              <w:rPr>
                <w:rFonts w:cs="Segoe UI"/>
                <w:b/>
                <w:bCs/>
                <w:sz w:val="18"/>
                <w:szCs w:val="18"/>
                <w:lang w:val="sk-SK"/>
              </w:rPr>
            </w:pPr>
            <w:r w:rsidRPr="00DB1AEA">
              <w:rPr>
                <w:rFonts w:cs="Segoe UI"/>
                <w:b/>
                <w:bCs/>
                <w:sz w:val="18"/>
                <w:szCs w:val="18"/>
                <w:lang w:val="sk-SK"/>
              </w:rPr>
              <w:t>172 198 082</w:t>
            </w:r>
          </w:p>
        </w:tc>
      </w:tr>
    </w:tbl>
    <w:bookmarkEnd w:id="30"/>
    <w:bookmarkEnd w:id="31"/>
    <w:bookmarkEnd w:id="32"/>
    <w:p w14:paraId="18993008" w14:textId="00580D7A" w:rsidR="00D218F0" w:rsidRPr="00C35CA8" w:rsidRDefault="00D218F0" w:rsidP="0018489F">
      <w:pPr>
        <w:pStyle w:val="zdroj"/>
        <w:spacing w:after="0"/>
        <w:ind w:firstLine="0"/>
        <w:jc w:val="right"/>
        <w:rPr>
          <w:color w:val="auto"/>
          <w:lang w:val="sk-SK"/>
        </w:rPr>
      </w:pPr>
      <w:r w:rsidRPr="00C35CA8">
        <w:rPr>
          <w:color w:val="auto"/>
          <w:lang w:val="sk-SK"/>
        </w:rPr>
        <w:t>Zdroj: MPSVR SR/Ú</w:t>
      </w:r>
      <w:r w:rsidR="007A5213">
        <w:rPr>
          <w:color w:val="auto"/>
          <w:lang w:val="sk-SK"/>
        </w:rPr>
        <w:t xml:space="preserve">stredie </w:t>
      </w:r>
      <w:r w:rsidRPr="00C35CA8">
        <w:rPr>
          <w:color w:val="auto"/>
          <w:lang w:val="sk-SK"/>
        </w:rPr>
        <w:t>PSVR</w:t>
      </w:r>
    </w:p>
    <w:p w14:paraId="124BDE0B" w14:textId="77777777" w:rsidR="007079C2" w:rsidRDefault="007079C2" w:rsidP="00DB4AE3">
      <w:pPr>
        <w:spacing w:after="0"/>
        <w:ind w:firstLine="0"/>
        <w:rPr>
          <w:i/>
          <w:sz w:val="20"/>
          <w:szCs w:val="20"/>
          <w:lang w:eastAsia="en-US"/>
        </w:rPr>
      </w:pPr>
      <w:r>
        <w:rPr>
          <w:i/>
          <w:sz w:val="20"/>
          <w:szCs w:val="20"/>
          <w:lang w:eastAsia="en-US"/>
        </w:rPr>
        <w:t>Poznámka:</w:t>
      </w:r>
    </w:p>
    <w:p w14:paraId="35680730" w14:textId="63E99026" w:rsidR="00DB4AE3" w:rsidRPr="00DB4AE3" w:rsidRDefault="00DB4AE3" w:rsidP="00DB4AE3">
      <w:pPr>
        <w:spacing w:after="0"/>
        <w:ind w:firstLine="0"/>
        <w:rPr>
          <w:i/>
          <w:sz w:val="20"/>
          <w:szCs w:val="20"/>
          <w:lang w:eastAsia="en-US"/>
        </w:rPr>
      </w:pPr>
      <w:r w:rsidRPr="00DB4AE3">
        <w:rPr>
          <w:i/>
          <w:sz w:val="20"/>
          <w:szCs w:val="20"/>
          <w:lang w:eastAsia="en-US"/>
        </w:rPr>
        <w:t>§ 42 - Informačné a poradenské služby sú súčasťou AOTP, aj keď ich poskytovanie je zabezpečované vlastnými zamestnancami úradov, bez    nárokov   na finančné prostriedky z rozpočtu na AOTP; uvedený je počet klientov, ktorým boli poskytnuté informačné a poradenské služby, vrátane 25 513 žiakov, ktorým bolo poskytnuté preventívne poradenstvo pri voľbe povolania (§ 42 ods. 2 písm. a).</w:t>
      </w:r>
    </w:p>
    <w:p w14:paraId="322D6B10" w14:textId="04AC0F45" w:rsidR="00DB4AE3" w:rsidRDefault="009176C1" w:rsidP="00DB1AEA">
      <w:pPr>
        <w:spacing w:before="120" w:after="120"/>
        <w:ind w:firstLine="0"/>
        <w:rPr>
          <w:b/>
          <w:i/>
          <w:sz w:val="20"/>
          <w:szCs w:val="20"/>
          <w:lang w:eastAsia="en-US"/>
        </w:rPr>
      </w:pPr>
      <w:r>
        <w:rPr>
          <w:b/>
        </w:rPr>
        <w:t>Realizácia programov a projektov podľa § 54 zákona o službách zamestnanosti za rok 2024</w:t>
      </w:r>
    </w:p>
    <w:tbl>
      <w:tblPr>
        <w:tblStyle w:val="tltabsprava3"/>
        <w:tblW w:w="500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20" w:firstRow="1" w:lastRow="0" w:firstColumn="0" w:lastColumn="0" w:noHBand="0" w:noVBand="1"/>
      </w:tblPr>
      <w:tblGrid>
        <w:gridCol w:w="6565"/>
        <w:gridCol w:w="1342"/>
        <w:gridCol w:w="1300"/>
      </w:tblGrid>
      <w:tr w:rsidR="00DB1AEA" w:rsidRPr="00DB1AEA" w14:paraId="42F52E84" w14:textId="77777777" w:rsidTr="00567AD7">
        <w:trPr>
          <w:cnfStyle w:val="100000000000" w:firstRow="1" w:lastRow="0" w:firstColumn="0" w:lastColumn="0" w:oddVBand="0" w:evenVBand="0" w:oddHBand="0" w:evenHBand="0" w:firstRowFirstColumn="0" w:firstRowLastColumn="0" w:lastRowFirstColumn="0" w:lastRowLastColumn="0"/>
          <w:trHeight w:val="257"/>
        </w:trPr>
        <w:tc>
          <w:tcPr>
            <w:tcW w:w="3565" w:type="pct"/>
            <w:vMerge w:val="restart"/>
            <w:shd w:val="clear" w:color="auto" w:fill="auto"/>
          </w:tcPr>
          <w:p w14:paraId="7F171B55" w14:textId="77777777" w:rsidR="009176C1" w:rsidRPr="00DB1AEA" w:rsidRDefault="009176C1" w:rsidP="00B551CC">
            <w:pPr>
              <w:jc w:val="center"/>
              <w:rPr>
                <w:color w:val="auto"/>
                <w:sz w:val="18"/>
                <w:szCs w:val="18"/>
                <w:lang w:val="sk-SK"/>
              </w:rPr>
            </w:pPr>
            <w:r w:rsidRPr="00DB1AEA">
              <w:rPr>
                <w:bCs/>
                <w:color w:val="auto"/>
                <w:sz w:val="18"/>
                <w:szCs w:val="18"/>
                <w:lang w:val="sk-SK"/>
              </w:rPr>
              <w:t>Programy a projekty podľa § 54 zákona o službách zamestnanosti</w:t>
            </w:r>
          </w:p>
        </w:tc>
        <w:tc>
          <w:tcPr>
            <w:tcW w:w="1435" w:type="pct"/>
            <w:gridSpan w:val="2"/>
            <w:shd w:val="clear" w:color="auto" w:fill="auto"/>
            <w:noWrap/>
          </w:tcPr>
          <w:p w14:paraId="34808EDB" w14:textId="77777777" w:rsidR="009176C1" w:rsidRPr="00DB1AEA" w:rsidRDefault="009176C1" w:rsidP="00B551CC">
            <w:pPr>
              <w:ind w:right="153"/>
              <w:jc w:val="center"/>
              <w:rPr>
                <w:color w:val="auto"/>
                <w:sz w:val="18"/>
                <w:szCs w:val="18"/>
                <w:lang w:val="sk-SK"/>
              </w:rPr>
            </w:pPr>
            <w:r w:rsidRPr="00DB1AEA">
              <w:rPr>
                <w:bCs/>
                <w:color w:val="auto"/>
                <w:sz w:val="18"/>
                <w:szCs w:val="18"/>
                <w:lang w:val="sk-SK"/>
              </w:rPr>
              <w:t>Rok 2024</w:t>
            </w:r>
          </w:p>
        </w:tc>
      </w:tr>
      <w:tr w:rsidR="00DB1AEA" w:rsidRPr="00DB1AEA" w14:paraId="0B1A8C04" w14:textId="77777777" w:rsidTr="00567AD7">
        <w:trPr>
          <w:cnfStyle w:val="000000100000" w:firstRow="0" w:lastRow="0" w:firstColumn="0" w:lastColumn="0" w:oddVBand="0" w:evenVBand="0" w:oddHBand="1" w:evenHBand="0" w:firstRowFirstColumn="0" w:firstRowLastColumn="0" w:lastRowFirstColumn="0" w:lastRowLastColumn="0"/>
          <w:trHeight w:val="204"/>
        </w:trPr>
        <w:tc>
          <w:tcPr>
            <w:tcW w:w="3565" w:type="pct"/>
            <w:vMerge/>
          </w:tcPr>
          <w:p w14:paraId="53065851" w14:textId="77777777" w:rsidR="009176C1" w:rsidRPr="00DB1AEA" w:rsidRDefault="009176C1" w:rsidP="00B551CC">
            <w:pPr>
              <w:rPr>
                <w:b/>
                <w:sz w:val="18"/>
                <w:szCs w:val="18"/>
                <w:lang w:val="sk-SK"/>
              </w:rPr>
            </w:pPr>
          </w:p>
        </w:tc>
        <w:tc>
          <w:tcPr>
            <w:tcW w:w="729" w:type="pct"/>
            <w:noWrap/>
          </w:tcPr>
          <w:p w14:paraId="3576F783" w14:textId="77777777" w:rsidR="009176C1" w:rsidRPr="00DB1AEA" w:rsidRDefault="009176C1" w:rsidP="00B551CC">
            <w:pPr>
              <w:ind w:right="16"/>
              <w:jc w:val="center"/>
              <w:rPr>
                <w:b/>
                <w:sz w:val="18"/>
                <w:szCs w:val="18"/>
                <w:lang w:val="sk-SK"/>
              </w:rPr>
            </w:pPr>
            <w:r w:rsidRPr="00DB1AEA">
              <w:rPr>
                <w:b/>
                <w:bCs/>
                <w:sz w:val="18"/>
                <w:szCs w:val="18"/>
                <w:lang w:val="sk-SK"/>
              </w:rPr>
              <w:t>Počet zaradených UoZ/osôb, resp. počet podporených PM/UoZ/osôb</w:t>
            </w:r>
          </w:p>
        </w:tc>
        <w:tc>
          <w:tcPr>
            <w:tcW w:w="706" w:type="pct"/>
            <w:noWrap/>
          </w:tcPr>
          <w:p w14:paraId="30023F7F" w14:textId="77777777" w:rsidR="009176C1" w:rsidRPr="00DB1AEA" w:rsidRDefault="009176C1" w:rsidP="00B551CC">
            <w:pPr>
              <w:ind w:right="16"/>
              <w:jc w:val="center"/>
              <w:rPr>
                <w:b/>
                <w:bCs/>
                <w:sz w:val="18"/>
                <w:szCs w:val="18"/>
                <w:lang w:val="sk-SK"/>
              </w:rPr>
            </w:pPr>
            <w:r w:rsidRPr="00DB1AEA">
              <w:rPr>
                <w:b/>
                <w:bCs/>
                <w:sz w:val="18"/>
                <w:szCs w:val="18"/>
                <w:lang w:val="sk-SK"/>
              </w:rPr>
              <w:t xml:space="preserve">Čerpanie finančných prostriedkov </w:t>
            </w:r>
          </w:p>
          <w:p w14:paraId="614ABBFC" w14:textId="32982B71" w:rsidR="009176C1" w:rsidRPr="00DB1AEA" w:rsidRDefault="009176C1" w:rsidP="00B551CC">
            <w:pPr>
              <w:ind w:right="16"/>
              <w:jc w:val="center"/>
              <w:rPr>
                <w:sz w:val="18"/>
                <w:szCs w:val="18"/>
                <w:lang w:val="sk-SK"/>
              </w:rPr>
            </w:pPr>
            <w:r w:rsidRPr="00DB1AEA">
              <w:rPr>
                <w:bCs/>
                <w:sz w:val="18"/>
                <w:szCs w:val="18"/>
                <w:lang w:val="sk-SK"/>
              </w:rPr>
              <w:t xml:space="preserve">(v </w:t>
            </w:r>
            <w:r w:rsidR="00790522" w:rsidRPr="00DB1AEA">
              <w:rPr>
                <w:bCs/>
                <w:sz w:val="18"/>
                <w:szCs w:val="18"/>
                <w:lang w:val="sk-SK"/>
              </w:rPr>
              <w:t>eur</w:t>
            </w:r>
            <w:r w:rsidRPr="00DB1AEA">
              <w:rPr>
                <w:bCs/>
                <w:sz w:val="18"/>
                <w:szCs w:val="18"/>
                <w:lang w:val="sk-SK"/>
              </w:rPr>
              <w:t>)</w:t>
            </w:r>
          </w:p>
        </w:tc>
      </w:tr>
      <w:tr w:rsidR="00DB1AEA" w:rsidRPr="00DB1AEA" w14:paraId="44388BAD" w14:textId="77777777" w:rsidTr="00567AD7">
        <w:trPr>
          <w:trHeight w:val="281"/>
        </w:trPr>
        <w:tc>
          <w:tcPr>
            <w:tcW w:w="3565" w:type="pct"/>
          </w:tcPr>
          <w:p w14:paraId="147A2449" w14:textId="77777777" w:rsidR="009176C1" w:rsidRPr="00DB1AEA" w:rsidRDefault="009176C1" w:rsidP="00B551CC">
            <w:pPr>
              <w:rPr>
                <w:rFonts w:cstheme="minorHAnsi"/>
                <w:sz w:val="18"/>
                <w:szCs w:val="18"/>
                <w:lang w:val="sk-SK"/>
              </w:rPr>
            </w:pPr>
            <w:r w:rsidRPr="00DB1AEA">
              <w:rPr>
                <w:rFonts w:cstheme="minorHAnsi"/>
                <w:sz w:val="18"/>
                <w:szCs w:val="18"/>
                <w:lang w:val="sk-SK"/>
              </w:rPr>
              <w:t>§ 54 NP Ľudia a hrady</w:t>
            </w:r>
          </w:p>
        </w:tc>
        <w:tc>
          <w:tcPr>
            <w:tcW w:w="729" w:type="pct"/>
            <w:noWrap/>
          </w:tcPr>
          <w:p w14:paraId="2CCECC27"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550</w:t>
            </w:r>
          </w:p>
        </w:tc>
        <w:tc>
          <w:tcPr>
            <w:tcW w:w="706" w:type="pct"/>
            <w:noWrap/>
          </w:tcPr>
          <w:p w14:paraId="147AC086"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5 130 673</w:t>
            </w:r>
          </w:p>
        </w:tc>
      </w:tr>
      <w:tr w:rsidR="00DB1AEA" w:rsidRPr="00DB1AEA" w14:paraId="21CB19B3"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48535220" w14:textId="77777777" w:rsidR="009176C1" w:rsidRPr="00DB1AEA" w:rsidRDefault="009176C1" w:rsidP="00B551CC">
            <w:pPr>
              <w:rPr>
                <w:rFonts w:cstheme="minorHAnsi"/>
                <w:sz w:val="18"/>
                <w:szCs w:val="18"/>
                <w:lang w:val="sk-SK"/>
              </w:rPr>
            </w:pPr>
            <w:r w:rsidRPr="00DB1AEA">
              <w:rPr>
                <w:rFonts w:cstheme="minorHAnsi"/>
                <w:sz w:val="18"/>
                <w:szCs w:val="18"/>
                <w:lang w:val="sk-SK"/>
              </w:rPr>
              <w:t>§ 54 NP POS aktivita 3</w:t>
            </w:r>
          </w:p>
        </w:tc>
        <w:tc>
          <w:tcPr>
            <w:tcW w:w="729" w:type="pct"/>
            <w:noWrap/>
          </w:tcPr>
          <w:p w14:paraId="3F826D24"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836</w:t>
            </w:r>
          </w:p>
        </w:tc>
        <w:tc>
          <w:tcPr>
            <w:tcW w:w="706" w:type="pct"/>
            <w:noWrap/>
          </w:tcPr>
          <w:p w14:paraId="09A1DDEA"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577 168</w:t>
            </w:r>
          </w:p>
        </w:tc>
      </w:tr>
      <w:tr w:rsidR="00DB1AEA" w:rsidRPr="00DB1AEA" w14:paraId="2F705628" w14:textId="77777777" w:rsidTr="00567AD7">
        <w:trPr>
          <w:trHeight w:val="281"/>
        </w:trPr>
        <w:tc>
          <w:tcPr>
            <w:tcW w:w="3565" w:type="pct"/>
            <w:noWrap/>
          </w:tcPr>
          <w:p w14:paraId="07A5AAA4"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Mentorované zapracovanie</w:t>
            </w:r>
          </w:p>
        </w:tc>
        <w:tc>
          <w:tcPr>
            <w:tcW w:w="729" w:type="pct"/>
            <w:noWrap/>
          </w:tcPr>
          <w:p w14:paraId="79901B68"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479</w:t>
            </w:r>
          </w:p>
        </w:tc>
        <w:tc>
          <w:tcPr>
            <w:tcW w:w="706" w:type="pct"/>
            <w:noWrap/>
          </w:tcPr>
          <w:p w14:paraId="28787013"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161 772</w:t>
            </w:r>
          </w:p>
        </w:tc>
      </w:tr>
      <w:tr w:rsidR="00DB1AEA" w:rsidRPr="00DB1AEA" w14:paraId="400207D3"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03A5FA6D" w14:textId="77777777" w:rsidR="009176C1" w:rsidRPr="00DB1AEA" w:rsidRDefault="009176C1" w:rsidP="00B551CC">
            <w:pPr>
              <w:rPr>
                <w:rFonts w:cstheme="minorHAnsi"/>
                <w:sz w:val="18"/>
                <w:szCs w:val="18"/>
                <w:lang w:val="sk-SK"/>
              </w:rPr>
            </w:pPr>
            <w:r w:rsidRPr="00DB1AEA">
              <w:rPr>
                <w:rFonts w:cstheme="minorHAnsi"/>
                <w:sz w:val="18"/>
                <w:szCs w:val="18"/>
                <w:lang w:val="sk-SK"/>
              </w:rPr>
              <w:t>§ 54 NP Poradenstvom k zamestnaniu</w:t>
            </w:r>
          </w:p>
        </w:tc>
        <w:tc>
          <w:tcPr>
            <w:tcW w:w="729" w:type="pct"/>
            <w:noWrap/>
          </w:tcPr>
          <w:p w14:paraId="1184DC6D"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12 650</w:t>
            </w:r>
          </w:p>
        </w:tc>
        <w:tc>
          <w:tcPr>
            <w:tcW w:w="706" w:type="pct"/>
            <w:noWrap/>
          </w:tcPr>
          <w:p w14:paraId="3108F73F"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444 619</w:t>
            </w:r>
          </w:p>
        </w:tc>
      </w:tr>
      <w:tr w:rsidR="00DB1AEA" w:rsidRPr="00DB1AEA" w14:paraId="70205FE1" w14:textId="77777777" w:rsidTr="00567AD7">
        <w:trPr>
          <w:trHeight w:val="281"/>
        </w:trPr>
        <w:tc>
          <w:tcPr>
            <w:tcW w:w="3565" w:type="pct"/>
            <w:noWrap/>
          </w:tcPr>
          <w:p w14:paraId="28F2FE9F"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Odmena za umiestnenie na otvorenom trhu práce</w:t>
            </w:r>
          </w:p>
        </w:tc>
        <w:tc>
          <w:tcPr>
            <w:tcW w:w="729" w:type="pct"/>
            <w:noWrap/>
          </w:tcPr>
          <w:p w14:paraId="0D1EF2DB"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0</w:t>
            </w:r>
          </w:p>
        </w:tc>
        <w:tc>
          <w:tcPr>
            <w:tcW w:w="706" w:type="pct"/>
            <w:noWrap/>
          </w:tcPr>
          <w:p w14:paraId="77576DE8"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0</w:t>
            </w:r>
          </w:p>
        </w:tc>
      </w:tr>
      <w:tr w:rsidR="00DB1AEA" w:rsidRPr="00DB1AEA" w14:paraId="038B2AD6"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250B2BA8"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Motivačný príspevok</w:t>
            </w:r>
          </w:p>
        </w:tc>
        <w:tc>
          <w:tcPr>
            <w:tcW w:w="729" w:type="pct"/>
            <w:noWrap/>
          </w:tcPr>
          <w:p w14:paraId="38969BAE"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1 259</w:t>
            </w:r>
          </w:p>
        </w:tc>
        <w:tc>
          <w:tcPr>
            <w:tcW w:w="706" w:type="pct"/>
            <w:noWrap/>
          </w:tcPr>
          <w:p w14:paraId="04DF3F47"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587 417</w:t>
            </w:r>
          </w:p>
        </w:tc>
      </w:tr>
      <w:tr w:rsidR="00DB1AEA" w:rsidRPr="00DB1AEA" w14:paraId="1723562B" w14:textId="77777777" w:rsidTr="00567AD7">
        <w:trPr>
          <w:trHeight w:val="281"/>
        </w:trPr>
        <w:tc>
          <w:tcPr>
            <w:tcW w:w="3565" w:type="pct"/>
            <w:noWrap/>
          </w:tcPr>
          <w:p w14:paraId="0CF71562"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Práca na skúšku</w:t>
            </w:r>
          </w:p>
        </w:tc>
        <w:tc>
          <w:tcPr>
            <w:tcW w:w="729" w:type="pct"/>
            <w:noWrap/>
          </w:tcPr>
          <w:p w14:paraId="7DFC0892"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711</w:t>
            </w:r>
          </w:p>
        </w:tc>
        <w:tc>
          <w:tcPr>
            <w:tcW w:w="706" w:type="pct"/>
            <w:noWrap/>
          </w:tcPr>
          <w:p w14:paraId="48E1BD2D"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777 005</w:t>
            </w:r>
          </w:p>
        </w:tc>
      </w:tr>
      <w:tr w:rsidR="00DB1AEA" w:rsidRPr="00DB1AEA" w14:paraId="31426635"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41AD7BE6"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Udržanie OZP na otvorenom trhu práce</w:t>
            </w:r>
          </w:p>
        </w:tc>
        <w:tc>
          <w:tcPr>
            <w:tcW w:w="729" w:type="pct"/>
            <w:noWrap/>
          </w:tcPr>
          <w:p w14:paraId="3776FCF3"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w:t>
            </w:r>
          </w:p>
        </w:tc>
        <w:tc>
          <w:tcPr>
            <w:tcW w:w="706" w:type="pct"/>
            <w:noWrap/>
          </w:tcPr>
          <w:p w14:paraId="6AD2BA4F"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0</w:t>
            </w:r>
          </w:p>
        </w:tc>
      </w:tr>
      <w:tr w:rsidR="00DB1AEA" w:rsidRPr="00DB1AEA" w14:paraId="5CCEEB35" w14:textId="77777777" w:rsidTr="00567AD7">
        <w:trPr>
          <w:trHeight w:val="281"/>
        </w:trPr>
        <w:tc>
          <w:tcPr>
            <w:tcW w:w="3565" w:type="pct"/>
            <w:noWrap/>
          </w:tcPr>
          <w:p w14:paraId="5B57BC52"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Príspevok na SZČ</w:t>
            </w:r>
          </w:p>
        </w:tc>
        <w:tc>
          <w:tcPr>
            <w:tcW w:w="729" w:type="pct"/>
            <w:noWrap/>
          </w:tcPr>
          <w:p w14:paraId="4FE0710D"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1 885</w:t>
            </w:r>
          </w:p>
        </w:tc>
        <w:tc>
          <w:tcPr>
            <w:tcW w:w="706" w:type="pct"/>
            <w:noWrap/>
          </w:tcPr>
          <w:p w14:paraId="705DE2B3"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14 096 114</w:t>
            </w:r>
          </w:p>
        </w:tc>
      </w:tr>
      <w:tr w:rsidR="00DB1AEA" w:rsidRPr="00DB1AEA" w14:paraId="40A001FA"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0922259A"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Prax pre mladých</w:t>
            </w:r>
          </w:p>
        </w:tc>
        <w:tc>
          <w:tcPr>
            <w:tcW w:w="729" w:type="pct"/>
            <w:noWrap/>
          </w:tcPr>
          <w:p w14:paraId="7E093426"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747</w:t>
            </w:r>
          </w:p>
        </w:tc>
        <w:tc>
          <w:tcPr>
            <w:tcW w:w="706" w:type="pct"/>
            <w:noWrap/>
          </w:tcPr>
          <w:p w14:paraId="42228047"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465 110</w:t>
            </w:r>
          </w:p>
        </w:tc>
      </w:tr>
      <w:tr w:rsidR="00DB1AEA" w:rsidRPr="00DB1AEA" w14:paraId="77AF595B" w14:textId="77777777" w:rsidTr="00567AD7">
        <w:trPr>
          <w:trHeight w:val="281"/>
        </w:trPr>
        <w:tc>
          <w:tcPr>
            <w:tcW w:w="3565" w:type="pct"/>
            <w:noWrap/>
          </w:tcPr>
          <w:p w14:paraId="5578BA06" w14:textId="77777777" w:rsidR="009176C1" w:rsidRPr="00DB1AEA" w:rsidRDefault="009176C1" w:rsidP="00B551CC">
            <w:pPr>
              <w:rPr>
                <w:rFonts w:cstheme="minorHAnsi"/>
                <w:sz w:val="18"/>
                <w:szCs w:val="18"/>
                <w:lang w:val="sk-SK"/>
              </w:rPr>
            </w:pPr>
            <w:r w:rsidRPr="00DB1AEA">
              <w:rPr>
                <w:rFonts w:cstheme="minorHAnsi"/>
                <w:sz w:val="18"/>
                <w:szCs w:val="18"/>
                <w:lang w:val="sk-SK"/>
              </w:rPr>
              <w:t>§ 54 NP Finančné stimuly pre zamestnanosť - Debarierizácia pracovísk u zamestnávateľa</w:t>
            </w:r>
          </w:p>
        </w:tc>
        <w:tc>
          <w:tcPr>
            <w:tcW w:w="729" w:type="pct"/>
            <w:noWrap/>
          </w:tcPr>
          <w:p w14:paraId="138548BB"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0</w:t>
            </w:r>
          </w:p>
        </w:tc>
        <w:tc>
          <w:tcPr>
            <w:tcW w:w="706" w:type="pct"/>
            <w:noWrap/>
          </w:tcPr>
          <w:p w14:paraId="7B43EB85"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0</w:t>
            </w:r>
          </w:p>
        </w:tc>
      </w:tr>
      <w:tr w:rsidR="00DB1AEA" w:rsidRPr="00DB1AEA" w14:paraId="529AC1AC"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1D03E4A2" w14:textId="77777777" w:rsidR="009176C1" w:rsidRPr="00DB1AEA" w:rsidRDefault="009176C1" w:rsidP="00B551CC">
            <w:pPr>
              <w:rPr>
                <w:rFonts w:cstheme="minorHAnsi"/>
                <w:sz w:val="18"/>
                <w:szCs w:val="18"/>
                <w:lang w:val="sk-SK"/>
              </w:rPr>
            </w:pPr>
            <w:r w:rsidRPr="00DB1AEA">
              <w:rPr>
                <w:rFonts w:cstheme="minorHAnsi"/>
                <w:sz w:val="18"/>
                <w:szCs w:val="18"/>
                <w:lang w:val="sk-SK"/>
              </w:rPr>
              <w:t>§ 54 NP Zručnosti pre trh práce - Podpora rekvalifikácie UoZ</w:t>
            </w:r>
          </w:p>
        </w:tc>
        <w:tc>
          <w:tcPr>
            <w:tcW w:w="729" w:type="pct"/>
            <w:noWrap/>
          </w:tcPr>
          <w:p w14:paraId="3966D5F9"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4 405</w:t>
            </w:r>
          </w:p>
        </w:tc>
        <w:tc>
          <w:tcPr>
            <w:tcW w:w="706" w:type="pct"/>
            <w:noWrap/>
          </w:tcPr>
          <w:p w14:paraId="392B70FF"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2 657 296</w:t>
            </w:r>
          </w:p>
        </w:tc>
      </w:tr>
      <w:tr w:rsidR="00DB1AEA" w:rsidRPr="00DB1AEA" w14:paraId="7A69FE33" w14:textId="77777777" w:rsidTr="00567AD7">
        <w:trPr>
          <w:trHeight w:val="281"/>
        </w:trPr>
        <w:tc>
          <w:tcPr>
            <w:tcW w:w="3565" w:type="pct"/>
            <w:noWrap/>
          </w:tcPr>
          <w:p w14:paraId="1604D7ED" w14:textId="77777777" w:rsidR="009176C1" w:rsidRPr="00DB1AEA" w:rsidRDefault="009176C1" w:rsidP="00B551CC">
            <w:pPr>
              <w:rPr>
                <w:rFonts w:cstheme="minorHAnsi"/>
                <w:sz w:val="18"/>
                <w:szCs w:val="18"/>
                <w:lang w:val="sk-SK"/>
              </w:rPr>
            </w:pPr>
            <w:r w:rsidRPr="00DB1AEA">
              <w:rPr>
                <w:rFonts w:cstheme="minorHAnsi"/>
                <w:sz w:val="18"/>
                <w:szCs w:val="18"/>
                <w:lang w:val="sk-SK"/>
              </w:rPr>
              <w:t>§ 54 NP Zručnosti pre trh práce - Podpora zručností mladých UoZ - NEET</w:t>
            </w:r>
          </w:p>
        </w:tc>
        <w:tc>
          <w:tcPr>
            <w:tcW w:w="729" w:type="pct"/>
            <w:noWrap/>
          </w:tcPr>
          <w:p w14:paraId="52DC5CEA"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1 499</w:t>
            </w:r>
          </w:p>
        </w:tc>
        <w:tc>
          <w:tcPr>
            <w:tcW w:w="706" w:type="pct"/>
            <w:noWrap/>
          </w:tcPr>
          <w:p w14:paraId="6AE5513A"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988 133</w:t>
            </w:r>
          </w:p>
        </w:tc>
      </w:tr>
      <w:tr w:rsidR="00DB1AEA" w:rsidRPr="00DB1AEA" w14:paraId="1B8FD803"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4F49EC87" w14:textId="77777777" w:rsidR="009176C1" w:rsidRPr="00DB1AEA" w:rsidRDefault="009176C1" w:rsidP="00B551CC">
            <w:pPr>
              <w:rPr>
                <w:rFonts w:cstheme="minorHAnsi"/>
                <w:sz w:val="18"/>
                <w:szCs w:val="18"/>
                <w:lang w:val="sk-SK"/>
              </w:rPr>
            </w:pPr>
            <w:r w:rsidRPr="00DB1AEA">
              <w:rPr>
                <w:rFonts w:cstheme="minorHAnsi"/>
                <w:sz w:val="18"/>
                <w:szCs w:val="18"/>
                <w:lang w:val="sk-SK"/>
              </w:rPr>
              <w:t>§ 54 NP Zručnosti pre trh práce - Podpora vzdelávania ZoZ</w:t>
            </w:r>
          </w:p>
        </w:tc>
        <w:tc>
          <w:tcPr>
            <w:tcW w:w="729" w:type="pct"/>
            <w:noWrap/>
          </w:tcPr>
          <w:p w14:paraId="6203D693"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6 785</w:t>
            </w:r>
          </w:p>
        </w:tc>
        <w:tc>
          <w:tcPr>
            <w:tcW w:w="706" w:type="pct"/>
            <w:noWrap/>
          </w:tcPr>
          <w:p w14:paraId="484BB5F2"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4 183 978</w:t>
            </w:r>
          </w:p>
        </w:tc>
      </w:tr>
      <w:tr w:rsidR="00DB1AEA" w:rsidRPr="00DB1AEA" w14:paraId="7F7FF9EC" w14:textId="77777777" w:rsidTr="00567AD7">
        <w:trPr>
          <w:trHeight w:val="281"/>
        </w:trPr>
        <w:tc>
          <w:tcPr>
            <w:tcW w:w="3565" w:type="pct"/>
            <w:noWrap/>
          </w:tcPr>
          <w:p w14:paraId="785EAF6C" w14:textId="77777777" w:rsidR="009176C1" w:rsidRPr="00DB1AEA" w:rsidRDefault="009176C1" w:rsidP="00B551CC">
            <w:pPr>
              <w:rPr>
                <w:rFonts w:cstheme="minorHAnsi"/>
                <w:sz w:val="18"/>
                <w:szCs w:val="18"/>
                <w:lang w:val="sk-SK"/>
              </w:rPr>
            </w:pPr>
            <w:r w:rsidRPr="00DB1AEA">
              <w:rPr>
                <w:rFonts w:cstheme="minorHAnsi"/>
                <w:sz w:val="18"/>
                <w:szCs w:val="18"/>
                <w:lang w:val="sk-SK"/>
              </w:rPr>
              <w:t>§ 54 Projekt Právo na Prvé zamestnanie</w:t>
            </w:r>
          </w:p>
        </w:tc>
        <w:tc>
          <w:tcPr>
            <w:tcW w:w="729" w:type="pct"/>
            <w:noWrap/>
          </w:tcPr>
          <w:p w14:paraId="637CB53F"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1 830</w:t>
            </w:r>
          </w:p>
        </w:tc>
        <w:tc>
          <w:tcPr>
            <w:tcW w:w="706" w:type="pct"/>
            <w:noWrap/>
          </w:tcPr>
          <w:p w14:paraId="42422B32"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13 289 104</w:t>
            </w:r>
          </w:p>
        </w:tc>
      </w:tr>
      <w:tr w:rsidR="00DB1AEA" w:rsidRPr="00DB1AEA" w14:paraId="1D9876AB"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6BA3CDFD" w14:textId="77777777" w:rsidR="009176C1" w:rsidRPr="00DB1AEA" w:rsidRDefault="009176C1" w:rsidP="00B551CC">
            <w:pPr>
              <w:rPr>
                <w:rFonts w:cstheme="minorHAnsi"/>
                <w:sz w:val="18"/>
                <w:szCs w:val="18"/>
                <w:lang w:val="sk-SK"/>
              </w:rPr>
            </w:pPr>
            <w:r w:rsidRPr="00DB1AEA">
              <w:rPr>
                <w:rFonts w:cstheme="minorHAnsi"/>
                <w:sz w:val="18"/>
                <w:szCs w:val="18"/>
                <w:lang w:val="sk-SK"/>
              </w:rPr>
              <w:t>§ 54 Motivuj sa k zamestnaniu</w:t>
            </w:r>
          </w:p>
        </w:tc>
        <w:tc>
          <w:tcPr>
            <w:tcW w:w="729" w:type="pct"/>
            <w:noWrap/>
          </w:tcPr>
          <w:p w14:paraId="06225B79"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2 074</w:t>
            </w:r>
          </w:p>
        </w:tc>
        <w:tc>
          <w:tcPr>
            <w:tcW w:w="706" w:type="pct"/>
            <w:noWrap/>
          </w:tcPr>
          <w:p w14:paraId="6F1BEE78"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1 043 749</w:t>
            </w:r>
          </w:p>
        </w:tc>
      </w:tr>
      <w:tr w:rsidR="00DB1AEA" w:rsidRPr="00DB1AEA" w14:paraId="0DEEB8FA" w14:textId="77777777" w:rsidTr="00567AD7">
        <w:trPr>
          <w:trHeight w:val="281"/>
        </w:trPr>
        <w:tc>
          <w:tcPr>
            <w:tcW w:w="3565" w:type="pct"/>
            <w:noWrap/>
          </w:tcPr>
          <w:p w14:paraId="7D0D485F" w14:textId="77777777" w:rsidR="009176C1" w:rsidRPr="00DB1AEA" w:rsidRDefault="009176C1" w:rsidP="00B551CC">
            <w:pPr>
              <w:rPr>
                <w:rFonts w:cstheme="minorHAnsi"/>
                <w:sz w:val="18"/>
                <w:szCs w:val="18"/>
                <w:lang w:val="sk-SK"/>
              </w:rPr>
            </w:pPr>
            <w:r w:rsidRPr="00DB1AEA">
              <w:rPr>
                <w:rFonts w:cstheme="minorHAnsi"/>
                <w:sz w:val="18"/>
                <w:szCs w:val="18"/>
                <w:lang w:val="sk-SK"/>
              </w:rPr>
              <w:t>§ 54 Podpora rozvoja zručností zamestnancov</w:t>
            </w:r>
          </w:p>
        </w:tc>
        <w:tc>
          <w:tcPr>
            <w:tcW w:w="729" w:type="pct"/>
            <w:noWrap/>
          </w:tcPr>
          <w:p w14:paraId="019E64F1"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19 493</w:t>
            </w:r>
          </w:p>
        </w:tc>
        <w:tc>
          <w:tcPr>
            <w:tcW w:w="706" w:type="pct"/>
            <w:noWrap/>
          </w:tcPr>
          <w:p w14:paraId="349331EA"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9 426 153</w:t>
            </w:r>
          </w:p>
        </w:tc>
      </w:tr>
      <w:tr w:rsidR="00DB1AEA" w:rsidRPr="00DB1AEA" w14:paraId="697F6B8E"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1A3AFB11" w14:textId="77777777" w:rsidR="009176C1" w:rsidRPr="00DB1AEA" w:rsidRDefault="009176C1" w:rsidP="00B551CC">
            <w:pPr>
              <w:rPr>
                <w:rFonts w:cstheme="minorHAnsi"/>
                <w:sz w:val="18"/>
                <w:szCs w:val="18"/>
                <w:lang w:val="sk-SK"/>
              </w:rPr>
            </w:pPr>
            <w:r w:rsidRPr="00DB1AEA">
              <w:rPr>
                <w:rFonts w:cstheme="minorHAnsi"/>
                <w:sz w:val="18"/>
                <w:szCs w:val="18"/>
                <w:lang w:val="sk-SK"/>
              </w:rPr>
              <w:t>§ 54 Vzdelávanie mladých dospelých</w:t>
            </w:r>
          </w:p>
        </w:tc>
        <w:tc>
          <w:tcPr>
            <w:tcW w:w="729" w:type="pct"/>
            <w:noWrap/>
          </w:tcPr>
          <w:p w14:paraId="63BE8BC2"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136</w:t>
            </w:r>
          </w:p>
        </w:tc>
        <w:tc>
          <w:tcPr>
            <w:tcW w:w="706" w:type="pct"/>
            <w:noWrap/>
          </w:tcPr>
          <w:p w14:paraId="20048C19"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123 695</w:t>
            </w:r>
          </w:p>
        </w:tc>
      </w:tr>
      <w:tr w:rsidR="00DB1AEA" w:rsidRPr="00DB1AEA" w14:paraId="00648E40" w14:textId="77777777" w:rsidTr="00567AD7">
        <w:trPr>
          <w:trHeight w:val="281"/>
        </w:trPr>
        <w:tc>
          <w:tcPr>
            <w:tcW w:w="3565" w:type="pct"/>
            <w:noWrap/>
          </w:tcPr>
          <w:p w14:paraId="584E0392" w14:textId="77777777" w:rsidR="009176C1" w:rsidRPr="00DB1AEA" w:rsidRDefault="009176C1" w:rsidP="00B551CC">
            <w:pPr>
              <w:rPr>
                <w:rFonts w:cstheme="minorHAnsi"/>
                <w:sz w:val="18"/>
                <w:szCs w:val="18"/>
                <w:lang w:val="sk-SK"/>
              </w:rPr>
            </w:pPr>
            <w:r w:rsidRPr="00DB1AEA">
              <w:rPr>
                <w:rFonts w:cstheme="minorHAnsi"/>
                <w:sz w:val="18"/>
                <w:szCs w:val="18"/>
                <w:lang w:val="sk-SK"/>
              </w:rPr>
              <w:t>§ 54 Zapracovanie UoZ</w:t>
            </w:r>
          </w:p>
        </w:tc>
        <w:tc>
          <w:tcPr>
            <w:tcW w:w="729" w:type="pct"/>
            <w:noWrap/>
          </w:tcPr>
          <w:p w14:paraId="43EBE1D7"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52</w:t>
            </w:r>
          </w:p>
        </w:tc>
        <w:tc>
          <w:tcPr>
            <w:tcW w:w="706" w:type="pct"/>
            <w:noWrap/>
          </w:tcPr>
          <w:p w14:paraId="4B43BADD"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52 338</w:t>
            </w:r>
          </w:p>
        </w:tc>
      </w:tr>
      <w:tr w:rsidR="00DB1AEA" w:rsidRPr="00DB1AEA" w14:paraId="28B21F4A"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2CB1D82F" w14:textId="77777777" w:rsidR="009176C1" w:rsidRPr="00DB1AEA" w:rsidRDefault="009176C1" w:rsidP="00B551CC">
            <w:pPr>
              <w:rPr>
                <w:rFonts w:cstheme="minorHAnsi"/>
                <w:sz w:val="18"/>
                <w:szCs w:val="18"/>
                <w:lang w:val="sk-SK"/>
              </w:rPr>
            </w:pPr>
            <w:r w:rsidRPr="00DB1AEA">
              <w:rPr>
                <w:rFonts w:cstheme="minorHAnsi"/>
                <w:sz w:val="18"/>
                <w:szCs w:val="18"/>
                <w:lang w:val="sk-SK"/>
              </w:rPr>
              <w:t>§ 54 PUPN</w:t>
            </w:r>
          </w:p>
        </w:tc>
        <w:tc>
          <w:tcPr>
            <w:tcW w:w="729" w:type="pct"/>
            <w:noWrap/>
          </w:tcPr>
          <w:p w14:paraId="3DBF5FFD"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694</w:t>
            </w:r>
          </w:p>
        </w:tc>
        <w:tc>
          <w:tcPr>
            <w:tcW w:w="706" w:type="pct"/>
            <w:noWrap/>
          </w:tcPr>
          <w:p w14:paraId="71D237C3"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1 126 878</w:t>
            </w:r>
          </w:p>
        </w:tc>
      </w:tr>
      <w:tr w:rsidR="00DB1AEA" w:rsidRPr="00DB1AEA" w14:paraId="7630CFDE" w14:textId="77777777" w:rsidTr="00567AD7">
        <w:trPr>
          <w:trHeight w:val="281"/>
        </w:trPr>
        <w:tc>
          <w:tcPr>
            <w:tcW w:w="3565" w:type="pct"/>
            <w:noWrap/>
          </w:tcPr>
          <w:p w14:paraId="54671FA4" w14:textId="77777777" w:rsidR="009176C1" w:rsidRPr="00DB1AEA" w:rsidRDefault="009176C1" w:rsidP="00B551CC">
            <w:pPr>
              <w:rPr>
                <w:rFonts w:cstheme="minorHAnsi"/>
                <w:sz w:val="18"/>
                <w:szCs w:val="18"/>
                <w:lang w:val="sk-SK"/>
              </w:rPr>
            </w:pPr>
            <w:r w:rsidRPr="00DB1AEA">
              <w:rPr>
                <w:rFonts w:cstheme="minorHAnsi"/>
                <w:sz w:val="18"/>
                <w:szCs w:val="18"/>
                <w:lang w:val="sk-SK"/>
              </w:rPr>
              <w:t>§ 54 PUPN 2</w:t>
            </w:r>
          </w:p>
        </w:tc>
        <w:tc>
          <w:tcPr>
            <w:tcW w:w="729" w:type="pct"/>
            <w:noWrap/>
          </w:tcPr>
          <w:p w14:paraId="1335B48B"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15 786</w:t>
            </w:r>
          </w:p>
        </w:tc>
        <w:tc>
          <w:tcPr>
            <w:tcW w:w="706" w:type="pct"/>
            <w:noWrap/>
          </w:tcPr>
          <w:p w14:paraId="0E5BE36F"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1 494 582</w:t>
            </w:r>
          </w:p>
        </w:tc>
      </w:tr>
      <w:tr w:rsidR="00DB1AEA" w:rsidRPr="00DB1AEA" w14:paraId="76BAE514"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49A380D8" w14:textId="77777777" w:rsidR="009176C1" w:rsidRPr="00DB1AEA" w:rsidRDefault="009176C1" w:rsidP="00B551CC">
            <w:pPr>
              <w:rPr>
                <w:rFonts w:cstheme="minorHAnsi"/>
                <w:sz w:val="18"/>
                <w:szCs w:val="18"/>
                <w:lang w:val="sk-SK"/>
              </w:rPr>
            </w:pPr>
            <w:r w:rsidRPr="00DB1AEA">
              <w:rPr>
                <w:rFonts w:cstheme="minorHAnsi"/>
                <w:sz w:val="18"/>
                <w:szCs w:val="18"/>
                <w:lang w:val="sk-SK"/>
              </w:rPr>
              <w:t>§ 54 Podpora obcí zasiahnutých zemetrasením</w:t>
            </w:r>
          </w:p>
        </w:tc>
        <w:tc>
          <w:tcPr>
            <w:tcW w:w="729" w:type="pct"/>
            <w:noWrap/>
          </w:tcPr>
          <w:p w14:paraId="2092A86D"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9</w:t>
            </w:r>
          </w:p>
        </w:tc>
        <w:tc>
          <w:tcPr>
            <w:tcW w:w="706" w:type="pct"/>
            <w:noWrap/>
          </w:tcPr>
          <w:p w14:paraId="35541BCA"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335 974</w:t>
            </w:r>
          </w:p>
        </w:tc>
      </w:tr>
      <w:tr w:rsidR="00DB1AEA" w:rsidRPr="00DB1AEA" w14:paraId="57C5F716" w14:textId="77777777" w:rsidTr="00567AD7">
        <w:trPr>
          <w:trHeight w:val="281"/>
        </w:trPr>
        <w:tc>
          <w:tcPr>
            <w:tcW w:w="3565" w:type="pct"/>
            <w:noWrap/>
          </w:tcPr>
          <w:p w14:paraId="7AF32227" w14:textId="77777777" w:rsidR="009176C1" w:rsidRPr="00DB1AEA" w:rsidRDefault="009176C1" w:rsidP="00B551CC">
            <w:pPr>
              <w:rPr>
                <w:rFonts w:cstheme="minorHAnsi"/>
                <w:sz w:val="18"/>
                <w:szCs w:val="18"/>
                <w:lang w:val="sk-SK"/>
              </w:rPr>
            </w:pPr>
            <w:r w:rsidRPr="00DB1AEA">
              <w:rPr>
                <w:rFonts w:cstheme="minorHAnsi"/>
                <w:sz w:val="18"/>
                <w:szCs w:val="18"/>
                <w:lang w:val="sk-SK"/>
              </w:rPr>
              <w:t>§ 54 Podpora obcí zasiahnutých zemetrasením 2</w:t>
            </w:r>
          </w:p>
        </w:tc>
        <w:tc>
          <w:tcPr>
            <w:tcW w:w="729" w:type="pct"/>
            <w:noWrap/>
          </w:tcPr>
          <w:p w14:paraId="5C7235F7"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92</w:t>
            </w:r>
          </w:p>
        </w:tc>
        <w:tc>
          <w:tcPr>
            <w:tcW w:w="706" w:type="pct"/>
            <w:noWrap/>
          </w:tcPr>
          <w:p w14:paraId="248D320E"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406 484</w:t>
            </w:r>
          </w:p>
        </w:tc>
      </w:tr>
      <w:tr w:rsidR="00DB1AEA" w:rsidRPr="00DB1AEA" w14:paraId="378C6DD8"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hideMark/>
          </w:tcPr>
          <w:p w14:paraId="60A4E314" w14:textId="77777777" w:rsidR="009176C1" w:rsidRPr="00DB1AEA" w:rsidRDefault="009176C1" w:rsidP="00B551CC">
            <w:pPr>
              <w:rPr>
                <w:rFonts w:cstheme="minorHAnsi"/>
                <w:sz w:val="18"/>
                <w:szCs w:val="18"/>
                <w:lang w:val="sk-SK"/>
              </w:rPr>
            </w:pPr>
            <w:r w:rsidRPr="00DB1AEA">
              <w:rPr>
                <w:rFonts w:cstheme="minorHAnsi"/>
                <w:sz w:val="18"/>
                <w:szCs w:val="18"/>
                <w:lang w:val="sk-SK"/>
              </w:rPr>
              <w:t>§ 54 Podpora obcí a miest zasiahnutých živelnou pohromou</w:t>
            </w:r>
          </w:p>
        </w:tc>
        <w:tc>
          <w:tcPr>
            <w:tcW w:w="729" w:type="pct"/>
            <w:noWrap/>
          </w:tcPr>
          <w:p w14:paraId="30A8592C"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146</w:t>
            </w:r>
          </w:p>
        </w:tc>
        <w:tc>
          <w:tcPr>
            <w:tcW w:w="706" w:type="pct"/>
            <w:noWrap/>
          </w:tcPr>
          <w:p w14:paraId="4571BDD5"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97 930</w:t>
            </w:r>
          </w:p>
        </w:tc>
      </w:tr>
      <w:tr w:rsidR="00DB1AEA" w:rsidRPr="00DB1AEA" w14:paraId="7C2E9D91" w14:textId="77777777" w:rsidTr="00567AD7">
        <w:trPr>
          <w:trHeight w:val="281"/>
        </w:trPr>
        <w:tc>
          <w:tcPr>
            <w:tcW w:w="3565" w:type="pct"/>
            <w:noWrap/>
          </w:tcPr>
          <w:p w14:paraId="215ECCAA" w14:textId="77777777" w:rsidR="009176C1" w:rsidRPr="00DB1AEA" w:rsidRDefault="009176C1" w:rsidP="00B551CC">
            <w:pPr>
              <w:rPr>
                <w:rFonts w:cstheme="minorHAnsi"/>
                <w:sz w:val="18"/>
                <w:szCs w:val="18"/>
                <w:lang w:val="sk-SK"/>
              </w:rPr>
            </w:pPr>
            <w:r w:rsidRPr="00DB1AEA">
              <w:rPr>
                <w:rFonts w:cstheme="minorHAnsi"/>
                <w:sz w:val="18"/>
                <w:szCs w:val="18"/>
                <w:lang w:val="sk-SK"/>
              </w:rPr>
              <w:t>§ 54 Regionálne pilotné projekty (VW Slovakia, PCA Trnava)</w:t>
            </w:r>
          </w:p>
        </w:tc>
        <w:tc>
          <w:tcPr>
            <w:tcW w:w="729" w:type="pct"/>
            <w:noWrap/>
          </w:tcPr>
          <w:p w14:paraId="4CDE5D64"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2 883</w:t>
            </w:r>
          </w:p>
        </w:tc>
        <w:tc>
          <w:tcPr>
            <w:tcW w:w="706" w:type="pct"/>
            <w:noWrap/>
          </w:tcPr>
          <w:p w14:paraId="09B191AF" w14:textId="77777777" w:rsidR="009176C1" w:rsidRPr="00DB1AEA" w:rsidRDefault="009176C1" w:rsidP="00B551CC">
            <w:pPr>
              <w:jc w:val="right"/>
              <w:rPr>
                <w:rFonts w:cstheme="minorHAnsi"/>
                <w:sz w:val="18"/>
                <w:szCs w:val="18"/>
                <w:lang w:val="sk-SK"/>
              </w:rPr>
            </w:pPr>
            <w:r w:rsidRPr="00DB1AEA">
              <w:rPr>
                <w:rFonts w:cstheme="minorHAnsi"/>
                <w:sz w:val="18"/>
                <w:szCs w:val="18"/>
                <w:lang w:val="sk-SK"/>
              </w:rPr>
              <w:t>553 803</w:t>
            </w:r>
          </w:p>
        </w:tc>
      </w:tr>
      <w:tr w:rsidR="00DB1AEA" w:rsidRPr="00DB1AEA" w14:paraId="6849428B" w14:textId="77777777" w:rsidTr="00567AD7">
        <w:trPr>
          <w:cnfStyle w:val="000000100000" w:firstRow="0" w:lastRow="0" w:firstColumn="0" w:lastColumn="0" w:oddVBand="0" w:evenVBand="0" w:oddHBand="1" w:evenHBand="0" w:firstRowFirstColumn="0" w:firstRowLastColumn="0" w:lastRowFirstColumn="0" w:lastRowLastColumn="0"/>
          <w:trHeight w:val="281"/>
        </w:trPr>
        <w:tc>
          <w:tcPr>
            <w:tcW w:w="3565" w:type="pct"/>
            <w:noWrap/>
          </w:tcPr>
          <w:p w14:paraId="235FD051" w14:textId="77777777" w:rsidR="009176C1" w:rsidRPr="00DB1AEA" w:rsidRDefault="009176C1" w:rsidP="00B551CC">
            <w:pPr>
              <w:rPr>
                <w:rFonts w:cstheme="minorHAnsi"/>
                <w:sz w:val="18"/>
                <w:szCs w:val="18"/>
                <w:lang w:val="sk-SK"/>
              </w:rPr>
            </w:pPr>
            <w:r w:rsidRPr="00DB1AEA">
              <w:rPr>
                <w:rFonts w:cstheme="minorHAnsi"/>
                <w:b/>
                <w:sz w:val="18"/>
                <w:szCs w:val="18"/>
                <w:lang w:val="sk-SK"/>
              </w:rPr>
              <w:t>SPOLU</w:t>
            </w:r>
          </w:p>
        </w:tc>
        <w:tc>
          <w:tcPr>
            <w:tcW w:w="729" w:type="pct"/>
            <w:noWrap/>
          </w:tcPr>
          <w:p w14:paraId="2DC78B05" w14:textId="77777777" w:rsidR="009176C1" w:rsidRPr="00DB1AEA" w:rsidRDefault="009176C1" w:rsidP="00B551CC">
            <w:pPr>
              <w:jc w:val="right"/>
              <w:rPr>
                <w:rFonts w:cstheme="minorHAnsi"/>
                <w:b/>
                <w:sz w:val="18"/>
                <w:szCs w:val="18"/>
                <w:lang w:val="sk-SK"/>
              </w:rPr>
            </w:pPr>
            <w:r w:rsidRPr="00DB1AEA">
              <w:rPr>
                <w:rFonts w:cstheme="minorHAnsi"/>
                <w:b/>
                <w:sz w:val="18"/>
                <w:szCs w:val="18"/>
                <w:lang w:val="sk-SK"/>
              </w:rPr>
              <w:t>75 002</w:t>
            </w:r>
          </w:p>
        </w:tc>
        <w:tc>
          <w:tcPr>
            <w:tcW w:w="706" w:type="pct"/>
            <w:noWrap/>
          </w:tcPr>
          <w:p w14:paraId="5B2CFF41" w14:textId="77777777" w:rsidR="009176C1" w:rsidRPr="00DB1AEA" w:rsidRDefault="009176C1" w:rsidP="00B551CC">
            <w:pPr>
              <w:jc w:val="right"/>
              <w:rPr>
                <w:rFonts w:cstheme="minorHAnsi"/>
                <w:b/>
                <w:bCs/>
                <w:sz w:val="18"/>
                <w:szCs w:val="18"/>
                <w:lang w:val="sk-SK"/>
              </w:rPr>
            </w:pPr>
            <w:r w:rsidRPr="00DB1AEA">
              <w:rPr>
                <w:rFonts w:cstheme="minorHAnsi"/>
                <w:b/>
                <w:bCs/>
                <w:sz w:val="18"/>
                <w:szCs w:val="18"/>
                <w:lang w:val="sk-SK"/>
              </w:rPr>
              <w:t>58 019 975</w:t>
            </w:r>
          </w:p>
        </w:tc>
      </w:tr>
    </w:tbl>
    <w:p w14:paraId="039CBF1D" w14:textId="77777777" w:rsidR="007A5213" w:rsidRPr="00C35CA8" w:rsidRDefault="007A5213" w:rsidP="007A5213">
      <w:pPr>
        <w:pStyle w:val="zdroj"/>
        <w:spacing w:after="0"/>
        <w:ind w:firstLine="0"/>
        <w:jc w:val="right"/>
        <w:rPr>
          <w:color w:val="auto"/>
          <w:lang w:val="sk-SK"/>
        </w:rPr>
      </w:pPr>
      <w:r w:rsidRPr="00C35CA8">
        <w:rPr>
          <w:color w:val="auto"/>
          <w:lang w:val="sk-SK"/>
        </w:rPr>
        <w:t>Zdroj: MPSVR SR/Ú</w:t>
      </w:r>
      <w:r>
        <w:rPr>
          <w:color w:val="auto"/>
          <w:lang w:val="sk-SK"/>
        </w:rPr>
        <w:t xml:space="preserve">stredie </w:t>
      </w:r>
      <w:r w:rsidRPr="00C35CA8">
        <w:rPr>
          <w:color w:val="auto"/>
          <w:lang w:val="sk-SK"/>
        </w:rPr>
        <w:t>PSVR</w:t>
      </w:r>
    </w:p>
    <w:p w14:paraId="67A59E0A" w14:textId="77777777" w:rsidR="00567AD7" w:rsidRDefault="00567AD7" w:rsidP="00265A02">
      <w:pPr>
        <w:spacing w:before="120" w:after="0"/>
        <w:ind w:firstLine="0"/>
        <w:rPr>
          <w:b/>
          <w:lang w:eastAsia="en-US"/>
        </w:rPr>
      </w:pPr>
    </w:p>
    <w:p w14:paraId="7BE898A6" w14:textId="69C28CEF" w:rsidR="00265A02" w:rsidRPr="007079C2" w:rsidRDefault="00265A02" w:rsidP="00265A02">
      <w:pPr>
        <w:spacing w:before="120" w:after="0"/>
        <w:ind w:firstLine="0"/>
        <w:rPr>
          <w:b/>
          <w:lang w:eastAsia="en-US"/>
        </w:rPr>
      </w:pPr>
      <w:r w:rsidRPr="007079C2">
        <w:rPr>
          <w:b/>
          <w:lang w:eastAsia="en-US"/>
        </w:rPr>
        <w:lastRenderedPageBreak/>
        <w:t>Poznámka</w:t>
      </w:r>
    </w:p>
    <w:p w14:paraId="080A0F96" w14:textId="1DA68211" w:rsidR="0018489F" w:rsidRPr="007079C2" w:rsidRDefault="00265A02" w:rsidP="0018489F">
      <w:pPr>
        <w:spacing w:after="0"/>
        <w:ind w:firstLine="0"/>
      </w:pPr>
      <w:r w:rsidRPr="007079C2">
        <w:rPr>
          <w:lang w:eastAsia="en-US"/>
        </w:rPr>
        <w:t xml:space="preserve">V ďalších častiach tohto vyhodnotenia sa nebudeme zmieňovať ani analyzovať </w:t>
      </w:r>
      <w:r w:rsidR="00AB5C03" w:rsidRPr="007079C2">
        <w:rPr>
          <w:lang w:eastAsia="en-US"/>
        </w:rPr>
        <w:t xml:space="preserve">príspevky </w:t>
      </w:r>
      <w:r w:rsidRPr="007079C2">
        <w:rPr>
          <w:lang w:eastAsia="en-US"/>
        </w:rPr>
        <w:t xml:space="preserve">AOTP, ktoré síce v zákone o službách zamestnanosti sú </w:t>
      </w:r>
      <w:r w:rsidR="008A6443" w:rsidRPr="007079C2">
        <w:rPr>
          <w:lang w:eastAsia="en-US"/>
        </w:rPr>
        <w:t>ustanov</w:t>
      </w:r>
      <w:r w:rsidRPr="007079C2">
        <w:rPr>
          <w:lang w:eastAsia="en-US"/>
        </w:rPr>
        <w:t xml:space="preserve">ené, avšak, vzhľadom na skutočnosť, že </w:t>
      </w:r>
      <w:r w:rsidR="007079C2">
        <w:rPr>
          <w:lang w:eastAsia="en-US"/>
        </w:rPr>
        <w:t>od</w:t>
      </w:r>
      <w:r w:rsidRPr="007079C2">
        <w:rPr>
          <w:lang w:eastAsia="en-US"/>
        </w:rPr>
        <w:t> roku 202</w:t>
      </w:r>
      <w:r w:rsidR="007079C2">
        <w:rPr>
          <w:lang w:eastAsia="en-US"/>
        </w:rPr>
        <w:t>0</w:t>
      </w:r>
      <w:r w:rsidRPr="007079C2">
        <w:rPr>
          <w:lang w:eastAsia="en-US"/>
        </w:rPr>
        <w:t>) neboli uplatňované z</w:t>
      </w:r>
      <w:r w:rsidR="007079C2">
        <w:rPr>
          <w:lang w:eastAsia="en-US"/>
        </w:rPr>
        <w:t> </w:t>
      </w:r>
      <w:r w:rsidRPr="007079C2">
        <w:rPr>
          <w:lang w:eastAsia="en-US"/>
        </w:rPr>
        <w:t>dôvodu, že na ich poskytnutie nie je právny nárok a</w:t>
      </w:r>
      <w:r w:rsidR="007079C2">
        <w:rPr>
          <w:lang w:eastAsia="en-US"/>
        </w:rPr>
        <w:t xml:space="preserve"> na základe </w:t>
      </w:r>
      <w:r w:rsidR="007079C2" w:rsidRPr="007079C2">
        <w:rPr>
          <w:lang w:eastAsia="en-US"/>
        </w:rPr>
        <w:t>rozhodnutia ministra PSVR</w:t>
      </w:r>
      <w:r w:rsidRPr="007079C2">
        <w:rPr>
          <w:lang w:eastAsia="en-US"/>
        </w:rPr>
        <w:t xml:space="preserve"> na ich financovanie neboli vyčlenené žiadne disponibilné finančné prostriedky z verejných zdrojov.</w:t>
      </w:r>
      <w:r w:rsidR="0018489F" w:rsidRPr="007079C2">
        <w:t xml:space="preserve"> Ide o nasledovné AOTP:</w:t>
      </w:r>
    </w:p>
    <w:p w14:paraId="0A4B38D4" w14:textId="77777777" w:rsidR="00D005C3" w:rsidRPr="007079C2" w:rsidRDefault="0018489F" w:rsidP="006C526F">
      <w:pPr>
        <w:pStyle w:val="Odsekzoznamu"/>
        <w:numPr>
          <w:ilvl w:val="0"/>
          <w:numId w:val="21"/>
        </w:numPr>
        <w:spacing w:before="0" w:after="0"/>
        <w:ind w:left="284" w:hanging="284"/>
        <w:rPr>
          <w:szCs w:val="24"/>
        </w:rPr>
      </w:pPr>
      <w:r w:rsidRPr="007079C2">
        <w:rPr>
          <w:szCs w:val="24"/>
        </w:rPr>
        <w:t>vzdelávanie a príprava pre trh práce uchádzača o zamestnanie - § 46,</w:t>
      </w:r>
      <w:r w:rsidR="00D005C3" w:rsidRPr="007079C2">
        <w:rPr>
          <w:szCs w:val="24"/>
        </w:rPr>
        <w:t xml:space="preserve"> </w:t>
      </w:r>
    </w:p>
    <w:p w14:paraId="34A01230" w14:textId="77777777" w:rsidR="00D005C3" w:rsidRPr="007079C2" w:rsidRDefault="00D005C3" w:rsidP="006C526F">
      <w:pPr>
        <w:pStyle w:val="Odsekzoznamu"/>
        <w:numPr>
          <w:ilvl w:val="0"/>
          <w:numId w:val="21"/>
        </w:numPr>
        <w:spacing w:before="0" w:after="0"/>
        <w:ind w:left="284" w:hanging="284"/>
        <w:rPr>
          <w:szCs w:val="24"/>
        </w:rPr>
      </w:pPr>
      <w:r w:rsidRPr="007079C2">
        <w:rPr>
          <w:szCs w:val="24"/>
        </w:rPr>
        <w:t xml:space="preserve">vzdelávanie a príprava pre trh práce zamestnanca - § 47, </w:t>
      </w:r>
    </w:p>
    <w:p w14:paraId="26D7D8AF" w14:textId="3E39C626" w:rsidR="00D005C3" w:rsidRPr="007079C2" w:rsidRDefault="00D005C3" w:rsidP="006C526F">
      <w:pPr>
        <w:pStyle w:val="Odsekzoznamu"/>
        <w:numPr>
          <w:ilvl w:val="0"/>
          <w:numId w:val="21"/>
        </w:numPr>
        <w:spacing w:before="0" w:after="0"/>
        <w:ind w:left="284" w:hanging="284"/>
        <w:rPr>
          <w:szCs w:val="24"/>
        </w:rPr>
      </w:pPr>
      <w:r w:rsidRPr="007079C2">
        <w:rPr>
          <w:szCs w:val="24"/>
        </w:rPr>
        <w:t>príspevok na samostatnú zárobkovú činnosť - § 49,</w:t>
      </w:r>
    </w:p>
    <w:p w14:paraId="2F55B640" w14:textId="14832220" w:rsidR="0018489F" w:rsidRPr="007079C2" w:rsidRDefault="00D005C3" w:rsidP="006C526F">
      <w:pPr>
        <w:pStyle w:val="Odsekzoznamu"/>
        <w:numPr>
          <w:ilvl w:val="0"/>
          <w:numId w:val="21"/>
        </w:numPr>
        <w:spacing w:before="0" w:after="0"/>
        <w:ind w:left="284" w:hanging="284"/>
        <w:rPr>
          <w:szCs w:val="24"/>
        </w:rPr>
      </w:pPr>
      <w:r w:rsidRPr="007079C2">
        <w:rPr>
          <w:szCs w:val="24"/>
        </w:rPr>
        <w:t xml:space="preserve">príspevok na podporu zamestnávania znevýhodneného uchádzača o zamestnanie - § 50.    </w:t>
      </w:r>
      <w:r w:rsidR="0018489F" w:rsidRPr="007079C2">
        <w:rPr>
          <w:szCs w:val="24"/>
        </w:rPr>
        <w:t xml:space="preserve"> </w:t>
      </w:r>
    </w:p>
    <w:p w14:paraId="063D8534" w14:textId="0B3900CF" w:rsidR="0018489F" w:rsidRPr="007079C2" w:rsidRDefault="0018489F" w:rsidP="006C526F">
      <w:pPr>
        <w:pStyle w:val="Odsekzoznamu"/>
        <w:numPr>
          <w:ilvl w:val="0"/>
          <w:numId w:val="21"/>
        </w:numPr>
        <w:spacing w:before="0" w:after="0"/>
        <w:ind w:left="284" w:hanging="284"/>
        <w:rPr>
          <w:szCs w:val="24"/>
        </w:rPr>
      </w:pPr>
      <w:r w:rsidRPr="007079C2">
        <w:rPr>
          <w:szCs w:val="24"/>
        </w:rPr>
        <w:t xml:space="preserve">príspevok na vykonávanie absolventskej praxe  - § 51, </w:t>
      </w:r>
    </w:p>
    <w:p w14:paraId="012BC81A" w14:textId="21050C61" w:rsidR="0018489F" w:rsidRPr="007079C2" w:rsidRDefault="0018489F" w:rsidP="006C526F">
      <w:pPr>
        <w:pStyle w:val="Odsekzoznamu"/>
        <w:numPr>
          <w:ilvl w:val="0"/>
          <w:numId w:val="21"/>
        </w:numPr>
        <w:spacing w:before="0" w:after="0"/>
        <w:ind w:left="284" w:hanging="284"/>
        <w:rPr>
          <w:szCs w:val="24"/>
        </w:rPr>
      </w:pPr>
      <w:r w:rsidRPr="007079C2">
        <w:rPr>
          <w:szCs w:val="24"/>
        </w:rPr>
        <w:t>príspevok na dopravu do zamestnania - § 53b,</w:t>
      </w:r>
    </w:p>
    <w:p w14:paraId="07A8475E" w14:textId="3E9DEDB3" w:rsidR="0018489F" w:rsidRPr="007079C2" w:rsidRDefault="0018489F" w:rsidP="006C526F">
      <w:pPr>
        <w:pStyle w:val="Odsekzoznamu"/>
        <w:numPr>
          <w:ilvl w:val="0"/>
          <w:numId w:val="21"/>
        </w:numPr>
        <w:spacing w:before="0" w:after="0"/>
        <w:ind w:left="284" w:hanging="284"/>
        <w:rPr>
          <w:szCs w:val="24"/>
        </w:rPr>
      </w:pPr>
      <w:r w:rsidRPr="007079C2">
        <w:rPr>
          <w:szCs w:val="24"/>
        </w:rPr>
        <w:t>príspevok na zriadenie chránenej dielne alebo chráneného pracoviska - § 56,</w:t>
      </w:r>
    </w:p>
    <w:p w14:paraId="5ABAA9E4" w14:textId="6C0055AC" w:rsidR="00B833D2" w:rsidRPr="007079C2" w:rsidRDefault="0018489F" w:rsidP="006C526F">
      <w:pPr>
        <w:pStyle w:val="Odsekzoznamu"/>
        <w:numPr>
          <w:ilvl w:val="0"/>
          <w:numId w:val="21"/>
        </w:numPr>
        <w:spacing w:before="0" w:after="0"/>
        <w:ind w:left="284" w:hanging="284"/>
        <w:rPr>
          <w:szCs w:val="24"/>
        </w:rPr>
      </w:pPr>
      <w:r w:rsidRPr="007079C2">
        <w:rPr>
          <w:szCs w:val="24"/>
        </w:rPr>
        <w:t>príspevok občanovi so zdravotným postihnutím na samostatnú zárobkovú činnosť - § 57.</w:t>
      </w:r>
      <w:r w:rsidR="00265A02" w:rsidRPr="007079C2">
        <w:rPr>
          <w:szCs w:val="24"/>
        </w:rPr>
        <w:t xml:space="preserve">  </w:t>
      </w:r>
    </w:p>
    <w:p w14:paraId="035F1CF2" w14:textId="77777777" w:rsidR="0018489F" w:rsidRPr="00C35CA8" w:rsidRDefault="0018489F" w:rsidP="00264B43">
      <w:pPr>
        <w:spacing w:before="120" w:after="60"/>
        <w:ind w:firstLine="0"/>
        <w:rPr>
          <w:bCs/>
          <w:iCs/>
          <w:sz w:val="20"/>
          <w:szCs w:val="20"/>
        </w:rPr>
      </w:pPr>
    </w:p>
    <w:p w14:paraId="461476A1" w14:textId="46F4660A" w:rsidR="00596254" w:rsidRPr="00C35CA8" w:rsidRDefault="00C14776" w:rsidP="0062585F">
      <w:pPr>
        <w:pStyle w:val="Nadpis1"/>
      </w:pPr>
      <w:bookmarkStart w:id="33" w:name="_Toc514941029"/>
      <w:bookmarkStart w:id="34" w:name="_Toc37094585"/>
      <w:bookmarkStart w:id="35" w:name="_Toc199230813"/>
      <w:bookmarkStart w:id="36" w:name="_Hlk103507342"/>
      <w:r w:rsidRPr="00C35CA8">
        <w:t>VYHODNOTENIE</w:t>
      </w:r>
      <w:r w:rsidR="00880AB6" w:rsidRPr="00C35CA8">
        <w:t xml:space="preserve"> </w:t>
      </w:r>
      <w:r w:rsidRPr="00C35CA8">
        <w:t>ČINNOSTI INFORMAČNÝCH</w:t>
      </w:r>
      <w:r w:rsidR="00ED7654">
        <w:t xml:space="preserve"> </w:t>
      </w:r>
      <w:r w:rsidR="002E7E09" w:rsidRPr="00C35CA8">
        <w:t>A</w:t>
      </w:r>
      <w:r w:rsidRPr="00C35CA8">
        <w:t> </w:t>
      </w:r>
      <w:r w:rsidR="00F10CE8" w:rsidRPr="00C35CA8">
        <w:t xml:space="preserve"> </w:t>
      </w:r>
      <w:r w:rsidRPr="00C35CA8">
        <w:t>SPROSTREDKOVATEĽSKÝCH SLUŽIEB ZA ROK 20</w:t>
      </w:r>
      <w:r w:rsidR="00DE1ECF" w:rsidRPr="00C35CA8">
        <w:t>2</w:t>
      </w:r>
      <w:r w:rsidR="00C363BD" w:rsidRPr="00C35CA8">
        <w:t>2</w:t>
      </w:r>
      <w:r w:rsidR="00880AB6" w:rsidRPr="00C35CA8">
        <w:t xml:space="preserve"> </w:t>
      </w:r>
      <w:r w:rsidR="003D2C5F" w:rsidRPr="00C35CA8">
        <w:t>V PÔSOBNOSTI ÚSTREDIA</w:t>
      </w:r>
      <w:r w:rsidR="000E47AB" w:rsidRPr="00C35CA8">
        <w:t xml:space="preserve"> </w:t>
      </w:r>
      <w:r w:rsidRPr="00C35CA8">
        <w:t>A</w:t>
      </w:r>
      <w:r w:rsidR="000E47AB" w:rsidRPr="00C35CA8">
        <w:t> </w:t>
      </w:r>
      <w:r w:rsidRPr="00C35CA8">
        <w:t>ÚRADOV</w:t>
      </w:r>
      <w:r w:rsidR="000E47AB" w:rsidRPr="00C35CA8">
        <w:t xml:space="preserve"> </w:t>
      </w:r>
      <w:r w:rsidR="00FF4642" w:rsidRPr="00C35CA8">
        <w:t xml:space="preserve">- § 32, § 42 </w:t>
      </w:r>
      <w:r w:rsidRPr="00C35CA8">
        <w:t>ZÁKON</w:t>
      </w:r>
      <w:bookmarkEnd w:id="33"/>
      <w:bookmarkEnd w:id="34"/>
      <w:r w:rsidRPr="00C35CA8">
        <w:t>A</w:t>
      </w:r>
      <w:r w:rsidR="000E47AB" w:rsidRPr="00C35CA8">
        <w:t xml:space="preserve"> O SLUŽBÁCH ZAMESTNANOSTI</w:t>
      </w:r>
      <w:bookmarkEnd w:id="35"/>
    </w:p>
    <w:p w14:paraId="684DB1E9" w14:textId="5BCCC215" w:rsidR="00DE27B1" w:rsidRDefault="00DE27B1" w:rsidP="00DE27B1">
      <w:pPr>
        <w:pStyle w:val="Nadpis2"/>
        <w:tabs>
          <w:tab w:val="left" w:pos="567"/>
        </w:tabs>
      </w:pPr>
      <w:bookmarkStart w:id="37" w:name="_Toc199230814"/>
      <w:bookmarkStart w:id="38" w:name="_Toc514941030"/>
      <w:bookmarkStart w:id="39" w:name="_Toc37094586"/>
      <w:bookmarkStart w:id="40" w:name="_Toc391632943"/>
      <w:bookmarkStart w:id="41" w:name="_Toc391632944"/>
      <w:bookmarkStart w:id="42" w:name="_Toc37094591"/>
      <w:bookmarkEnd w:id="36"/>
      <w:r>
        <w:t>Vyhodnotenie činnosti úradov</w:t>
      </w:r>
      <w:bookmarkEnd w:id="37"/>
      <w:r>
        <w:t xml:space="preserve"> </w:t>
      </w:r>
    </w:p>
    <w:p w14:paraId="07AF2EC9" w14:textId="77777777" w:rsidR="00DE27B1" w:rsidRDefault="00DE27B1" w:rsidP="00DE27B1">
      <w:pPr>
        <w:spacing w:before="120" w:after="120"/>
        <w:ind w:firstLine="0"/>
        <w:rPr>
          <w:rFonts w:eastAsia="Calibri"/>
          <w:color w:val="000000"/>
          <w:lang w:eastAsia="en-US"/>
        </w:rPr>
      </w:pPr>
      <w:r>
        <w:rPr>
          <w:rFonts w:eastAsia="Calibri"/>
          <w:color w:val="000000"/>
          <w:lang w:eastAsia="en-US"/>
        </w:rPr>
        <w:t>Úrady na celom území SR pokračovali s realizáciou poskytovania služieb zamestnanosti, v rámci ktorého boli klientom poskytované služby zamestnanosti viac individuálnou formou zameranou na akceptáciu ich osobnostných predpokladov v kombinácii s možnosťami zamestnať sa.</w:t>
      </w:r>
    </w:p>
    <w:p w14:paraId="5E29C2FC" w14:textId="77777777" w:rsidR="00B551CC" w:rsidRDefault="00DE27B1" w:rsidP="0062585F">
      <w:pPr>
        <w:pStyle w:val="Nadpis3"/>
        <w:tabs>
          <w:tab w:val="left" w:pos="567"/>
          <w:tab w:val="left" w:pos="851"/>
        </w:tabs>
        <w:spacing w:before="240" w:after="120"/>
        <w:rPr>
          <w:lang w:eastAsia="en-US"/>
        </w:rPr>
      </w:pPr>
      <w:bookmarkStart w:id="43" w:name="_Toc199230815"/>
      <w:r>
        <w:rPr>
          <w:lang w:eastAsia="en-US"/>
        </w:rPr>
        <w:t>Spolupráca so zamestnávateľmi</w:t>
      </w:r>
      <w:bookmarkEnd w:id="43"/>
    </w:p>
    <w:p w14:paraId="17D726F6" w14:textId="0A20C55C" w:rsidR="00B551CC" w:rsidRPr="00B551CC" w:rsidRDefault="00B551CC" w:rsidP="00B551CC">
      <w:pPr>
        <w:spacing w:before="120" w:after="0"/>
        <w:rPr>
          <w:rFonts w:eastAsiaTheme="minorEastAsia"/>
        </w:rPr>
      </w:pPr>
      <w:r w:rsidRPr="00B551CC">
        <w:rPr>
          <w:rFonts w:eastAsiaTheme="minorEastAsia"/>
        </w:rPr>
        <w:t xml:space="preserve">Prostredníctvom portálu Služby zamestnanosti </w:t>
      </w:r>
      <w:hyperlink r:id="rId21">
        <w:r w:rsidRPr="00B551CC">
          <w:rPr>
            <w:rFonts w:cs="Calibri"/>
            <w:color w:val="0000FF"/>
          </w:rPr>
          <w:t>www.sluzbyzamestnanosti.gov.sk</w:t>
        </w:r>
      </w:hyperlink>
      <w:r w:rsidRPr="00B551CC">
        <w:rPr>
          <w:rFonts w:eastAsiaTheme="minorEastAsia"/>
        </w:rPr>
        <w:t xml:space="preserve"> (ďalej len „portál SZ“) môžu zamestnávatelia nahlasovať voľné pracovné miesta (ďalej len „VPM“).</w:t>
      </w:r>
      <w:r>
        <w:rPr>
          <w:rFonts w:eastAsiaTheme="minorEastAsia"/>
        </w:rPr>
        <w:t xml:space="preserve"> </w:t>
      </w:r>
      <w:r w:rsidRPr="00B551CC">
        <w:rPr>
          <w:rFonts w:eastAsiaTheme="minorEastAsia"/>
        </w:rPr>
        <w:t xml:space="preserve">Po jednoduchej bezplatnej registrácii pomocou eID (prihlasovanie je rovnaké ako na </w:t>
      </w:r>
      <w:hyperlink r:id="rId22">
        <w:r w:rsidRPr="00B551CC">
          <w:rPr>
            <w:rFonts w:cs="Calibri"/>
            <w:color w:val="0000FF"/>
          </w:rPr>
          <w:t>www.slovensko.sk</w:t>
        </w:r>
      </w:hyperlink>
      <w:r w:rsidRPr="00B551CC">
        <w:rPr>
          <w:rFonts w:eastAsiaTheme="minorEastAsia"/>
        </w:rPr>
        <w:t xml:space="preserve">) má zamestnávateľ možnosť na portáli bezplatne vytvárať, evidovať a zverejňovať svoje ponuky pracovných miest a osloviť tak UoZ evidovaných na úradoch ako aj všetkých záujemcov o zamestnanie. </w:t>
      </w:r>
    </w:p>
    <w:p w14:paraId="33FE759F" w14:textId="40F0C0EE" w:rsidR="00B551CC" w:rsidRPr="00B551CC" w:rsidRDefault="00B551CC" w:rsidP="00B551CC">
      <w:pPr>
        <w:spacing w:before="120" w:after="0"/>
        <w:rPr>
          <w:rFonts w:eastAsiaTheme="minorEastAsia"/>
        </w:rPr>
      </w:pPr>
      <w:r w:rsidRPr="00B551CC">
        <w:rPr>
          <w:rFonts w:eastAsiaTheme="minorEastAsia"/>
        </w:rPr>
        <w:t xml:space="preserve">Portál SZ je prvý štátny pracovný portál, ktorý svoje služby pre všetkých používateľov poskytuje </w:t>
      </w:r>
      <w:r>
        <w:rPr>
          <w:rFonts w:eastAsiaTheme="minorEastAsia"/>
        </w:rPr>
        <w:t xml:space="preserve">bezplatne </w:t>
      </w:r>
      <w:r w:rsidRPr="00B551CC">
        <w:rPr>
          <w:rFonts w:eastAsiaTheme="minorEastAsia"/>
        </w:rPr>
        <w:t>už 3 roky  (od 1. 2. 2022). Získava údaje o zamestnávateľoch z overených zdrojov, akým je napr. register právnických osôb. Portál SZ obsahuje informatívne videá, textové manuály, ktoré sú nápomocné užívateľom pri registrácii a používaní portálu.</w:t>
      </w:r>
    </w:p>
    <w:p w14:paraId="43F32ED3" w14:textId="77777777" w:rsidR="00B551CC" w:rsidRPr="00B551CC" w:rsidRDefault="00B551CC" w:rsidP="00B551CC">
      <w:pPr>
        <w:spacing w:before="120" w:after="0"/>
        <w:rPr>
          <w:rFonts w:eastAsiaTheme="minorEastAsia"/>
        </w:rPr>
      </w:pPr>
      <w:r w:rsidRPr="00B551CC">
        <w:rPr>
          <w:rFonts w:eastAsiaTheme="minorEastAsia"/>
        </w:rPr>
        <w:t xml:space="preserve">Zamestnávateľ už pri vypĺňaní formuláru VPM môže prejaviť záujem o spolupráci úradu pri obsadzovaní VPM prostredníctvom realizácie výberového konania (ďalej len „VK“), kde úrad zabezpečí jeho organizáciu a výber vhodných UoZ. </w:t>
      </w:r>
    </w:p>
    <w:p w14:paraId="63583B3A" w14:textId="77777777" w:rsidR="00B551CC" w:rsidRPr="00B551CC" w:rsidRDefault="00B551CC" w:rsidP="00B551CC">
      <w:pPr>
        <w:spacing w:before="120" w:after="0"/>
        <w:rPr>
          <w:rFonts w:eastAsiaTheme="minorEastAsia"/>
        </w:rPr>
      </w:pPr>
      <w:r w:rsidRPr="00B551CC">
        <w:rPr>
          <w:rFonts w:eastAsiaTheme="minorEastAsia"/>
        </w:rPr>
        <w:t xml:space="preserve">Portál SZ umožňuje zamestnávateľom vyhľadávať na základe určených kritérií vhodných UoZ. Ak má UoZ zverejnený profil, zamestnávateľ ho môže samostatne osloviť, čo veľmi urýchľuje obsadzovanie VPM, urýchľuje vzájomnú komunikáciu medzi zamestnávateľom a UoZ. </w:t>
      </w:r>
    </w:p>
    <w:p w14:paraId="4AE51376" w14:textId="77777777" w:rsidR="00B551CC" w:rsidRPr="00B551CC" w:rsidRDefault="00B551CC" w:rsidP="00B551CC">
      <w:pPr>
        <w:spacing w:before="120" w:after="0"/>
        <w:rPr>
          <w:rFonts w:eastAsiaTheme="minorEastAsia"/>
        </w:rPr>
      </w:pPr>
      <w:r w:rsidRPr="00B551CC">
        <w:rPr>
          <w:rFonts w:eastAsiaTheme="minorEastAsia"/>
        </w:rPr>
        <w:t xml:space="preserve">Portál SZ umožňuje párovanie VPM, ich charakteristiku, páruje kvalifikačné predpoklady s profilom UoZ, občanov, ktorí si hľadajú zamestnanie alebo chcú zmeniť zamestnanie, odídencov z  Ukrajiny a spárované VPM sú im doručené na vopred nahlásené e-mailové adresy. Všetky VPM sú k dispozícii aj v ukrajinskom jazyku.  </w:t>
      </w:r>
    </w:p>
    <w:p w14:paraId="51286537" w14:textId="77777777" w:rsidR="00B551CC" w:rsidRPr="00B551CC" w:rsidRDefault="00B551CC" w:rsidP="00B551CC">
      <w:pPr>
        <w:spacing w:before="120" w:after="0"/>
        <w:ind w:hanging="6"/>
        <w:rPr>
          <w:rFonts w:eastAsiaTheme="minorEastAsia"/>
        </w:rPr>
      </w:pPr>
      <w:r w:rsidRPr="00B551CC">
        <w:rPr>
          <w:rFonts w:eastAsiaTheme="minorEastAsia"/>
        </w:rPr>
        <w:t xml:space="preserve">Zamestnávateľom, ktorí nahlásili VPM prostredníctvom portálu SZ, portál SZ zasiela pravidelné notifikácie o dĺžke trvania VPM, čo zamestnávatelia oceňujú najmä v prípadoch, ak obsadzujú VPM štátnym príslušníkom tretej krajiny. </w:t>
      </w:r>
    </w:p>
    <w:p w14:paraId="66A28126" w14:textId="00CCECA9" w:rsidR="00DE27B1" w:rsidRDefault="00B551CC" w:rsidP="00B551CC">
      <w:pPr>
        <w:spacing w:before="120" w:after="0"/>
        <w:ind w:hanging="6"/>
        <w:textAlignment w:val="baseline"/>
      </w:pPr>
      <w:r w:rsidRPr="00B551CC">
        <w:lastRenderedPageBreak/>
        <w:t>Od 1. 1. 2024 je na Portáli SZ nasadená nová služba - elektronické preukazovanie povinného podielu zamestnávania občanov so zdravotným postihnutím a elektronické zasielanie ročných správ ADZ, APZ a SZÚ. V najbližšom čase bude na Portál SZ nasadená ďalšia služba – zverejňovanie VPM prostredníctvom Európskych služieb zamestnanosti. </w:t>
      </w:r>
    </w:p>
    <w:p w14:paraId="10161A1D" w14:textId="3C53AFC4" w:rsidR="00DE27B1" w:rsidRDefault="00DE27B1" w:rsidP="0062585F">
      <w:pPr>
        <w:pStyle w:val="Nadpis3"/>
        <w:tabs>
          <w:tab w:val="left" w:pos="567"/>
        </w:tabs>
        <w:spacing w:before="240" w:after="120"/>
      </w:pPr>
      <w:bookmarkStart w:id="44" w:name="_Toc199230816"/>
      <w:r>
        <w:t>Kontakt so zamestnávateľmi</w:t>
      </w:r>
      <w:bookmarkEnd w:id="44"/>
    </w:p>
    <w:p w14:paraId="3AF49384" w14:textId="77777777" w:rsidR="00DE27B1" w:rsidRPr="00FF1ABF" w:rsidRDefault="00DE27B1" w:rsidP="00DE27B1">
      <w:pPr>
        <w:spacing w:before="120" w:after="0"/>
        <w:rPr>
          <w:rFonts w:cs="Calibri"/>
          <w:color w:val="000000"/>
        </w:rPr>
      </w:pPr>
      <w:r w:rsidRPr="00FF1ABF">
        <w:rPr>
          <w:rFonts w:cs="Calibri"/>
          <w:color w:val="000000"/>
        </w:rPr>
        <w:t>Zamestnávateľom prostredníctvom agentov pre PM boli poskytované informácie o:</w:t>
      </w:r>
    </w:p>
    <w:p w14:paraId="53CC05A5"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výbere vhodného zamestnanca na požadovanú pracovnú pozíciu,</w:t>
      </w:r>
    </w:p>
    <w:p w14:paraId="55016AD9"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možnostiach a podmienkach účasti na jednotlivých AOTP – aktivačnej činnosti (ďalej len „AČ“), absolventskej praxi (ďalej len „AP“), podpore zamestnávania občanov so ZP, poskytnutí príspevku na zamestnanie znevýhodnených UoZ (ďalej len „ZUoZ“),</w:t>
      </w:r>
    </w:p>
    <w:p w14:paraId="326CF3DB"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výzve na predkladanie projektov na zamestnávanie ZUoZ a o podmienkach účasti v partnerstvách,</w:t>
      </w:r>
    </w:p>
    <w:p w14:paraId="18D3D70D"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situácii na TP, možnosti účasti na VK, BPaI,</w:t>
      </w:r>
    </w:p>
    <w:p w14:paraId="11EDD3EF"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povinnostiach zamestnávateľa pri zamestnávaní občanov so ZP,</w:t>
      </w:r>
    </w:p>
    <w:p w14:paraId="6BE832DE"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podmienkach súvisiacich so zamestnávaním cudzincov a občanov EÚ,</w:t>
      </w:r>
    </w:p>
    <w:p w14:paraId="45F44D95"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nelegálnej práci a nelegálnom zamestnávaní,</w:t>
      </w:r>
    </w:p>
    <w:p w14:paraId="48512C5D"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možnostiach využitia služieb agentúr dočasného zamestnávania (ďalej len „ADZ“), agentúr podporovaného zamestnávania (ďalej len „APZ“), sprostredkovaní zamestnania za úhradu (ďalej len „SZÚ“),</w:t>
      </w:r>
    </w:p>
    <w:p w14:paraId="6D1FC074"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HP, informácie súvisiace s HP a s pracovno-právnymi vzťahmi,</w:t>
      </w:r>
    </w:p>
    <w:p w14:paraId="762705B8"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 xml:space="preserve">možnostiach bezplatnej registrácie na Portál SZ a možnosti zverejniť VPM elektronicky on-line prostredníctvom stránky </w:t>
      </w:r>
      <w:hyperlink r:id="rId23" w:history="1">
        <w:r w:rsidRPr="00FF1ABF">
          <w:rPr>
            <w:rFonts w:cs="Calibri"/>
            <w:color w:val="0000FF"/>
            <w:u w:val="single"/>
          </w:rPr>
          <w:t>www.sluzbyzamestnanosti.gov.sk</w:t>
        </w:r>
      </w:hyperlink>
      <w:r w:rsidRPr="00FF1ABF">
        <w:rPr>
          <w:rFonts w:cs="Calibri"/>
          <w:color w:val="000000"/>
        </w:rPr>
        <w:t xml:space="preserve">. </w:t>
      </w:r>
    </w:p>
    <w:p w14:paraId="52134D1E" w14:textId="341F97E3" w:rsidR="00DE27B1" w:rsidRDefault="00DE27B1" w:rsidP="0062585F">
      <w:pPr>
        <w:pStyle w:val="Nadpis3"/>
        <w:tabs>
          <w:tab w:val="left" w:pos="142"/>
          <w:tab w:val="left" w:pos="567"/>
        </w:tabs>
        <w:spacing w:before="240" w:after="120"/>
      </w:pPr>
      <w:bookmarkStart w:id="45" w:name="_Toc199230817"/>
      <w:r>
        <w:t>Výberové konania</w:t>
      </w:r>
      <w:bookmarkEnd w:id="45"/>
    </w:p>
    <w:p w14:paraId="337E8F4D" w14:textId="77777777" w:rsidR="00B551CC" w:rsidRDefault="00DE27B1" w:rsidP="00DE27B1">
      <w:pPr>
        <w:spacing w:before="120" w:after="0"/>
        <w:ind w:hanging="6"/>
        <w:rPr>
          <w:rFonts w:eastAsia="Calibri"/>
          <w:color w:val="000000"/>
          <w:lang w:eastAsia="en-US"/>
        </w:rPr>
      </w:pPr>
      <w:r w:rsidRPr="0055191D">
        <w:rPr>
          <w:rFonts w:eastAsia="Calibri"/>
          <w:color w:val="000000"/>
          <w:lang w:eastAsia="en-US"/>
        </w:rPr>
        <w:t xml:space="preserve">Dôležitým nástrojom pri zamestnávaní UoZ, ZoZ a občanov ohrozených HP boli v sledovanom období aj naďalej úradmi pravidelne plánované a organizované </w:t>
      </w:r>
      <w:r>
        <w:rPr>
          <w:rFonts w:eastAsia="Calibri"/>
          <w:color w:val="000000"/>
          <w:lang w:eastAsia="en-US"/>
        </w:rPr>
        <w:t>výberové konania (</w:t>
      </w:r>
      <w:r w:rsidRPr="0055191D">
        <w:rPr>
          <w:rFonts w:eastAsia="Calibri"/>
          <w:color w:val="000000"/>
          <w:lang w:eastAsia="en-US"/>
        </w:rPr>
        <w:t>VK</w:t>
      </w:r>
      <w:r>
        <w:rPr>
          <w:rFonts w:eastAsia="Calibri"/>
          <w:color w:val="000000"/>
          <w:lang w:eastAsia="en-US"/>
        </w:rPr>
        <w:t>)</w:t>
      </w:r>
      <w:r w:rsidRPr="0055191D">
        <w:rPr>
          <w:rFonts w:eastAsia="Calibri"/>
          <w:color w:val="000000"/>
          <w:lang w:eastAsia="en-US"/>
        </w:rPr>
        <w:t>.</w:t>
      </w:r>
    </w:p>
    <w:p w14:paraId="28B743A0" w14:textId="5591E1AD" w:rsidR="00DE27B1" w:rsidRPr="0055191D" w:rsidRDefault="00DE27B1" w:rsidP="00DE27B1">
      <w:pPr>
        <w:spacing w:before="120" w:after="0"/>
        <w:ind w:hanging="6"/>
      </w:pPr>
      <w:r w:rsidRPr="0055191D">
        <w:rPr>
          <w:rFonts w:eastAsia="Calibri"/>
          <w:color w:val="000000"/>
          <w:lang w:eastAsia="en-US"/>
        </w:rPr>
        <w:t> </w:t>
      </w:r>
      <w:r w:rsidRPr="0055191D">
        <w:t>Efektívnym spôsobom zvýšenia úspešnosti obsadzovania VPM prostredníctvom VK bola spolupráca pri predvýbere vhodného UoZ a účasť sprostredkovateľov ako aj agentov pre PM úradov na VK. Úspešnosť VK bola taktiež ovplyvňovaná ich organizovaním v súlade s požiadavkami a potrebami zamestnávateľov</w:t>
      </w:r>
      <w:r w:rsidR="00B551CC">
        <w:t xml:space="preserve"> priamo v ich sídle. V roku 2024</w:t>
      </w:r>
      <w:r w:rsidRPr="0055191D">
        <w:t xml:space="preserve"> bolo úradmi zorganizovaných </w:t>
      </w:r>
      <w:r w:rsidR="00B551CC">
        <w:t>2 203</w:t>
      </w:r>
      <w:r w:rsidRPr="0055191D">
        <w:t xml:space="preserve"> VK (o </w:t>
      </w:r>
      <w:r w:rsidR="00B551CC">
        <w:t>251</w:t>
      </w:r>
      <w:r w:rsidRPr="0055191D">
        <w:t xml:space="preserve"> </w:t>
      </w:r>
      <w:r w:rsidR="00B551CC">
        <w:t>viac</w:t>
      </w:r>
      <w:r w:rsidRPr="0055191D">
        <w:t xml:space="preserve"> ako v roku 202</w:t>
      </w:r>
      <w:r w:rsidR="00B551CC">
        <w:t>3</w:t>
      </w:r>
      <w:r w:rsidRPr="0055191D">
        <w:t>).  </w:t>
      </w:r>
    </w:p>
    <w:p w14:paraId="2DF4B1C9" w14:textId="1262B9F1" w:rsidR="00DE27B1" w:rsidRDefault="00B551CC" w:rsidP="00DE27B1">
      <w:pPr>
        <w:spacing w:before="120" w:after="120"/>
        <w:ind w:firstLine="0"/>
        <w:textAlignment w:val="baseline"/>
      </w:pPr>
      <w:r w:rsidRPr="00B551CC">
        <w:t>Zamestnávatelia na VK ponúkli 27 994 VPM. VK sa zúčastnilo 19 808 UoZ (o 701 UoZ viac ako v roku 2023). Počet zúčastnených UoZ na VK v roku 2024 oproti roku 2023 stúpol a úrady na jednotlivé pracovné pozície vyberali čo najvhodnejších UoZ. Úspešnosť VK vzhľadom na počet zúčastnených UoZ na VK a celkový počet klientov prijatých do zamestnania v priebehu kalendárneho roka 2024 v počte 1 171 (o 3 viac prijatých UoZ ako v roku 2023) bola 5,92 %.</w:t>
      </w:r>
    </w:p>
    <w:tbl>
      <w:tblPr>
        <w:tblW w:w="9232"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5" w:type="dxa"/>
          <w:right w:w="35" w:type="dxa"/>
        </w:tblCellMar>
        <w:tblLook w:val="04A0" w:firstRow="1" w:lastRow="0" w:firstColumn="1" w:lastColumn="0" w:noHBand="0" w:noVBand="1"/>
      </w:tblPr>
      <w:tblGrid>
        <w:gridCol w:w="7646"/>
        <w:gridCol w:w="1586"/>
      </w:tblGrid>
      <w:tr w:rsidR="00B551CC" w:rsidRPr="00DE27B1" w14:paraId="50D7CEC2" w14:textId="77777777" w:rsidTr="00DB1AEA">
        <w:trPr>
          <w:trHeight w:val="219"/>
        </w:trPr>
        <w:tc>
          <w:tcPr>
            <w:tcW w:w="7646" w:type="dxa"/>
            <w:shd w:val="clear" w:color="auto" w:fill="auto"/>
            <w:vAlign w:val="center"/>
            <w:hideMark/>
          </w:tcPr>
          <w:p w14:paraId="24D62110" w14:textId="77777777" w:rsidR="00B551CC" w:rsidRPr="00CD0895" w:rsidRDefault="00B551CC" w:rsidP="00B551CC">
            <w:pPr>
              <w:autoSpaceDE w:val="0"/>
              <w:autoSpaceDN w:val="0"/>
              <w:adjustRightInd w:val="0"/>
              <w:spacing w:after="0"/>
              <w:ind w:hanging="6"/>
              <w:rPr>
                <w:rFonts w:ascii="Calibri" w:hAnsi="Calibri" w:cs="Calibri"/>
                <w:b/>
                <w:bCs/>
                <w:sz w:val="20"/>
                <w:szCs w:val="20"/>
              </w:rPr>
            </w:pPr>
            <w:r w:rsidRPr="00CD0895">
              <w:rPr>
                <w:rFonts w:ascii="Calibri" w:hAnsi="Calibri" w:cs="Calibri"/>
                <w:b/>
                <w:bCs/>
                <w:sz w:val="20"/>
                <w:szCs w:val="20"/>
              </w:rPr>
              <w:t>Počet VK v roku 2023</w:t>
            </w:r>
          </w:p>
        </w:tc>
        <w:tc>
          <w:tcPr>
            <w:tcW w:w="1586" w:type="dxa"/>
            <w:shd w:val="clear" w:color="auto" w:fill="auto"/>
            <w:vAlign w:val="center"/>
          </w:tcPr>
          <w:p w14:paraId="73E6FC85" w14:textId="0B439C29" w:rsidR="00B551CC" w:rsidRPr="00B551CC" w:rsidRDefault="00B551CC" w:rsidP="00B551CC">
            <w:pPr>
              <w:autoSpaceDE w:val="0"/>
              <w:autoSpaceDN w:val="0"/>
              <w:adjustRightInd w:val="0"/>
              <w:spacing w:after="0"/>
              <w:ind w:hanging="6"/>
              <w:jc w:val="right"/>
              <w:rPr>
                <w:rFonts w:ascii="Calibri" w:hAnsi="Calibri" w:cs="Calibri"/>
                <w:bCs/>
                <w:sz w:val="20"/>
                <w:szCs w:val="20"/>
              </w:rPr>
            </w:pPr>
            <w:r w:rsidRPr="00B551CC">
              <w:rPr>
                <w:bCs/>
                <w:sz w:val="20"/>
                <w:szCs w:val="20"/>
              </w:rPr>
              <w:t>2 203</w:t>
            </w:r>
          </w:p>
        </w:tc>
      </w:tr>
      <w:tr w:rsidR="00B551CC" w:rsidRPr="00DE27B1" w14:paraId="15281303" w14:textId="77777777" w:rsidTr="00DB1AEA">
        <w:trPr>
          <w:trHeight w:val="219"/>
        </w:trPr>
        <w:tc>
          <w:tcPr>
            <w:tcW w:w="7646" w:type="dxa"/>
            <w:shd w:val="clear" w:color="auto" w:fill="auto"/>
            <w:vAlign w:val="center"/>
            <w:hideMark/>
          </w:tcPr>
          <w:p w14:paraId="0223CADD" w14:textId="77777777" w:rsidR="00B551CC" w:rsidRPr="00CD0895" w:rsidRDefault="00B551CC" w:rsidP="00B551CC">
            <w:pPr>
              <w:autoSpaceDE w:val="0"/>
              <w:autoSpaceDN w:val="0"/>
              <w:adjustRightInd w:val="0"/>
              <w:spacing w:after="0"/>
              <w:ind w:hanging="6"/>
              <w:rPr>
                <w:rFonts w:ascii="Calibri" w:hAnsi="Calibri" w:cs="Calibri"/>
                <w:b/>
                <w:bCs/>
                <w:sz w:val="20"/>
                <w:szCs w:val="20"/>
              </w:rPr>
            </w:pPr>
            <w:r w:rsidRPr="00CD0895">
              <w:rPr>
                <w:rFonts w:ascii="Calibri" w:hAnsi="Calibri" w:cs="Calibri"/>
                <w:b/>
                <w:bCs/>
                <w:sz w:val="20"/>
                <w:szCs w:val="20"/>
              </w:rPr>
              <w:t>Počet ponúknutých VPM pre VK</w:t>
            </w:r>
          </w:p>
        </w:tc>
        <w:tc>
          <w:tcPr>
            <w:tcW w:w="1586" w:type="dxa"/>
            <w:shd w:val="clear" w:color="auto" w:fill="auto"/>
            <w:vAlign w:val="center"/>
          </w:tcPr>
          <w:p w14:paraId="62831823" w14:textId="3BCA8977" w:rsidR="00B551CC" w:rsidRPr="00B551CC" w:rsidRDefault="00B551CC" w:rsidP="00B551CC">
            <w:pPr>
              <w:autoSpaceDE w:val="0"/>
              <w:autoSpaceDN w:val="0"/>
              <w:adjustRightInd w:val="0"/>
              <w:spacing w:after="0"/>
              <w:ind w:hanging="6"/>
              <w:jc w:val="right"/>
              <w:rPr>
                <w:rFonts w:ascii="Calibri" w:hAnsi="Calibri" w:cs="Calibri"/>
                <w:sz w:val="20"/>
                <w:szCs w:val="20"/>
              </w:rPr>
            </w:pPr>
            <w:r w:rsidRPr="00B551CC">
              <w:rPr>
                <w:sz w:val="20"/>
                <w:szCs w:val="20"/>
              </w:rPr>
              <w:t>27 994</w:t>
            </w:r>
          </w:p>
        </w:tc>
      </w:tr>
      <w:tr w:rsidR="00B551CC" w:rsidRPr="00DE27B1" w14:paraId="3B331DC3" w14:textId="77777777" w:rsidTr="00DB1AEA">
        <w:trPr>
          <w:trHeight w:val="219"/>
        </w:trPr>
        <w:tc>
          <w:tcPr>
            <w:tcW w:w="7646" w:type="dxa"/>
            <w:shd w:val="clear" w:color="auto" w:fill="auto"/>
            <w:vAlign w:val="center"/>
            <w:hideMark/>
          </w:tcPr>
          <w:p w14:paraId="3D6E1D4D" w14:textId="77777777" w:rsidR="00B551CC" w:rsidRPr="00CD0895" w:rsidRDefault="00B551CC" w:rsidP="00B551CC">
            <w:pPr>
              <w:autoSpaceDE w:val="0"/>
              <w:autoSpaceDN w:val="0"/>
              <w:adjustRightInd w:val="0"/>
              <w:spacing w:after="0"/>
              <w:ind w:hanging="6"/>
              <w:rPr>
                <w:rFonts w:ascii="Calibri" w:hAnsi="Calibri" w:cs="Calibri"/>
                <w:b/>
                <w:bCs/>
                <w:sz w:val="20"/>
                <w:szCs w:val="20"/>
              </w:rPr>
            </w:pPr>
            <w:r w:rsidRPr="00CD0895">
              <w:rPr>
                <w:rFonts w:ascii="Calibri" w:hAnsi="Calibri" w:cs="Calibri"/>
                <w:b/>
                <w:bCs/>
                <w:sz w:val="20"/>
                <w:szCs w:val="20"/>
              </w:rPr>
              <w:t>Celkový počet zúčastnených UoZ</w:t>
            </w:r>
          </w:p>
        </w:tc>
        <w:tc>
          <w:tcPr>
            <w:tcW w:w="1586" w:type="dxa"/>
            <w:shd w:val="clear" w:color="auto" w:fill="auto"/>
            <w:vAlign w:val="center"/>
          </w:tcPr>
          <w:p w14:paraId="2DD2FC41" w14:textId="64087963" w:rsidR="00B551CC" w:rsidRPr="00B551CC" w:rsidRDefault="00B551CC" w:rsidP="00B551CC">
            <w:pPr>
              <w:autoSpaceDE w:val="0"/>
              <w:autoSpaceDN w:val="0"/>
              <w:adjustRightInd w:val="0"/>
              <w:spacing w:after="0"/>
              <w:ind w:hanging="6"/>
              <w:jc w:val="right"/>
              <w:rPr>
                <w:rFonts w:ascii="Calibri" w:hAnsi="Calibri" w:cs="Calibri"/>
                <w:bCs/>
                <w:sz w:val="20"/>
                <w:szCs w:val="20"/>
              </w:rPr>
            </w:pPr>
            <w:r w:rsidRPr="00B551CC">
              <w:rPr>
                <w:bCs/>
                <w:sz w:val="20"/>
                <w:szCs w:val="20"/>
              </w:rPr>
              <w:t>19 808</w:t>
            </w:r>
          </w:p>
        </w:tc>
      </w:tr>
      <w:tr w:rsidR="00B551CC" w:rsidRPr="00DE27B1" w14:paraId="7BA5E298" w14:textId="77777777" w:rsidTr="00DB1AEA">
        <w:trPr>
          <w:trHeight w:val="219"/>
        </w:trPr>
        <w:tc>
          <w:tcPr>
            <w:tcW w:w="7646" w:type="dxa"/>
            <w:shd w:val="clear" w:color="auto" w:fill="auto"/>
            <w:vAlign w:val="center"/>
            <w:hideMark/>
          </w:tcPr>
          <w:p w14:paraId="33099204" w14:textId="77777777" w:rsidR="00B551CC" w:rsidRPr="00CD0895" w:rsidRDefault="00B551CC" w:rsidP="00B551CC">
            <w:pPr>
              <w:autoSpaceDE w:val="0"/>
              <w:autoSpaceDN w:val="0"/>
              <w:adjustRightInd w:val="0"/>
              <w:spacing w:after="0"/>
              <w:ind w:hanging="6"/>
              <w:rPr>
                <w:rFonts w:ascii="Calibri" w:hAnsi="Calibri" w:cs="Calibri"/>
                <w:b/>
                <w:bCs/>
                <w:sz w:val="20"/>
                <w:szCs w:val="20"/>
              </w:rPr>
            </w:pPr>
            <w:r w:rsidRPr="00CD0895">
              <w:rPr>
                <w:rFonts w:ascii="Calibri" w:hAnsi="Calibri" w:cs="Calibri"/>
                <w:b/>
                <w:bCs/>
                <w:sz w:val="20"/>
                <w:szCs w:val="20"/>
              </w:rPr>
              <w:t>Celkový počet prijatých UoZ</w:t>
            </w:r>
          </w:p>
        </w:tc>
        <w:tc>
          <w:tcPr>
            <w:tcW w:w="1586" w:type="dxa"/>
            <w:shd w:val="clear" w:color="auto" w:fill="auto"/>
            <w:vAlign w:val="center"/>
          </w:tcPr>
          <w:p w14:paraId="0D2C44F1" w14:textId="3425BF08" w:rsidR="00B551CC" w:rsidRPr="00B551CC" w:rsidRDefault="00B551CC" w:rsidP="00B551CC">
            <w:pPr>
              <w:autoSpaceDE w:val="0"/>
              <w:autoSpaceDN w:val="0"/>
              <w:adjustRightInd w:val="0"/>
              <w:spacing w:after="0"/>
              <w:ind w:hanging="6"/>
              <w:jc w:val="right"/>
              <w:rPr>
                <w:rFonts w:ascii="Calibri" w:hAnsi="Calibri" w:cs="Calibri"/>
                <w:bCs/>
                <w:sz w:val="20"/>
                <w:szCs w:val="20"/>
              </w:rPr>
            </w:pPr>
            <w:r w:rsidRPr="00B551CC">
              <w:rPr>
                <w:bCs/>
                <w:sz w:val="20"/>
                <w:szCs w:val="20"/>
              </w:rPr>
              <w:t>1 171</w:t>
            </w:r>
          </w:p>
        </w:tc>
      </w:tr>
      <w:tr w:rsidR="00B551CC" w:rsidRPr="00DE27B1" w14:paraId="2E540608" w14:textId="77777777" w:rsidTr="00DB1AEA">
        <w:trPr>
          <w:trHeight w:val="33"/>
        </w:trPr>
        <w:tc>
          <w:tcPr>
            <w:tcW w:w="7646" w:type="dxa"/>
            <w:shd w:val="clear" w:color="auto" w:fill="auto"/>
            <w:vAlign w:val="center"/>
            <w:hideMark/>
          </w:tcPr>
          <w:p w14:paraId="25F2CBD8" w14:textId="77777777" w:rsidR="00B551CC" w:rsidRPr="00CD0895" w:rsidRDefault="00B551CC" w:rsidP="00B551CC">
            <w:pPr>
              <w:autoSpaceDE w:val="0"/>
              <w:autoSpaceDN w:val="0"/>
              <w:adjustRightInd w:val="0"/>
              <w:spacing w:after="0"/>
              <w:ind w:hanging="6"/>
              <w:rPr>
                <w:rFonts w:ascii="Calibri" w:hAnsi="Calibri" w:cs="Calibri"/>
                <w:b/>
                <w:bCs/>
                <w:sz w:val="20"/>
                <w:szCs w:val="20"/>
              </w:rPr>
            </w:pPr>
            <w:r w:rsidRPr="00CD0895">
              <w:rPr>
                <w:rFonts w:ascii="Calibri" w:hAnsi="Calibri" w:cs="Calibri"/>
                <w:b/>
                <w:bCs/>
                <w:sz w:val="20"/>
                <w:szCs w:val="20"/>
              </w:rPr>
              <w:t xml:space="preserve">Úspešnosť VK </w:t>
            </w:r>
            <w:r w:rsidRPr="00CD0895">
              <w:rPr>
                <w:rFonts w:ascii="Calibri" w:hAnsi="Calibri" w:cs="Calibri"/>
                <w:bCs/>
                <w:sz w:val="20"/>
                <w:szCs w:val="20"/>
              </w:rPr>
              <w:t>(v %)</w:t>
            </w:r>
          </w:p>
        </w:tc>
        <w:tc>
          <w:tcPr>
            <w:tcW w:w="1586" w:type="dxa"/>
            <w:shd w:val="clear" w:color="auto" w:fill="auto"/>
            <w:vAlign w:val="center"/>
          </w:tcPr>
          <w:p w14:paraId="7AF943E7" w14:textId="271E573F" w:rsidR="00B551CC" w:rsidRPr="00B551CC" w:rsidRDefault="00B551CC" w:rsidP="00B551CC">
            <w:pPr>
              <w:autoSpaceDE w:val="0"/>
              <w:autoSpaceDN w:val="0"/>
              <w:adjustRightInd w:val="0"/>
              <w:spacing w:after="0"/>
              <w:ind w:hanging="6"/>
              <w:jc w:val="right"/>
              <w:rPr>
                <w:rFonts w:ascii="Calibri" w:hAnsi="Calibri" w:cs="Calibri"/>
                <w:bCs/>
                <w:sz w:val="20"/>
                <w:szCs w:val="20"/>
              </w:rPr>
            </w:pPr>
            <w:r w:rsidRPr="00B551CC">
              <w:rPr>
                <w:bCs/>
                <w:sz w:val="20"/>
                <w:szCs w:val="20"/>
              </w:rPr>
              <w:t xml:space="preserve">5,92 </w:t>
            </w:r>
          </w:p>
        </w:tc>
      </w:tr>
    </w:tbl>
    <w:p w14:paraId="6878325A" w14:textId="7EBDCEEC" w:rsidR="00DE27B1" w:rsidRDefault="0062585F" w:rsidP="00DE27B1">
      <w:pPr>
        <w:pStyle w:val="Nadpis3"/>
        <w:tabs>
          <w:tab w:val="left" w:pos="567"/>
        </w:tabs>
        <w:spacing w:before="240" w:after="120"/>
        <w:ind w:left="6" w:hanging="6"/>
      </w:pPr>
      <w:r>
        <w:t xml:space="preserve"> </w:t>
      </w:r>
      <w:bookmarkStart w:id="46" w:name="_Toc199230818"/>
      <w:r w:rsidR="00DE27B1">
        <w:t>Burzy práce a informácií</w:t>
      </w:r>
      <w:bookmarkEnd w:id="46"/>
      <w:r w:rsidR="00DE27B1">
        <w:t xml:space="preserve"> </w:t>
      </w:r>
    </w:p>
    <w:p w14:paraId="0579D747" w14:textId="55F7A38C" w:rsidR="006E0F04" w:rsidRDefault="006E0F04" w:rsidP="006E0F04">
      <w:r>
        <w:t xml:space="preserve">V roku 2024 úrady zorganizovali 20 búrz práce a informácií (ďalej len „BPaI“), na ktorých boli prezentované VPM. Pracovníci úradov poskytli klientom odborné poradenstvo v oblasti kariérneho plánovania, informácie o národných aktivačných programoch a o možnosti vykonávania absolventskej praxe u zamestnávateľa, o príspevku na dochádzku za prácou a tiež o možnostiach VzPrTP, o príspevku na aktivačnú činnosť, ako aj o ďalších aktivačných a ochranných príspevkoch.   </w:t>
      </w:r>
    </w:p>
    <w:p w14:paraId="2E447139" w14:textId="77777777" w:rsidR="006E0F04" w:rsidRDefault="006E0F04" w:rsidP="006E0F04">
      <w:r>
        <w:lastRenderedPageBreak/>
        <w:t xml:space="preserve">Klienti tak mohli „pod jednou strechou“ získať ucelený obraz o aktuálnej ponuke na trhu práce a možnostiach pracovného uplatnenia.   </w:t>
      </w:r>
    </w:p>
    <w:p w14:paraId="12B8548D" w14:textId="77777777" w:rsidR="006E0F04" w:rsidRDefault="006E0F04" w:rsidP="006E0F04">
      <w:r>
        <w:t xml:space="preserve">BPaI boli zamerané na VPM v oblasti cestovného ruchu - gastronomické a ubytovacie služby, doplnkové služby v oblasti cestovného ruchu v rôznych profesiách - manažér stravovacieho zariadenia, prevádzkar ubytovacieho a stravovacieho zariadenia, hotelový recepčný, kuchár, šéfkuchár, čašník, servírka, pomocník v kuchyni, chyžná. BPaI boli tiež zamerané na oblasť ťažobného priemyslu, potravinového priemyslu, poľnohospodárstva, automobilového  priemyslu, výroby obuvi, strojársky priemysel – v rôznych profesiách - montážny pracovník, výrobný pracovník, operátor výroby, skladník, elektromechanik, ale aj na oblasť dopravy - vlakvedúci, rušňovodič, pokladník. Úrady BPaI zorganizovali pre rôzne cieľové skupiny - UoZ do 29 rokov, dlhodobo evidovaných UoZ, zamestnancov ohrozených HP, UoZ, ktorí si aktívne hľadajú zamestnanie a širokú verejnosť. BPaI boli zamerané na prepojenie regionálneho trhu práce a odborného vzdelávania s dôrazom na systém duálneho vzdelávania a ponuku VPM. </w:t>
      </w:r>
    </w:p>
    <w:p w14:paraId="44906B95" w14:textId="77777777" w:rsidR="006E0F04" w:rsidRDefault="006E0F04" w:rsidP="00CD0895">
      <w:pPr>
        <w:spacing w:before="120" w:after="0"/>
        <w:ind w:hanging="6"/>
      </w:pPr>
      <w:r>
        <w:t xml:space="preserve">Na BPaI sa zúčastnilo 264 zamestnávateľov. Zamestnávatelia ponúkli spolu 99 472 VPM  a 7 874 VPM v rámci siete EURES. BPaI sa zúčastnilo 8 143 UoZ, z ktorých  bolo 278 prijatých do zamestnania. Zamestnávatelia si 904 UoZ vybrali do užšieho výberu a 226 UoZ získalo prísľub do zamestnania od zamestnávateľa.    </w:t>
      </w:r>
    </w:p>
    <w:p w14:paraId="737BFC1B" w14:textId="77777777" w:rsidR="006E0F04" w:rsidRDefault="006E0F04" w:rsidP="00CD0895">
      <w:pPr>
        <w:spacing w:before="120" w:after="0"/>
        <w:ind w:hanging="6"/>
      </w:pPr>
      <w:r>
        <w:t>BPaI boli zorganizované na úradoch Brezno (2), Dunajská Streda, Komárno, Liptovský Mikuláš, Nitra (2), Nová Zámky, Partizánske, Považská Bystrica, Revúca (2), Rimavská Sobota (2), Rožňava, Senica, Topoľčany, Trenčín, Trnava, Žilina.</w:t>
      </w:r>
    </w:p>
    <w:p w14:paraId="52B81E22" w14:textId="34A22346" w:rsidR="006E0F04" w:rsidRDefault="006E0F04" w:rsidP="00CD0895">
      <w:pPr>
        <w:spacing w:before="120" w:after="0"/>
        <w:ind w:hanging="6"/>
      </w:pPr>
      <w:r>
        <w:t xml:space="preserve">Návštevníci mali okrem možnosti nájsť si zamestnanie aj príležitosť nadobudnúť komplexnejšie informácie o TP a o spôsoboch uplatnenia sa na ňom. Výhodou bol najmä osobný kontakt </w:t>
      </w:r>
      <w:r w:rsidR="00CD0895">
        <w:t xml:space="preserve">               </w:t>
      </w:r>
      <w:r>
        <w:t>a možnosť informovať sa na vybrané pracovné pozície priamo u konkrétnych zamestnávateľov.</w:t>
      </w:r>
    </w:p>
    <w:p w14:paraId="1DB3C75F" w14:textId="77622B18" w:rsidR="00345C4D" w:rsidRDefault="00345C4D" w:rsidP="00345C4D">
      <w:pPr>
        <w:pStyle w:val="Nadpis3"/>
        <w:spacing w:before="240" w:after="0"/>
      </w:pPr>
      <w:bookmarkStart w:id="47" w:name="_Toc199230819"/>
      <w:r>
        <w:t>Raňajky so zamestnávateľmi</w:t>
      </w:r>
      <w:bookmarkEnd w:id="47"/>
    </w:p>
    <w:p w14:paraId="50782E36" w14:textId="60126E9F" w:rsidR="00345C4D" w:rsidRPr="00345C4D" w:rsidRDefault="00345C4D" w:rsidP="00345C4D">
      <w:pPr>
        <w:spacing w:before="120" w:after="0"/>
        <w:ind w:hanging="6"/>
      </w:pPr>
      <w:r w:rsidRPr="00345C4D">
        <w:t xml:space="preserve">V roku 2024 zrealizovalo aktivitu Raňajky so zamestnávateľmi 44 úradov – Banská Bystrica, Bardejov (2), Bratislava (2), Brezno, Čadca, Dolný Kubín (3), Dunajská Streda, Galanta, Humenné (2), Kežmarok, Komárno (3), Košice, Levice, Liptovský Mikuláš (2), Lučenec (2), Malacky, Martin, Michalovce (2), Námestovo (3), Nitra (4), Nové Mesto nad Váhom, Nové Zámky (2), Partizánske (2), Pezinok (2), Piešťany (2), Poprad, Považská Bystrica (3), Prešov, Revúca (3), Rimavská Sobota, Rožňava, Ružomberok, Senica, Spišská Nová Ves (2), Stará Ľubovňa (4), Stropkov, Topoľčany, Trebišov (2), Trenčín (2), Trnava (2), Veľký Krtíš, Vranov nad Topľou, Zvolen (2) a Žilina (2). Aktivity sa zúčastnilo celkovo 1 685 zamestnávateľov, starostov, zástupcov miest a obcí. </w:t>
      </w:r>
    </w:p>
    <w:p w14:paraId="2D91A18A" w14:textId="77777777" w:rsidR="00345C4D" w:rsidRPr="00345C4D" w:rsidRDefault="00345C4D" w:rsidP="00345C4D">
      <w:pPr>
        <w:spacing w:before="120" w:after="0"/>
        <w:ind w:hanging="6"/>
      </w:pPr>
      <w:r w:rsidRPr="00345C4D">
        <w:t xml:space="preserve">Hlavným cieľom uvedenej aktivity bolo skvalitnenie a prehlbovanie vzájomnej spolupráce, informovanie zamestnávateľov o aktuálnej situácii na trhu práce, informovanie zamestnávateľov o realizovaných národných projektoch a nástrojoch aktívnej politiky trhu práce,  o možnostiach využívania služieb, ktoré úrady poskytujú a ďalším vývojom zamestnanosti. Úrady na stretnutiach informovali o možnosti bezplatného využívania štátneho pracovného portálu </w:t>
      </w:r>
      <w:hyperlink r:id="rId24">
        <w:r w:rsidRPr="00345C4D">
          <w:rPr>
            <w:rStyle w:val="Hypertextovprepojenie"/>
          </w:rPr>
          <w:t>www.sluzbyzamestnanosti.gov.sk</w:t>
        </w:r>
      </w:hyperlink>
      <w:r w:rsidRPr="00345C4D">
        <w:t xml:space="preserve"> a ponúkli zamestnávateľom pomoc pri online registrácii na portál a postupe pri vypĺňaní formuláru prihlášky VPM. Zároveň poskytli aktuálne informácie o pripravovaných zmenách v legislatíve súvisiacej so zamestnávaním štátnych príslušníkov tretích krajín a občanov krajín EÚ/EHP.  </w:t>
      </w:r>
    </w:p>
    <w:p w14:paraId="46EEEF64" w14:textId="32EAD32A" w:rsidR="00345C4D" w:rsidRDefault="00345C4D" w:rsidP="00345C4D">
      <w:pPr>
        <w:spacing w:before="120" w:after="0"/>
        <w:ind w:hanging="6"/>
      </w:pPr>
      <w:r w:rsidRPr="00345C4D">
        <w:t xml:space="preserve">Okrem všeobecných informácií o službách zamestnanosti úrady poskytovali informácie o aktívnych opatreniach na TP so zameraním na aktuálne národné projekty. Poskytli informácie ohľadom ročného výkazu o plnení povinného podielu zamestnávania občanov so ZP v elektronickej podobe. Úrady tiež informovali prítomných o zriadení bezplatného dlhového poradenstva a možnosti využitia jeho služieb. </w:t>
      </w:r>
    </w:p>
    <w:p w14:paraId="75B3B398" w14:textId="77777777" w:rsidR="00C25B92" w:rsidRPr="00345C4D" w:rsidRDefault="00C25B92" w:rsidP="00345C4D">
      <w:pPr>
        <w:spacing w:before="120" w:after="0"/>
        <w:ind w:hanging="6"/>
      </w:pPr>
    </w:p>
    <w:p w14:paraId="6EF0C86C" w14:textId="137BF6F1" w:rsidR="00DE27B1" w:rsidRDefault="009418BA" w:rsidP="006E0F04">
      <w:pPr>
        <w:pStyle w:val="Nadpis3"/>
        <w:spacing w:after="0"/>
      </w:pPr>
      <w:bookmarkStart w:id="48" w:name="_Toc199230820"/>
      <w:r>
        <w:lastRenderedPageBreak/>
        <w:t>Eur</w:t>
      </w:r>
      <w:r w:rsidR="00DE27B1" w:rsidRPr="0062585F">
        <w:t>ópske služby zamestnanosti /</w:t>
      </w:r>
      <w:r>
        <w:t>EUR</w:t>
      </w:r>
      <w:r w:rsidR="00DE27B1" w:rsidRPr="0062585F">
        <w:t>ES/ pre zamestnávateľov – NP SHP II.</w:t>
      </w:r>
      <w:bookmarkEnd w:id="48"/>
    </w:p>
    <w:p w14:paraId="4777847E" w14:textId="4EDF626D" w:rsidR="00345C4D" w:rsidRPr="00345C4D" w:rsidRDefault="00345C4D" w:rsidP="00345C4D">
      <w:pPr>
        <w:spacing w:before="120" w:after="0"/>
        <w:ind w:hanging="6"/>
      </w:pPr>
      <w:r w:rsidRPr="00345C4D">
        <w:t>Hlavným cieľom NP bolo zvýšenie dostupnosti a kvality odborných služieb poskytovaných v oblasti mobility pracovnej sily v rámci Európskej únie/Európskeho hospodárskeho priestoru (ďalej len „EÚ/EHP“) a Švajčiarska prostredníctvom siete EURES. Skvalitnenie verejných služieb zamestnanosti, služieb EURES prispeje k  zlepšeniu postavenia UoZ na TP v rámci pracovného trhu EÚ/EHP a Švajčiarska, k zvýšeniu ich zamestnanosti a zamestnateľnosti, zlepšeniu prepojenia verejných a neverejných služieb zamestnanosti a spolupráce so zamestnávateľmi a školami. Realizáciou NP sa prispeje k uľahčeniu voľného pohybu pracovnej sily v rámci EÚ/EHP a k zníženiu nezamestnanosti, tak na Slovensku, ako aj celkovo v krajinách EÚ/EHP. </w:t>
      </w:r>
    </w:p>
    <w:p w14:paraId="4F22AA11" w14:textId="422545F2" w:rsidR="00345C4D" w:rsidRPr="00345C4D" w:rsidRDefault="00345C4D" w:rsidP="00F003F0">
      <w:pPr>
        <w:spacing w:before="120" w:after="0"/>
        <w:ind w:hanging="6"/>
      </w:pPr>
      <w:r w:rsidRPr="00345C4D">
        <w:t>Pracovné pozície zamestnávateľov z krajín EÚ/EHP sú uverejňované na webovej stránke eures.sk a ponúkané EURES poradcami</w:t>
      </w:r>
      <w:r w:rsidR="0090767F">
        <w:t xml:space="preserve"> v rámci poradenstva na úradoch</w:t>
      </w:r>
      <w:r w:rsidRPr="00345C4D">
        <w:t xml:space="preserve">. Slovenskí zamestnávatelia vyhľadávajú naše služby za účelom obsadenia voľných pracovných  miest pracovníkmi z krajín EÚ/EHP, informujeme o potrebných formalitách v rámci mobility a organizujeme im špecifické prezentácie. V roku 2024 sa uskutočnilo 20 prezentácií pre slovenských zamestnávateľov v počte 499 účastníkov. </w:t>
      </w:r>
    </w:p>
    <w:p w14:paraId="7FE33546" w14:textId="77777777" w:rsidR="00345C4D" w:rsidRPr="00345C4D" w:rsidRDefault="00345C4D" w:rsidP="00F003F0">
      <w:pPr>
        <w:spacing w:before="120" w:after="0"/>
        <w:ind w:hanging="6"/>
        <w:rPr>
          <w:b/>
          <w:bCs/>
        </w:rPr>
      </w:pPr>
      <w:r w:rsidRPr="00345C4D">
        <w:t>Celkový počet kontaktov so zamestnávateľmi počas roku 2024 – </w:t>
      </w:r>
      <w:r w:rsidRPr="00345C4D">
        <w:rPr>
          <w:bCs/>
        </w:rPr>
        <w:t>3 306.</w:t>
      </w:r>
    </w:p>
    <w:p w14:paraId="4A7FBC3C" w14:textId="05A4D8BE" w:rsidR="00345C4D" w:rsidRPr="00345C4D" w:rsidRDefault="00345C4D" w:rsidP="00F003F0">
      <w:pPr>
        <w:spacing w:before="120" w:after="0"/>
        <w:ind w:hanging="6"/>
      </w:pPr>
      <w:r w:rsidRPr="00345C4D">
        <w:t>Počet uverejnených voľných pracovných miest na stránke eures.sk – </w:t>
      </w:r>
      <w:r w:rsidRPr="00345C4D">
        <w:rPr>
          <w:bCs/>
        </w:rPr>
        <w:t>3 598</w:t>
      </w:r>
      <w:r w:rsidRPr="00345C4D">
        <w:t>, zverejnených v rámci 653 pracovných ponúk. Najviac zver</w:t>
      </w:r>
      <w:r w:rsidR="00CD0895">
        <w:t>ejnených ponúk bolo v mesiacoch</w:t>
      </w:r>
      <w:r w:rsidRPr="00345C4D">
        <w:t xml:space="preserve"> január, február a september.</w:t>
      </w:r>
    </w:p>
    <w:p w14:paraId="41493CBF" w14:textId="7AD5EE8A" w:rsidR="00DE27B1" w:rsidRPr="0062585F" w:rsidRDefault="00DE27B1" w:rsidP="007A5213">
      <w:pPr>
        <w:pStyle w:val="Nadpis3"/>
        <w:spacing w:before="240" w:after="0"/>
      </w:pPr>
      <w:bookmarkStart w:id="49" w:name="_Toc199230821"/>
      <w:r w:rsidRPr="0062585F">
        <w:t xml:space="preserve">Výberové </w:t>
      </w:r>
      <w:r w:rsidRPr="00F003F0">
        <w:t xml:space="preserve">pohovory </w:t>
      </w:r>
      <w:r w:rsidR="00F003F0" w:rsidRPr="00F003F0">
        <w:rPr>
          <w:rFonts w:eastAsia="Lucida Sans Unicode"/>
          <w:color w:val="000000" w:themeColor="text1"/>
        </w:rPr>
        <w:t>a stáže</w:t>
      </w:r>
      <w:r w:rsidR="00F003F0" w:rsidRPr="0062585F">
        <w:t xml:space="preserve"> </w:t>
      </w:r>
      <w:r w:rsidRPr="0062585F">
        <w:t>pre záujemcov o prácu v krajinách EÚ/EHP</w:t>
      </w:r>
      <w:bookmarkEnd w:id="49"/>
    </w:p>
    <w:p w14:paraId="31AC4766" w14:textId="2EE3EEB1" w:rsidR="00DE27B1" w:rsidRDefault="00DE27B1" w:rsidP="007A5213">
      <w:pPr>
        <w:widowControl w:val="0"/>
        <w:suppressAutoHyphens/>
        <w:spacing w:before="120" w:after="0"/>
        <w:ind w:hanging="6"/>
        <w:rPr>
          <w:rFonts w:eastAsia="Lucida Sans Unicode"/>
          <w:b/>
          <w:color w:val="000000" w:themeColor="text1"/>
        </w:rPr>
      </w:pPr>
      <w:r>
        <w:rPr>
          <w:rFonts w:eastAsia="Lucida Sans Unicode"/>
          <w:b/>
          <w:color w:val="000000" w:themeColor="text1"/>
        </w:rPr>
        <w:t xml:space="preserve">Výberové pohovory </w:t>
      </w:r>
    </w:p>
    <w:p w14:paraId="79BDCFEA" w14:textId="77777777" w:rsidR="00F003F0" w:rsidRPr="00F003F0" w:rsidRDefault="00F003F0" w:rsidP="00CD0895">
      <w:pPr>
        <w:spacing w:after="0"/>
        <w:ind w:hanging="6"/>
      </w:pPr>
      <w:r w:rsidRPr="00F003F0">
        <w:t xml:space="preserve">Jednou zo služieb, ktoré sieť EURES Slovensko ponúka zahraničným zamestnávateľom, je pomoc a asistencia pri náborových aktivitách. </w:t>
      </w:r>
    </w:p>
    <w:p w14:paraId="01DE481C" w14:textId="77777777" w:rsidR="00F003F0" w:rsidRPr="00F003F0" w:rsidRDefault="00F003F0" w:rsidP="00F003F0">
      <w:r w:rsidRPr="00F003F0">
        <w:t xml:space="preserve">Počet výberových pohovorov v roku 2024: </w:t>
      </w:r>
      <w:r w:rsidRPr="00F003F0">
        <w:rPr>
          <w:b/>
        </w:rPr>
        <w:t>10</w:t>
      </w:r>
    </w:p>
    <w:p w14:paraId="478116A4" w14:textId="77777777" w:rsidR="00F003F0" w:rsidRPr="00F003F0" w:rsidRDefault="00F003F0" w:rsidP="00F003F0">
      <w:r w:rsidRPr="00F003F0">
        <w:t>Miesto konania: Komárno a Liptovský Mikuláš</w:t>
      </w:r>
    </w:p>
    <w:p w14:paraId="3E4E5B76" w14:textId="77777777" w:rsidR="00F003F0" w:rsidRPr="00F003F0" w:rsidRDefault="00F003F0" w:rsidP="00F003F0">
      <w:r w:rsidRPr="00F003F0">
        <w:t>Pracovné pozície: operátor vo výrobe, technik kvality, operátor balenia a kontroly hotových výrobkov, operátor strojov, pracovník na triedenie plodín, TIG zvárač, montážnik potravinárskych strojov.</w:t>
      </w:r>
    </w:p>
    <w:p w14:paraId="5F178C17" w14:textId="77777777" w:rsidR="00F003F0" w:rsidRPr="00F003F0" w:rsidRDefault="00F003F0" w:rsidP="00F003F0">
      <w:r w:rsidRPr="00F003F0">
        <w:t xml:space="preserve">Počet účastníkov: </w:t>
      </w:r>
      <w:r w:rsidRPr="00F003F0">
        <w:rPr>
          <w:b/>
        </w:rPr>
        <w:t>198</w:t>
      </w:r>
    </w:p>
    <w:p w14:paraId="25664079" w14:textId="77777777" w:rsidR="00F003F0" w:rsidRPr="00F003F0" w:rsidRDefault="00F003F0" w:rsidP="00F003F0">
      <w:r w:rsidRPr="00F003F0">
        <w:t xml:space="preserve">Počet zamestnaných: </w:t>
      </w:r>
      <w:r w:rsidRPr="00F003F0">
        <w:rPr>
          <w:b/>
        </w:rPr>
        <w:t>22</w:t>
      </w:r>
    </w:p>
    <w:p w14:paraId="724B8EBF" w14:textId="40F914B2" w:rsidR="00DE27B1" w:rsidRDefault="00DE27B1" w:rsidP="00C25B92">
      <w:pPr>
        <w:spacing w:before="120" w:after="0"/>
        <w:ind w:hanging="6"/>
        <w:rPr>
          <w:b/>
          <w:bCs/>
          <w:color w:val="000000" w:themeColor="text1"/>
        </w:rPr>
      </w:pPr>
      <w:r>
        <w:rPr>
          <w:b/>
          <w:bCs/>
          <w:color w:val="000000" w:themeColor="text1"/>
        </w:rPr>
        <w:t>Stážové pobyty</w:t>
      </w:r>
    </w:p>
    <w:p w14:paraId="35858AEE" w14:textId="1E3E8AD0" w:rsidR="00F003F0" w:rsidRPr="00F003F0" w:rsidRDefault="00F003F0" w:rsidP="00CD0895">
      <w:pPr>
        <w:spacing w:after="0"/>
        <w:ind w:hanging="6"/>
      </w:pPr>
      <w:r w:rsidRPr="00F003F0">
        <w:t>Stáže poskytujú mladým ľuďom jedinečnú príležitosť získať praktické skúsenosti, ktoré ich lepšie pripravia na vstup na trh práce. Sieť EURES Slovensko v roku 2024 ponúkla študentom príležitosť absolvovať stáže v atraktívnych hotelových rezortoch.</w:t>
      </w:r>
    </w:p>
    <w:p w14:paraId="41FD4A4B" w14:textId="77777777" w:rsidR="00F003F0" w:rsidRPr="00F003F0" w:rsidRDefault="00F003F0" w:rsidP="00F003F0">
      <w:pPr>
        <w:spacing w:before="120" w:after="0"/>
        <w:ind w:hanging="6"/>
      </w:pPr>
      <w:r w:rsidRPr="00F003F0">
        <w:rPr>
          <w:b/>
        </w:rPr>
        <w:t>Stáž v cestovnom ruchu v Rakúsku</w:t>
      </w:r>
    </w:p>
    <w:p w14:paraId="2D17E6E1" w14:textId="77777777" w:rsidR="00F003F0" w:rsidRPr="00F003F0" w:rsidRDefault="00F003F0" w:rsidP="00F003F0">
      <w:r w:rsidRPr="00F003F0">
        <w:t>Platená stáž počas zimnej sezóny v trvaní 6 týždňov až 3 mesiace.</w:t>
      </w:r>
    </w:p>
    <w:p w14:paraId="09011218" w14:textId="77777777" w:rsidR="00F003F0" w:rsidRPr="00F003F0" w:rsidRDefault="00F003F0" w:rsidP="00F003F0">
      <w:r w:rsidRPr="00F003F0">
        <w:t>Účastníci projektu: EURES Korutánsko a Štajersko, EURES Slovensko, Hotelové akadémie,</w:t>
      </w:r>
    </w:p>
    <w:p w14:paraId="091FD9B8" w14:textId="77777777" w:rsidR="00F003F0" w:rsidRPr="00F003F0" w:rsidRDefault="00F003F0" w:rsidP="00F003F0">
      <w:r w:rsidRPr="00F003F0">
        <w:t>Stredné odborné školy gastronómie a cestovného ruchu, Stredné odborné školy obchodu a služieb, Stredné odborné školy poskytujúce vzdelanie v odboroch kuchár, čašník/čašníčka, prípadne služby súvisiace s cestovným ruchom.</w:t>
      </w:r>
    </w:p>
    <w:p w14:paraId="25F027C2" w14:textId="77777777" w:rsidR="00F003F0" w:rsidRPr="00F003F0" w:rsidRDefault="00F003F0" w:rsidP="00F003F0">
      <w:r w:rsidRPr="00F003F0">
        <w:t xml:space="preserve">Počet zapojených škôl: 6  </w:t>
      </w:r>
    </w:p>
    <w:p w14:paraId="093214FF" w14:textId="77777777" w:rsidR="00F003F0" w:rsidRPr="00F003F0" w:rsidRDefault="00F003F0" w:rsidP="00F003F0">
      <w:r w:rsidRPr="00F003F0">
        <w:t>Nitra, Michalovce, Púchov, Prievidza</w:t>
      </w:r>
    </w:p>
    <w:p w14:paraId="615C341B" w14:textId="77777777" w:rsidR="00F003F0" w:rsidRPr="00F003F0" w:rsidRDefault="00F003F0" w:rsidP="00F003F0">
      <w:r w:rsidRPr="00F003F0">
        <w:t>Počet prihlásených študentov: 15</w:t>
      </w:r>
    </w:p>
    <w:p w14:paraId="43E441E6" w14:textId="0F2C2CA1" w:rsidR="00F003F0" w:rsidRPr="00F003F0" w:rsidRDefault="00F003F0" w:rsidP="00F003F0">
      <w:r w:rsidRPr="00F003F0">
        <w:t>Úspešne umiestnení stážisti: 6 s nástupom v roku 2025</w:t>
      </w:r>
    </w:p>
    <w:p w14:paraId="26C0DA64" w14:textId="77777777" w:rsidR="00F003F0" w:rsidRPr="00F003F0" w:rsidRDefault="00F003F0" w:rsidP="00F003F0">
      <w:pPr>
        <w:spacing w:before="120" w:after="0"/>
        <w:ind w:hanging="6"/>
      </w:pPr>
      <w:r w:rsidRPr="00F003F0">
        <w:rPr>
          <w:b/>
        </w:rPr>
        <w:t>Stáže v cestovnom ruchu v Grécku</w:t>
      </w:r>
    </w:p>
    <w:p w14:paraId="4F86ECE5" w14:textId="77777777" w:rsidR="00F003F0" w:rsidRPr="00F003F0" w:rsidRDefault="00F003F0" w:rsidP="00F003F0">
      <w:r w:rsidRPr="00F003F0">
        <w:t>Platená stáž počas letnej sezóny v trvaní 3 mesiacov.</w:t>
      </w:r>
    </w:p>
    <w:p w14:paraId="063ADA5F" w14:textId="77777777" w:rsidR="00F003F0" w:rsidRPr="00F003F0" w:rsidRDefault="00F003F0" w:rsidP="00F003F0">
      <w:r w:rsidRPr="00F003F0">
        <w:lastRenderedPageBreak/>
        <w:t>Účastníci projektu: SANI/IKOS Grécko, EURES Slovensko, Hotelové akadémie,</w:t>
      </w:r>
    </w:p>
    <w:p w14:paraId="1AD82570" w14:textId="77777777" w:rsidR="00F003F0" w:rsidRPr="00F003F0" w:rsidRDefault="00F003F0" w:rsidP="00F003F0">
      <w:r w:rsidRPr="00F003F0">
        <w:t>Stredné odborné školy gastronómie a cestovného ruchu, Stredné odborné školy obchodu a služieb, Stredné odborné školy poskytujúce vzdelanie v odboroch kuchár, čašník/čašníčka, prípadne služby súvisiace s cestovným ruchom. VŠ Prešov, Fakulta manažmentu: odbor manažment turizmu a hotelierstva.</w:t>
      </w:r>
    </w:p>
    <w:p w14:paraId="7120F2A1" w14:textId="77777777" w:rsidR="00F003F0" w:rsidRPr="00F003F0" w:rsidRDefault="00F003F0" w:rsidP="00F003F0">
      <w:r w:rsidRPr="00F003F0">
        <w:t xml:space="preserve">Počet zapojených škôl: 8 Michalovce, Prešov, Sobrance, Púchov </w:t>
      </w:r>
    </w:p>
    <w:p w14:paraId="18090C7E" w14:textId="77777777" w:rsidR="00F003F0" w:rsidRPr="00F003F0" w:rsidRDefault="00F003F0" w:rsidP="00F003F0">
      <w:r w:rsidRPr="00F003F0">
        <w:t>Počet prihlásených študentov: 41</w:t>
      </w:r>
    </w:p>
    <w:p w14:paraId="2E30F6F2" w14:textId="77777777" w:rsidR="00F003F0" w:rsidRPr="00F003F0" w:rsidRDefault="00F003F0" w:rsidP="00F003F0">
      <w:r w:rsidRPr="00F003F0">
        <w:t>Úspešne umiestnení stážisti: 15</w:t>
      </w:r>
    </w:p>
    <w:p w14:paraId="277E6C18" w14:textId="77777777" w:rsidR="00F003F0" w:rsidRPr="00F003F0" w:rsidRDefault="00F003F0" w:rsidP="00F003F0">
      <w:r w:rsidRPr="00F003F0">
        <w:t>Počet uchádzačov (mladí a absolventi) o pracovný pomer: 35</w:t>
      </w:r>
    </w:p>
    <w:p w14:paraId="3805A7D1" w14:textId="77777777" w:rsidR="00F003F0" w:rsidRPr="00F003F0" w:rsidRDefault="00F003F0" w:rsidP="00F003F0">
      <w:r w:rsidRPr="00F003F0">
        <w:t>Úspešne umiestnení zamestnanci: 12</w:t>
      </w:r>
    </w:p>
    <w:p w14:paraId="4DC1AFEE" w14:textId="6739A726" w:rsidR="00DE27B1" w:rsidRPr="0062585F" w:rsidRDefault="00DE27B1" w:rsidP="0062585F">
      <w:pPr>
        <w:pStyle w:val="Nadpis2"/>
      </w:pPr>
      <w:bookmarkStart w:id="50" w:name="_Toc199230822"/>
      <w:r w:rsidRPr="0062585F">
        <w:t>Sprostredkovanie zamestnania</w:t>
      </w:r>
      <w:bookmarkEnd w:id="50"/>
      <w:r w:rsidRPr="0062585F">
        <w:t xml:space="preserve"> </w:t>
      </w:r>
    </w:p>
    <w:p w14:paraId="750667B5" w14:textId="77777777" w:rsidR="00F003F0" w:rsidRPr="00F003F0" w:rsidRDefault="00F003F0" w:rsidP="00F003F0">
      <w:pPr>
        <w:spacing w:before="120" w:after="0"/>
        <w:ind w:hanging="6"/>
        <w:rPr>
          <w:color w:val="000000" w:themeColor="text1"/>
        </w:rPr>
      </w:pPr>
      <w:r w:rsidRPr="00F003F0">
        <w:rPr>
          <w:color w:val="000000" w:themeColor="text1"/>
        </w:rPr>
        <w:t xml:space="preserve">Zamestnanci oddelenia sprostredkovania práce úradov poskytovali v priebehu roka 2024 klientom služby v oblasti zamestnanosti. </w:t>
      </w:r>
    </w:p>
    <w:p w14:paraId="11C59047" w14:textId="77777777" w:rsidR="00F003F0" w:rsidRPr="00F003F0" w:rsidRDefault="00F003F0" w:rsidP="00F003F0">
      <w:pPr>
        <w:spacing w:before="120" w:after="0"/>
        <w:ind w:hanging="6"/>
        <w:rPr>
          <w:color w:val="000000" w:themeColor="text1"/>
        </w:rPr>
      </w:pPr>
      <w:r w:rsidRPr="00F003F0">
        <w:rPr>
          <w:color w:val="000000" w:themeColor="text1"/>
        </w:rPr>
        <w:t xml:space="preserve">Občania si podávali žiadosť o zaradenie do evidencie uchádzačov o zamestnanie osobne alebo elektronickými prostriedkami s kvalifikovaným elektronickým podpisom prostredníctvom portálu www.slovensko.sk alebo odoslaním žiadosti prostredníctvom prístupového miesta, ktoré vyžaduje úspešnú autentifikáciu občana. </w:t>
      </w:r>
    </w:p>
    <w:p w14:paraId="766F8F4F" w14:textId="633CC1A4" w:rsidR="00F003F0" w:rsidRPr="0055191D" w:rsidRDefault="00F003F0" w:rsidP="00F003F0">
      <w:pPr>
        <w:spacing w:before="120" w:after="0"/>
        <w:ind w:hanging="6"/>
        <w:rPr>
          <w:color w:val="000000" w:themeColor="text1"/>
        </w:rPr>
      </w:pPr>
      <w:r w:rsidRPr="00F003F0">
        <w:rPr>
          <w:color w:val="000000" w:themeColor="text1"/>
        </w:rPr>
        <w:t>Občania pri podaní žiadosti dostávali na úrade základné informácie o podmienkach vzniku nároku na dávku v nezamestnanosti, ktorej posudzovanie, priznanie a vyplácanie je v kompetencii Sociálnej poisťovne.</w:t>
      </w:r>
    </w:p>
    <w:p w14:paraId="46C4D9B0" w14:textId="0893F888" w:rsidR="00DE27B1" w:rsidRDefault="00DE27B1" w:rsidP="0062585F">
      <w:pPr>
        <w:pStyle w:val="Nadpis2"/>
      </w:pPr>
      <w:bookmarkStart w:id="51" w:name="_Toc199230823"/>
      <w:r w:rsidRPr="0062585F">
        <w:t>Informačné a poradenské služby pre uchádzačov o zamestnanie a záujemcov</w:t>
      </w:r>
      <w:r w:rsidRPr="0062585F">
        <w:br/>
        <w:t>o zamestnanie</w:t>
      </w:r>
      <w:bookmarkEnd w:id="51"/>
    </w:p>
    <w:p w14:paraId="3D6A5B7E" w14:textId="77777777" w:rsidR="00F003F0" w:rsidRPr="00F003F0" w:rsidRDefault="00F003F0" w:rsidP="00F003F0">
      <w:pPr>
        <w:spacing w:before="120" w:after="120"/>
        <w:ind w:firstLine="0"/>
        <w:rPr>
          <w:rFonts w:eastAsia="Calibri"/>
          <w:lang w:eastAsia="en-US"/>
        </w:rPr>
      </w:pPr>
      <w:r w:rsidRPr="00F003F0">
        <w:rPr>
          <w:rFonts w:eastAsia="Calibri"/>
          <w:lang w:eastAsia="en-US"/>
        </w:rPr>
        <w:t xml:space="preserve">IaPS, ako jeden z nástrojov pomoci a podpory účastníkom TP pri voľbe povolania, výbere zamestnania, vrátane jeho zmeny a pri výbere a </w:t>
      </w:r>
      <w:r w:rsidRPr="00F003F0">
        <w:rPr>
          <w:lang w:eastAsia="en-US"/>
        </w:rPr>
        <w:t>adaptácii zamestnanca v novom zamestnaní</w:t>
      </w:r>
      <w:r w:rsidRPr="00F003F0">
        <w:rPr>
          <w:rFonts w:eastAsia="Calibri"/>
          <w:lang w:eastAsia="en-US"/>
        </w:rPr>
        <w:t xml:space="preserve">, </w:t>
      </w:r>
      <w:r w:rsidRPr="00F003F0">
        <w:rPr>
          <w:bCs/>
          <w:lang w:eastAsia="en-US"/>
        </w:rPr>
        <w:t xml:space="preserve">predstavovali aj naďalej v priebehu roku 2024 </w:t>
      </w:r>
      <w:r w:rsidRPr="00F003F0">
        <w:rPr>
          <w:lang w:eastAsia="en-US"/>
        </w:rPr>
        <w:t>dôležitú súčasť ovplyvňovania TP súvisiacu                      so sprostredkovaním zamestnania.</w:t>
      </w:r>
      <w:r w:rsidRPr="00F003F0">
        <w:rPr>
          <w:b/>
          <w:lang w:eastAsia="en-US"/>
        </w:rPr>
        <w:t xml:space="preserve"> </w:t>
      </w:r>
      <w:r w:rsidRPr="00F003F0">
        <w:rPr>
          <w:lang w:eastAsia="en-US"/>
        </w:rPr>
        <w:t>N</w:t>
      </w:r>
      <w:r w:rsidRPr="00F003F0">
        <w:rPr>
          <w:rFonts w:eastAsia="Calibri"/>
          <w:lang w:eastAsia="en-US"/>
        </w:rPr>
        <w:t xml:space="preserve">ielen ponuka PM pre klientov, ale aj ponuka aktivít, ktorých ambíciou bolo podporiť úsilie UoZ/ZoZ/odídencov z Ukrajiny pri ich začleňovaní na TP </w:t>
      </w:r>
      <w:r w:rsidRPr="00F003F0">
        <w:rPr>
          <w:rFonts w:eastAsia="Calibri"/>
          <w:lang w:eastAsia="en-US"/>
        </w:rPr>
        <w:br/>
        <w:t xml:space="preserve">poskytnutím potrebných informácií a sprostredkovaním užitočných kontaktov. </w:t>
      </w:r>
    </w:p>
    <w:p w14:paraId="3444BEED" w14:textId="77777777" w:rsidR="00F003F0" w:rsidRPr="00F003F0" w:rsidRDefault="00F003F0" w:rsidP="00F003F0">
      <w:pPr>
        <w:spacing w:before="120" w:after="120"/>
        <w:ind w:firstLine="0"/>
        <w:rPr>
          <w:rFonts w:eastAsia="Calibri"/>
          <w:lang w:eastAsia="en-US"/>
        </w:rPr>
      </w:pPr>
      <w:r w:rsidRPr="00F003F0">
        <w:rPr>
          <w:rFonts w:eastAsia="Calibri"/>
          <w:lang w:eastAsia="en-US"/>
        </w:rPr>
        <w:t xml:space="preserve">Zamestnanci oddelení sprostredkovania práce vytvárali UoZ/odídencom profil na portáli Služby zamestnanosti </w:t>
      </w:r>
      <w:hyperlink r:id="rId25">
        <w:r w:rsidRPr="00F003F0">
          <w:rPr>
            <w:rStyle w:val="Hypertextovprepojenie"/>
            <w:rFonts w:eastAsia="Calibri"/>
            <w:lang w:eastAsia="en-US"/>
          </w:rPr>
          <w:t>www.sluzbyzamestnanosti.gov.sk</w:t>
        </w:r>
      </w:hyperlink>
      <w:r w:rsidRPr="00F003F0">
        <w:rPr>
          <w:rFonts w:eastAsia="Calibri"/>
          <w:lang w:eastAsia="en-US"/>
        </w:rPr>
        <w:t xml:space="preserve"> (je aj v </w:t>
      </w:r>
      <w:hyperlink r:id="rId26" w:history="1">
        <w:r>
          <w:rPr>
            <w:rStyle w:val="Hypertextovprepojenie"/>
            <w:rFonts w:eastAsia="Calibri"/>
            <w:lang w:eastAsia="en-US"/>
          </w:rPr>
          <w:t>ukrajinskej mutácii</w:t>
        </w:r>
      </w:hyperlink>
      <w:r w:rsidRPr="00F003F0">
        <w:rPr>
          <w:rFonts w:eastAsia="Calibri"/>
          <w:lang w:eastAsia="en-US"/>
        </w:rPr>
        <w:t>), poskytovali im prihlasovacie údaje a poučili ich o možnostiach využívania portálu (po aktivácii svojho konta si môže UoZ/odídenec prehliadať všetky pracovné ponuky, reagovať na vhodné pracovné miesta a môže si aj aktivovať agenta pre vyhľadávanie vhodných voľných pracovných miest, pričom vhodné ponuky generuje systém na základe údajov v profile UoZ).</w:t>
      </w:r>
    </w:p>
    <w:p w14:paraId="4C5D4EE2" w14:textId="77777777" w:rsidR="00F003F0" w:rsidRPr="00F003F0" w:rsidRDefault="00F003F0" w:rsidP="00F003F0">
      <w:pPr>
        <w:spacing w:before="120" w:after="120"/>
        <w:ind w:firstLine="0"/>
        <w:rPr>
          <w:rFonts w:eastAsia="Calibri"/>
          <w:lang w:eastAsia="en-US"/>
        </w:rPr>
      </w:pPr>
      <w:r w:rsidRPr="00F003F0">
        <w:rPr>
          <w:rFonts w:eastAsia="Calibri"/>
          <w:lang w:eastAsia="en-US"/>
        </w:rPr>
        <w:t>Aj v priebehu roku 2024 sa pokračovalo na úradoch s poskytovaním informačného poradenstva (pri adaptácii v novom zamestnaní, pri výbere zamestnania) odídencom, ktorí po vyplnení „Dotazníka pre občana Ukrajiny” (uvádzali sa v ňom jazykové znalosti,  dosiahnutý stupeň vzdelania, v akej oblasti odídenec pracoval, ako dlho, a o akú prácu má záujem) boli registrovaní na úrade ako odídenci hľadajúci si zamestnanie. Od začiatku poskytovania informačného poradenstva odídencom (1. štvrťrok 2022) k 31.12.2024 bolo informačné poradenstvo poskytnuté 15 631 odídencom, pričom v priebehu roku 2024 bolo na úrade registrovaných 39 odídencov hľadajúcich si zamestnanie (pre porovnanie v 2023 bolo registrovaných na úradoch 4 342 odídencov). Celkovo od začiatku registrácie v roku 2022 zostalo k 31.12.2024 registrovaných 13 807 odídencov, z toho 17,45 % podiel tvorili muži v počte 2 410 a 82,55 % podiel ženy v počte 11 397. Z hľadiska veku najvyšší podiel (16,80 %) tvorili odídenci vo veku 35 – 40 rokov v počte 2 319 a z hľadiska vzdelania odídencov najvyšší podiel (35,66 %) tvorili odídenci s vysokoškolským vzdelaním 2.stupňa v počte 4 923.</w:t>
      </w:r>
    </w:p>
    <w:p w14:paraId="32A80433" w14:textId="77777777" w:rsidR="00F003F0" w:rsidRPr="00F003F0" w:rsidRDefault="00F003F0" w:rsidP="00F003F0">
      <w:pPr>
        <w:tabs>
          <w:tab w:val="left" w:pos="567"/>
        </w:tabs>
        <w:spacing w:before="120" w:after="120"/>
        <w:ind w:firstLine="0"/>
        <w:rPr>
          <w:rFonts w:eastAsia="Calibri"/>
          <w:lang w:eastAsia="en-US"/>
        </w:rPr>
      </w:pPr>
      <w:r w:rsidRPr="00F003F0">
        <w:rPr>
          <w:rFonts w:eastAsia="Calibri"/>
          <w:lang w:eastAsia="en-US"/>
        </w:rPr>
        <w:lastRenderedPageBreak/>
        <w:t xml:space="preserve">Aj v priebehu roku 2024 bolo vo väčšej miere (63,91 %) poskytované poradenstvo klientom v rámci § 42 individuálnou formou. Celkovo bolo poskytnutých 496 768 informačných a poradenských služieb 140 676 klientom. Z toho individuálnou formou 317 466 (63,91 %) a skupinovou formou 179 302 (36,09 %) IaPS. Z celkového počtu klientov, ktorým boli poskytnuté IaPS bolo 75 676 žien (53,79 %) a 65 000 mužov (46,21 %). Z celkového počtu klientov bolo 4 185 občanov so zdravotným postihnutím (2,97 %). Z hľadiska veku najvyšší podiel (12,62 %) tvorili klienti vo veku 35 - 40 rokov v počte 17 753 klientov, tak ako v roku 2023 a z hľadiska dĺžky evidencie najvyšší podiel (39,52 %) tvorili tiež opäť klienti s dĺžkou evidencie 0 - 3 mesiacov v počte 55 594. Z hľadiska vzdelania klientov najvyšší podiel (27,11 %) tvorili klienti s úplným stredným odborným vzdelaním v počte 38 141, rovnako ako v roku 2023. </w:t>
      </w:r>
    </w:p>
    <w:p w14:paraId="61FDF2F6" w14:textId="3ED20FCA" w:rsidR="00DE27B1" w:rsidRPr="0062585F" w:rsidRDefault="009418BA" w:rsidP="0062585F">
      <w:pPr>
        <w:pStyle w:val="Nadpis2"/>
      </w:pPr>
      <w:bookmarkStart w:id="52" w:name="_Toc199230824"/>
      <w:r>
        <w:t>Eur</w:t>
      </w:r>
      <w:r w:rsidR="00DE27B1" w:rsidRPr="0062585F">
        <w:t>ópske služby zamestnanosti /</w:t>
      </w:r>
      <w:r>
        <w:t>EUR</w:t>
      </w:r>
      <w:r w:rsidR="00DE27B1" w:rsidRPr="0062585F">
        <w:t>ES/ pre uchádzačov o zamestnanie,</w:t>
      </w:r>
      <w:r w:rsidR="00DE27B1" w:rsidRPr="0062585F">
        <w:br/>
        <w:t>záujemcov o zamestnanie a nezamestnaných</w:t>
      </w:r>
      <w:bookmarkEnd w:id="52"/>
    </w:p>
    <w:p w14:paraId="55F861FC" w14:textId="379869D7" w:rsidR="00F003F0" w:rsidRPr="00F003F0" w:rsidRDefault="0090767F" w:rsidP="00F003F0">
      <w:pPr>
        <w:shd w:val="clear" w:color="auto" w:fill="FFFFFF"/>
        <w:spacing w:after="0"/>
        <w:rPr>
          <w:bCs/>
        </w:rPr>
      </w:pPr>
      <w:r>
        <w:rPr>
          <w:bCs/>
        </w:rPr>
        <w:t>V</w:t>
      </w:r>
      <w:r w:rsidR="00F003F0" w:rsidRPr="00F003F0">
        <w:rPr>
          <w:bCs/>
        </w:rPr>
        <w:t xml:space="preserve"> roku 2024 </w:t>
      </w:r>
      <w:r w:rsidRPr="00F003F0">
        <w:rPr>
          <w:bCs/>
        </w:rPr>
        <w:t xml:space="preserve">bolo </w:t>
      </w:r>
      <w:r>
        <w:rPr>
          <w:bCs/>
        </w:rPr>
        <w:t>n</w:t>
      </w:r>
      <w:r w:rsidRPr="00F003F0">
        <w:rPr>
          <w:bCs/>
        </w:rPr>
        <w:t xml:space="preserve">a úradoch </w:t>
      </w:r>
      <w:r w:rsidR="00F003F0" w:rsidRPr="00F003F0">
        <w:rPr>
          <w:bCs/>
        </w:rPr>
        <w:t>prostredníctvom siete EUR</w:t>
      </w:r>
      <w:r>
        <w:rPr>
          <w:bCs/>
        </w:rPr>
        <w:t xml:space="preserve">ES poskytnuté poradenstvo </w:t>
      </w:r>
      <w:r w:rsidR="00F003F0" w:rsidRPr="00F003F0">
        <w:rPr>
          <w:bCs/>
        </w:rPr>
        <w:t>15 387</w:t>
      </w:r>
      <w:r w:rsidR="00F003F0" w:rsidRPr="00F003F0">
        <w:rPr>
          <w:b/>
          <w:bCs/>
        </w:rPr>
        <w:t xml:space="preserve"> </w:t>
      </w:r>
      <w:r w:rsidR="00F003F0" w:rsidRPr="00F003F0">
        <w:rPr>
          <w:bCs/>
        </w:rPr>
        <w:t>klientom (12 081 záujemcovia o prácu + 3 306 zamestnávatelia).</w:t>
      </w:r>
    </w:p>
    <w:p w14:paraId="34D3D9B6" w14:textId="77777777" w:rsidR="00F003F0" w:rsidRPr="00F003F0" w:rsidRDefault="00F003F0" w:rsidP="00F003F0">
      <w:pPr>
        <w:shd w:val="clear" w:color="auto" w:fill="FFFFFF"/>
        <w:spacing w:after="0"/>
        <w:rPr>
          <w:bCs/>
        </w:rPr>
      </w:pPr>
      <w:r w:rsidRPr="00F003F0">
        <w:rPr>
          <w:bCs/>
        </w:rPr>
        <w:t>Poradenstvá boli poskytované osobne, mailom, telefonicky alebo v online priestore.</w:t>
      </w:r>
    </w:p>
    <w:p w14:paraId="3E53FACD" w14:textId="6737C33B" w:rsidR="00F003F0" w:rsidRPr="00F003F0" w:rsidRDefault="00F003F0" w:rsidP="00F003F0">
      <w:pPr>
        <w:shd w:val="clear" w:color="auto" w:fill="FFFFFF"/>
        <w:spacing w:after="0"/>
        <w:rPr>
          <w:bCs/>
        </w:rPr>
      </w:pPr>
      <w:r w:rsidRPr="00F003F0">
        <w:rPr>
          <w:bCs/>
        </w:rPr>
        <w:t>Najväčší počet poskytnutéh</w:t>
      </w:r>
      <w:r w:rsidR="007A5213">
        <w:rPr>
          <w:bCs/>
        </w:rPr>
        <w:t>o poradenstva bol pre záujemcov</w:t>
      </w:r>
    </w:p>
    <w:p w14:paraId="36C96297" w14:textId="238C88D6" w:rsidR="00F003F0" w:rsidRPr="00F003F0" w:rsidRDefault="00F003F0" w:rsidP="007A5213">
      <w:pPr>
        <w:numPr>
          <w:ilvl w:val="0"/>
          <w:numId w:val="39"/>
        </w:numPr>
        <w:shd w:val="clear" w:color="auto" w:fill="FFFFFF"/>
        <w:spacing w:after="0"/>
        <w:ind w:left="284" w:hanging="284"/>
        <w:rPr>
          <w:bCs/>
        </w:rPr>
      </w:pPr>
      <w:r w:rsidRPr="00F003F0">
        <w:rPr>
          <w:bCs/>
        </w:rPr>
        <w:t>vo veku 25 – 54 rokov</w:t>
      </w:r>
      <w:r w:rsidR="007A5213">
        <w:rPr>
          <w:bCs/>
        </w:rPr>
        <w:t>,</w:t>
      </w:r>
    </w:p>
    <w:p w14:paraId="66D805B5" w14:textId="33971B5F" w:rsidR="00F003F0" w:rsidRPr="00F003F0" w:rsidRDefault="00F003F0" w:rsidP="007A5213">
      <w:pPr>
        <w:numPr>
          <w:ilvl w:val="0"/>
          <w:numId w:val="39"/>
        </w:numPr>
        <w:shd w:val="clear" w:color="auto" w:fill="FFFFFF"/>
        <w:spacing w:after="0"/>
        <w:ind w:left="284" w:hanging="284"/>
        <w:rPr>
          <w:bCs/>
        </w:rPr>
      </w:pPr>
      <w:r w:rsidRPr="00F003F0">
        <w:rPr>
          <w:bCs/>
        </w:rPr>
        <w:t>prevládali záujemcovia s ukončeným stredoškolským vzdelaním s</w:t>
      </w:r>
      <w:r w:rsidR="007A5213">
        <w:rPr>
          <w:bCs/>
        </w:rPr>
        <w:t> </w:t>
      </w:r>
      <w:r w:rsidRPr="00F003F0">
        <w:rPr>
          <w:bCs/>
        </w:rPr>
        <w:t>maturitou</w:t>
      </w:r>
      <w:r w:rsidR="007A5213">
        <w:rPr>
          <w:bCs/>
        </w:rPr>
        <w:t>,</w:t>
      </w:r>
    </w:p>
    <w:p w14:paraId="085FDC34" w14:textId="77777777" w:rsidR="00F003F0" w:rsidRPr="00F003F0" w:rsidRDefault="00F003F0" w:rsidP="007A5213">
      <w:pPr>
        <w:numPr>
          <w:ilvl w:val="0"/>
          <w:numId w:val="39"/>
        </w:numPr>
        <w:shd w:val="clear" w:color="auto" w:fill="FFFFFF"/>
        <w:spacing w:after="0"/>
        <w:ind w:left="284" w:hanging="284"/>
        <w:rPr>
          <w:bCs/>
        </w:rPr>
      </w:pPr>
      <w:r w:rsidRPr="00F003F0">
        <w:rPr>
          <w:bCs/>
        </w:rPr>
        <w:t>v rámci statusu bolo poradenstvo poskytnuté pre UoZ do 12 mesiacov a študentom.</w:t>
      </w:r>
    </w:p>
    <w:p w14:paraId="7BA80A85" w14:textId="77777777" w:rsidR="00F003F0" w:rsidRPr="00F003F0" w:rsidRDefault="00F003F0" w:rsidP="00F003F0">
      <w:pPr>
        <w:shd w:val="clear" w:color="auto" w:fill="FFFFFF"/>
        <w:spacing w:after="0"/>
        <w:rPr>
          <w:bCs/>
        </w:rPr>
      </w:pPr>
      <w:r w:rsidRPr="00F003F0">
        <w:rPr>
          <w:bCs/>
        </w:rPr>
        <w:t>Počet prijatých životopisov, žiadostí o zamestnanie alebo motivačných listov, ktoré prijali EURES poradcovia od záujemcov o prácu v krajinách EÚ/EHP – 3 031.</w:t>
      </w:r>
    </w:p>
    <w:p w14:paraId="78A89037" w14:textId="77777777" w:rsidR="00F003F0" w:rsidRPr="00F003F0" w:rsidRDefault="00F003F0" w:rsidP="00F003F0">
      <w:pPr>
        <w:shd w:val="clear" w:color="auto" w:fill="FFFFFF"/>
        <w:spacing w:after="0"/>
        <w:rPr>
          <w:bCs/>
        </w:rPr>
      </w:pPr>
      <w:r w:rsidRPr="00F003F0">
        <w:rPr>
          <w:bCs/>
        </w:rPr>
        <w:t>Počet zamestnaných prostredníctvom siete EURES – 1 055,</w:t>
      </w:r>
      <w:r w:rsidRPr="00F003F0">
        <w:rPr>
          <w:b/>
          <w:bCs/>
        </w:rPr>
        <w:t xml:space="preserve"> </w:t>
      </w:r>
      <w:r w:rsidRPr="00F003F0">
        <w:rPr>
          <w:bCs/>
        </w:rPr>
        <w:t>najmä v krajinách Rakúsko, Nemecko, Česká republika, Holandsko, Maďarsko.</w:t>
      </w:r>
    </w:p>
    <w:p w14:paraId="1695974E" w14:textId="69CB14BB" w:rsidR="00DE27B1" w:rsidRPr="00147F61" w:rsidRDefault="00DE27B1" w:rsidP="00147F61">
      <w:pPr>
        <w:spacing w:before="120" w:after="0"/>
        <w:ind w:firstLine="0"/>
        <w:rPr>
          <w:b/>
        </w:rPr>
      </w:pPr>
      <w:r w:rsidRPr="00147F61">
        <w:rPr>
          <w:b/>
        </w:rPr>
        <w:t xml:space="preserve">Propagácia siete </w:t>
      </w:r>
      <w:r w:rsidR="009418BA">
        <w:rPr>
          <w:b/>
        </w:rPr>
        <w:t>EUR</w:t>
      </w:r>
      <w:r w:rsidRPr="00147F61">
        <w:rPr>
          <w:b/>
        </w:rPr>
        <w:t>ES na školách</w:t>
      </w:r>
    </w:p>
    <w:p w14:paraId="41CEA4CB" w14:textId="77777777" w:rsidR="00F003F0" w:rsidRPr="00F003F0" w:rsidRDefault="00F003F0" w:rsidP="00F003F0">
      <w:r w:rsidRPr="00F003F0">
        <w:t xml:space="preserve">Celkový počet navštívených škôl v rámci celého Slovenska – </w:t>
      </w:r>
      <w:r w:rsidRPr="00F003F0">
        <w:rPr>
          <w:bCs/>
        </w:rPr>
        <w:t>146</w:t>
      </w:r>
      <w:r w:rsidRPr="00F003F0">
        <w:t xml:space="preserve"> s celkovým počtom </w:t>
      </w:r>
      <w:r w:rsidRPr="00F003F0">
        <w:rPr>
          <w:bCs/>
        </w:rPr>
        <w:t xml:space="preserve">7 268 </w:t>
      </w:r>
      <w:r w:rsidRPr="00F003F0">
        <w:t xml:space="preserve">študentov. </w:t>
      </w:r>
    </w:p>
    <w:p w14:paraId="2F94C6DB" w14:textId="77777777" w:rsidR="00F003F0" w:rsidRPr="00F003F0" w:rsidRDefault="00F003F0" w:rsidP="00F003F0">
      <w:r w:rsidRPr="00F003F0">
        <w:t xml:space="preserve">Počet navštívených základných škôl – 23 s účasťou 1 372 žiakov. </w:t>
      </w:r>
    </w:p>
    <w:p w14:paraId="799D987F" w14:textId="77777777" w:rsidR="00F003F0" w:rsidRPr="00F003F0" w:rsidRDefault="00F003F0" w:rsidP="00F003F0">
      <w:r w:rsidRPr="00F003F0">
        <w:t xml:space="preserve">Počet navštívených stredných škôl - 120 s účasťou 5 676 študentov. </w:t>
      </w:r>
    </w:p>
    <w:p w14:paraId="2DF03148" w14:textId="77777777" w:rsidR="00F003F0" w:rsidRPr="00F003F0" w:rsidRDefault="00F003F0" w:rsidP="00F003F0">
      <w:r w:rsidRPr="00F003F0">
        <w:t xml:space="preserve">Počet navštívených vysokých škôl – 3 s účasťou 220 študentov. </w:t>
      </w:r>
    </w:p>
    <w:p w14:paraId="58858C1A" w14:textId="4E226DF3" w:rsidR="00DE27B1" w:rsidRPr="00E01D6F" w:rsidRDefault="00DE27B1" w:rsidP="00147F61">
      <w:pPr>
        <w:spacing w:before="120" w:after="0"/>
        <w:ind w:hanging="6"/>
        <w:rPr>
          <w:b/>
        </w:rPr>
      </w:pPr>
      <w:r w:rsidRPr="00E01D6F">
        <w:rPr>
          <w:b/>
        </w:rPr>
        <w:t>Propagácia siete</w:t>
      </w:r>
      <w:r w:rsidR="00147F61" w:rsidRPr="00E01D6F">
        <w:rPr>
          <w:b/>
        </w:rPr>
        <w:t xml:space="preserve"> </w:t>
      </w:r>
      <w:r w:rsidR="009418BA" w:rsidRPr="00E01D6F">
        <w:rPr>
          <w:b/>
        </w:rPr>
        <w:t>EUR</w:t>
      </w:r>
      <w:r w:rsidR="00147F61" w:rsidRPr="00E01D6F">
        <w:rPr>
          <w:b/>
        </w:rPr>
        <w:t>ES na úradoch</w:t>
      </w:r>
    </w:p>
    <w:p w14:paraId="445371B8" w14:textId="3E7B9096" w:rsidR="00F003F0" w:rsidRPr="00F003F0" w:rsidRDefault="00F003F0" w:rsidP="00F003F0">
      <w:r w:rsidRPr="00F003F0">
        <w:t xml:space="preserve">EURES poradcovia a EURES kontaktné osoby poskytovali informácie prostredníctvom prezentácií aj v priestoroch úradov. </w:t>
      </w:r>
    </w:p>
    <w:p w14:paraId="503E769C" w14:textId="77777777" w:rsidR="00F003F0" w:rsidRPr="00F003F0" w:rsidRDefault="00F003F0" w:rsidP="00F003F0">
      <w:r w:rsidRPr="00F003F0">
        <w:t xml:space="preserve">Celkový počet účastníkov na prezentáciách bol </w:t>
      </w:r>
      <w:r w:rsidRPr="00F003F0">
        <w:rPr>
          <w:bCs/>
        </w:rPr>
        <w:t xml:space="preserve">12 326 a to </w:t>
      </w:r>
      <w:r w:rsidRPr="00F003F0">
        <w:t xml:space="preserve">v nasledujúcich cieľových skupinách: </w:t>
      </w:r>
    </w:p>
    <w:p w14:paraId="0759258D" w14:textId="77777777" w:rsidR="00F003F0" w:rsidRPr="00F003F0" w:rsidRDefault="00F003F0" w:rsidP="00F003F0">
      <w:r w:rsidRPr="00F003F0">
        <w:t>12 prezentácií sa uskutočnilo pre cieľovú skupinu absolventi škôl v počte 182</w:t>
      </w:r>
      <w:r w:rsidRPr="00F003F0">
        <w:rPr>
          <w:bCs/>
        </w:rPr>
        <w:t xml:space="preserve"> </w:t>
      </w:r>
      <w:r w:rsidRPr="00F003F0">
        <w:t xml:space="preserve">účastníkov. </w:t>
      </w:r>
    </w:p>
    <w:p w14:paraId="020254C3" w14:textId="77777777" w:rsidR="00F003F0" w:rsidRPr="00F003F0" w:rsidRDefault="00F003F0" w:rsidP="00F003F0">
      <w:r w:rsidRPr="00F003F0">
        <w:t xml:space="preserve">522 prezentácií sa uskutočnilo pre cieľovú skupinu UoZ v počte 10 443 účastníkov. </w:t>
      </w:r>
    </w:p>
    <w:p w14:paraId="2E7A7BB5" w14:textId="067DE8D0" w:rsidR="00F003F0" w:rsidRPr="00F003F0" w:rsidRDefault="00F003F0" w:rsidP="00F003F0">
      <w:r w:rsidRPr="00F003F0">
        <w:t xml:space="preserve">45 prezentácií sa uskutočnilo pre kolegov z úradov v počte 964 účastníkov. </w:t>
      </w:r>
    </w:p>
    <w:p w14:paraId="2BE89172" w14:textId="77777777" w:rsidR="00F003F0" w:rsidRPr="00F003F0" w:rsidRDefault="00F003F0" w:rsidP="00F003F0">
      <w:r w:rsidRPr="00F003F0">
        <w:t>11 prezentácií sa uskutočnilo pre partnerov (spolupracujúce inštitúcie) siete EURES v počte 238 účastníkov.</w:t>
      </w:r>
    </w:p>
    <w:p w14:paraId="14207FDC" w14:textId="77777777" w:rsidR="00F003F0" w:rsidRPr="00F003F0" w:rsidRDefault="00F003F0" w:rsidP="00F003F0">
      <w:pPr>
        <w:spacing w:before="120" w:after="0"/>
        <w:ind w:firstLine="0"/>
      </w:pPr>
      <w:r w:rsidRPr="00F003F0">
        <w:t>Hlavným koordinátorom všetkých aktivít bola EURES Národná koordinačná kancelária (NKK) ústredia a jednotlivé aktivity realizovali vyškolení EURES poradcovia pôsobiaci na úradoch. </w:t>
      </w:r>
    </w:p>
    <w:p w14:paraId="35310823" w14:textId="67E960C0" w:rsidR="00DE27B1" w:rsidRDefault="00DE27B1" w:rsidP="00DE27B1">
      <w:pPr>
        <w:pStyle w:val="Nadpis2"/>
        <w:tabs>
          <w:tab w:val="left" w:pos="567"/>
        </w:tabs>
      </w:pPr>
      <w:bookmarkStart w:id="53" w:name="_Toc199230825"/>
      <w:r>
        <w:t>Projekty úradov v rámci partnerstiev</w:t>
      </w:r>
      <w:bookmarkEnd w:id="53"/>
    </w:p>
    <w:p w14:paraId="0DAFEEF3" w14:textId="4DFDF5DC" w:rsidR="00F003F0" w:rsidRPr="00F003F0" w:rsidRDefault="00F003F0" w:rsidP="00E01D6F">
      <w:pPr>
        <w:pStyle w:val="paragraph"/>
        <w:spacing w:before="0" w:beforeAutospacing="0" w:after="0" w:afterAutospacing="0"/>
        <w:textAlignment w:val="baseline"/>
        <w:rPr>
          <w:rStyle w:val="normaltextrun"/>
        </w:rPr>
      </w:pPr>
      <w:r w:rsidRPr="00F003F0">
        <w:rPr>
          <w:rStyle w:val="normaltextrun"/>
        </w:rPr>
        <w:t xml:space="preserve">V priebehu roka 2024 sa v rámci partnerstva podľa § 10 zákona o službách zamestnanosti zapojili úrady do nasledovných projektov a aktivít:   </w:t>
      </w:r>
    </w:p>
    <w:p w14:paraId="316E8CF0" w14:textId="4BF4576E" w:rsidR="00F003F0" w:rsidRPr="00F003F0" w:rsidRDefault="00F003F0" w:rsidP="00E066BC">
      <w:pPr>
        <w:pStyle w:val="paragraph"/>
        <w:spacing w:before="120" w:beforeAutospacing="0" w:after="0" w:afterAutospacing="0"/>
        <w:jc w:val="both"/>
        <w:textAlignment w:val="baseline"/>
        <w:rPr>
          <w:rStyle w:val="normaltextrun"/>
        </w:rPr>
      </w:pPr>
      <w:r w:rsidRPr="00F003F0">
        <w:rPr>
          <w:rStyle w:val="normaltextrun"/>
        </w:rPr>
        <w:t>Úrad</w:t>
      </w:r>
      <w:r w:rsidR="00E066BC">
        <w:rPr>
          <w:rStyle w:val="normaltextrun"/>
        </w:rPr>
        <w:t>y</w:t>
      </w:r>
      <w:r w:rsidRPr="00F003F0">
        <w:rPr>
          <w:rStyle w:val="normaltextrun"/>
        </w:rPr>
        <w:t xml:space="preserve"> Čadca, Dolný Kubín, Námestovo, Žilina v období rokov 2021 až 2027 realizuje projekt Cezhraničné partnerstvo EURES-T Beskydy v spolupráci s Ministerstvom práce v Poľsku, vybranými úradmi práce v Poľsku a Českej republike, Ministerstvom ekonomického rozvoja, </w:t>
      </w:r>
      <w:r w:rsidRPr="00F003F0">
        <w:rPr>
          <w:rStyle w:val="normaltextrun"/>
        </w:rPr>
        <w:lastRenderedPageBreak/>
        <w:t xml:space="preserve">práce a technológií v Poľsku a Komorou malých a stredných podnikateľov v Katoviciach. Cieľom projektu je rozvoj cezhraničnej spolupráce medzi SR, ČR a Poľskom a podpora cezhraničného zamestnávania, podpora inovatívnych metód sociálnej politiky a zamestnávania v rámci projektu zamestnanosť a sociálna inovácia. </w:t>
      </w:r>
    </w:p>
    <w:p w14:paraId="5C863A06" w14:textId="7921908D" w:rsidR="00DE27B1" w:rsidRDefault="00F003F0" w:rsidP="00E01D6F">
      <w:pPr>
        <w:pStyle w:val="paragraph"/>
        <w:spacing w:before="120" w:beforeAutospacing="0" w:after="0" w:afterAutospacing="0"/>
        <w:jc w:val="both"/>
        <w:textAlignment w:val="baseline"/>
        <w:rPr>
          <w:rStyle w:val="normaltextrun"/>
        </w:rPr>
      </w:pPr>
      <w:r w:rsidRPr="00F003F0">
        <w:rPr>
          <w:rStyle w:val="normaltextrun"/>
        </w:rPr>
        <w:t>Úrady Bardejov, Kežmarok, Poprad, Stará Ľubovňa v roku 2024 spolupracovali v rámci 5 ročnej udržateľnosti projektu Partnerstvo na cezhraničnom TP – Poľska a Slovenska – Poprad – Dunajec. Cieľom projektu je vypracovať spoločné systémy spolupráce a výmeny cezhraničných informácií v oblasti  vzdelávania na TP, pracovnej mobility a sociálno-pracovnej integrácie, ktoré prispejú k zlepšeniu fungovania cezhraničného trhu práce, k uľahčeniu pohybu na cezhraničnom TP inštitúciám, zamestnávateľom a obyvateľom oboch regiónov.</w:t>
      </w:r>
    </w:p>
    <w:p w14:paraId="44E4C77B" w14:textId="6D3DEF81" w:rsidR="0041767F" w:rsidRPr="0062585F" w:rsidRDefault="004D1986" w:rsidP="00DB1AEA">
      <w:pPr>
        <w:pStyle w:val="Nadpis1"/>
        <w:spacing w:before="240"/>
        <w:ind w:left="431" w:hanging="431"/>
      </w:pPr>
      <w:bookmarkStart w:id="54" w:name="_Toc514941039"/>
      <w:bookmarkStart w:id="55" w:name="_Toc37094595"/>
      <w:bookmarkStart w:id="56" w:name="_Toc199230826"/>
      <w:bookmarkStart w:id="57" w:name="_Hlk103514011"/>
      <w:bookmarkEnd w:id="38"/>
      <w:bookmarkEnd w:id="39"/>
      <w:bookmarkEnd w:id="40"/>
      <w:bookmarkEnd w:id="41"/>
      <w:bookmarkEnd w:id="42"/>
      <w:r w:rsidRPr="0062585F">
        <w:t xml:space="preserve">VYHODNOTENIE UPLATŇOVANIA </w:t>
      </w:r>
      <w:r w:rsidR="00994E8F" w:rsidRPr="0062585F">
        <w:t>AKTÍVNYCH OPATRENÍ TRHU PRÁCE</w:t>
      </w:r>
      <w:r w:rsidR="00217524" w:rsidRPr="0062585F">
        <w:t xml:space="preserve"> </w:t>
      </w:r>
      <w:r w:rsidRPr="0062585F">
        <w:t>NA PODPORU</w:t>
      </w:r>
      <w:r w:rsidR="001E576C" w:rsidRPr="0062585F">
        <w:t xml:space="preserve"> </w:t>
      </w:r>
      <w:r w:rsidRPr="0062585F">
        <w:t>ZAMESTNATEĽNOSTI</w:t>
      </w:r>
      <w:bookmarkStart w:id="58" w:name="_Toc514941040"/>
      <w:bookmarkStart w:id="59" w:name="_Toc37094596"/>
      <w:bookmarkEnd w:id="54"/>
      <w:bookmarkEnd w:id="55"/>
      <w:bookmarkEnd w:id="56"/>
    </w:p>
    <w:p w14:paraId="1459EF18" w14:textId="0A1C90CB" w:rsidR="00CC754D" w:rsidRPr="007138E3" w:rsidRDefault="00CC754D" w:rsidP="00BB7CF4">
      <w:pPr>
        <w:pStyle w:val="Nadpis2"/>
        <w:spacing w:before="120"/>
        <w:jc w:val="both"/>
        <w:rPr>
          <w:b w:val="0"/>
        </w:rPr>
      </w:pPr>
      <w:bookmarkStart w:id="60" w:name="_Toc199230827"/>
      <w:bookmarkStart w:id="61" w:name="_Hlk103518935"/>
      <w:bookmarkEnd w:id="57"/>
      <w:bookmarkEnd w:id="58"/>
      <w:bookmarkEnd w:id="59"/>
      <w:r w:rsidRPr="00C618F1">
        <w:t xml:space="preserve">Náhrada časti cestovných výdavkov UoZ, </w:t>
      </w:r>
      <w:r w:rsidRPr="007138E3">
        <w:rPr>
          <w:b w:val="0"/>
        </w:rPr>
        <w:t>ktoré súvisia s absolvovaním vstupného</w:t>
      </w:r>
      <w:r w:rsidR="00E21CB1" w:rsidRPr="007138E3">
        <w:rPr>
          <w:b w:val="0"/>
        </w:rPr>
        <w:br/>
      </w:r>
      <w:r w:rsidRPr="007138E3">
        <w:rPr>
          <w:b w:val="0"/>
        </w:rPr>
        <w:t>pohovoru alebo VK u zamestnávateľa, alebo s účasťou na skupinovom</w:t>
      </w:r>
      <w:r w:rsidR="00E21CB1" w:rsidRPr="007138E3">
        <w:rPr>
          <w:b w:val="0"/>
        </w:rPr>
        <w:br/>
      </w:r>
      <w:r w:rsidRPr="007138E3">
        <w:rPr>
          <w:b w:val="0"/>
        </w:rPr>
        <w:t>sprostredkovaní</w:t>
      </w:r>
      <w:r w:rsidR="0054543F" w:rsidRPr="007138E3">
        <w:rPr>
          <w:b w:val="0"/>
        </w:rPr>
        <w:t xml:space="preserve"> </w:t>
      </w:r>
      <w:r w:rsidRPr="007138E3">
        <w:rPr>
          <w:b w:val="0"/>
        </w:rPr>
        <w:t>zamestnania, ktoré organizuje ústredie alebo úrad</w:t>
      </w:r>
      <w:r w:rsidR="00E21CB1" w:rsidRPr="007138E3">
        <w:rPr>
          <w:b w:val="0"/>
        </w:rPr>
        <w:br/>
      </w:r>
      <w:r w:rsidRPr="007138E3">
        <w:rPr>
          <w:b w:val="0"/>
        </w:rPr>
        <w:t>na území SR pre zamestnávateľa, alebo pre zamestnávateľa z členského štátu EÚ</w:t>
      </w:r>
      <w:r w:rsidR="00E21CB1" w:rsidRPr="007138E3">
        <w:rPr>
          <w:b w:val="0"/>
        </w:rPr>
        <w:br/>
      </w:r>
      <w:r w:rsidR="00055F80" w:rsidRPr="007138E3">
        <w:rPr>
          <w:b w:val="0"/>
        </w:rPr>
        <w:t>- § 32 ods. 11</w:t>
      </w:r>
      <w:r w:rsidRPr="007138E3">
        <w:rPr>
          <w:b w:val="0"/>
        </w:rPr>
        <w:t xml:space="preserve"> písm. d) zákona o službách zamestnanosti</w:t>
      </w:r>
      <w:bookmarkEnd w:id="60"/>
    </w:p>
    <w:p w14:paraId="1585CB21" w14:textId="42250CC3" w:rsidR="00055F80" w:rsidRPr="00055F80" w:rsidRDefault="00E01D6F" w:rsidP="00055F80">
      <w:pPr>
        <w:spacing w:after="120"/>
        <w:ind w:hanging="6"/>
      </w:pPr>
      <w:bookmarkStart w:id="62" w:name="_Toc514941041"/>
      <w:bookmarkStart w:id="63" w:name="_Toc37094597"/>
      <w:bookmarkStart w:id="64" w:name="_Hlk103518956"/>
      <w:bookmarkEnd w:id="61"/>
      <w:r w:rsidRPr="00E01D6F">
        <w:t xml:space="preserve">V roku 2024 bola náhrada časti cestovných výdavkov poskytnutá celkom 779 UoZ, z toho 312 mužom (40,05 %) a 467 ženám (59,95 %), v celkovej poskytnutej sume finančných prostriedkov 8 427 eur - v štruktúre podľa tabuľky. V porovnaní s rokom 2023, celkový počet UoZ stúpol </w:t>
      </w:r>
      <w:r>
        <w:t xml:space="preserve">          </w:t>
      </w:r>
      <w:r w:rsidRPr="00E01D6F">
        <w:t>o 96 UoZ a vyčerpaných finančných prostriedkov bolo o 398 eur menej ako v roku 2023. Finančné prostriedky na náhradu časti cestovných výdavkov UoZ boli poskytované len zo ŠR SR.</w:t>
      </w:r>
    </w:p>
    <w:tbl>
      <w:tblPr>
        <w:tblStyle w:val="Mriekatabuky"/>
        <w:tblW w:w="9260" w:type="dxa"/>
        <w:jc w:val="center"/>
        <w:tblLook w:val="04A0" w:firstRow="1" w:lastRow="0" w:firstColumn="1" w:lastColumn="0" w:noHBand="0" w:noVBand="1"/>
      </w:tblPr>
      <w:tblGrid>
        <w:gridCol w:w="3086"/>
        <w:gridCol w:w="3087"/>
        <w:gridCol w:w="3087"/>
      </w:tblGrid>
      <w:tr w:rsidR="00055F80" w:rsidRPr="00055F80" w14:paraId="3FD94A08" w14:textId="77777777" w:rsidTr="007A5213">
        <w:trPr>
          <w:trHeight w:val="444"/>
          <w:jc w:val="center"/>
        </w:trPr>
        <w:tc>
          <w:tcPr>
            <w:tcW w:w="3086" w:type="dxa"/>
            <w:shd w:val="clear" w:color="auto" w:fill="B8CCE4" w:themeFill="accent1" w:themeFillTint="66"/>
            <w:vAlign w:val="center"/>
          </w:tcPr>
          <w:p w14:paraId="33695E74" w14:textId="77777777"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Rok</w:t>
            </w:r>
          </w:p>
        </w:tc>
        <w:tc>
          <w:tcPr>
            <w:tcW w:w="3087" w:type="dxa"/>
            <w:shd w:val="clear" w:color="auto" w:fill="B8CCE4" w:themeFill="accent1" w:themeFillTint="66"/>
            <w:vAlign w:val="center"/>
          </w:tcPr>
          <w:p w14:paraId="6C594940" w14:textId="77777777"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Počet podporených UoZ</w:t>
            </w:r>
          </w:p>
        </w:tc>
        <w:tc>
          <w:tcPr>
            <w:tcW w:w="3087" w:type="dxa"/>
            <w:shd w:val="clear" w:color="auto" w:fill="B8CCE4" w:themeFill="accent1" w:themeFillTint="66"/>
            <w:vAlign w:val="center"/>
          </w:tcPr>
          <w:p w14:paraId="385C1689" w14:textId="14E10F14"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 xml:space="preserve">Čerpanie finančných prostriedkov </w:t>
            </w:r>
            <w:r w:rsidRPr="00055F80">
              <w:rPr>
                <w:rFonts w:asciiTheme="minorHAnsi" w:hAnsiTheme="minorHAnsi" w:cstheme="minorHAnsi"/>
                <w:sz w:val="20"/>
                <w:szCs w:val="20"/>
              </w:rPr>
              <w:t xml:space="preserve">(v </w:t>
            </w:r>
            <w:r w:rsidR="009418BA">
              <w:rPr>
                <w:rFonts w:asciiTheme="minorHAnsi" w:hAnsiTheme="minorHAnsi" w:cstheme="minorHAnsi"/>
                <w:sz w:val="20"/>
                <w:szCs w:val="20"/>
              </w:rPr>
              <w:t>eur</w:t>
            </w:r>
            <w:r w:rsidRPr="00055F80">
              <w:rPr>
                <w:rFonts w:asciiTheme="minorHAnsi" w:hAnsiTheme="minorHAnsi" w:cstheme="minorHAnsi"/>
                <w:sz w:val="20"/>
                <w:szCs w:val="20"/>
              </w:rPr>
              <w:t>)</w:t>
            </w:r>
          </w:p>
        </w:tc>
      </w:tr>
      <w:tr w:rsidR="00055F80" w:rsidRPr="00055F80" w14:paraId="22D0D6CA" w14:textId="77777777" w:rsidTr="007A5213">
        <w:trPr>
          <w:trHeight w:val="307"/>
          <w:jc w:val="center"/>
        </w:trPr>
        <w:tc>
          <w:tcPr>
            <w:tcW w:w="3086" w:type="dxa"/>
            <w:shd w:val="clear" w:color="auto" w:fill="B8CCE4" w:themeFill="accent1" w:themeFillTint="66"/>
            <w:vAlign w:val="center"/>
          </w:tcPr>
          <w:p w14:paraId="0DF9DA98" w14:textId="3F712601" w:rsidR="00055F80" w:rsidRPr="00055F80" w:rsidRDefault="00E01D6F" w:rsidP="00265A02">
            <w:pPr>
              <w:spacing w:after="0"/>
              <w:ind w:left="0" w:firstLine="0"/>
              <w:jc w:val="center"/>
              <w:rPr>
                <w:rFonts w:asciiTheme="minorHAnsi" w:hAnsiTheme="minorHAnsi" w:cstheme="minorHAnsi"/>
                <w:b/>
                <w:sz w:val="20"/>
                <w:szCs w:val="20"/>
              </w:rPr>
            </w:pPr>
            <w:r>
              <w:rPr>
                <w:rFonts w:asciiTheme="minorHAnsi" w:hAnsiTheme="minorHAnsi" w:cstheme="minorHAnsi"/>
                <w:b/>
                <w:sz w:val="20"/>
                <w:szCs w:val="20"/>
              </w:rPr>
              <w:t>2023</w:t>
            </w:r>
          </w:p>
        </w:tc>
        <w:tc>
          <w:tcPr>
            <w:tcW w:w="3087" w:type="dxa"/>
            <w:vAlign w:val="center"/>
          </w:tcPr>
          <w:p w14:paraId="4543A9D9" w14:textId="5690B412" w:rsidR="00055F80" w:rsidRPr="00055F80" w:rsidRDefault="00E01D6F" w:rsidP="00265A02">
            <w:pPr>
              <w:spacing w:after="0"/>
              <w:ind w:left="0" w:firstLine="0"/>
              <w:jc w:val="center"/>
              <w:rPr>
                <w:rFonts w:asciiTheme="minorHAnsi" w:hAnsiTheme="minorHAnsi" w:cstheme="minorHAnsi"/>
                <w:sz w:val="20"/>
                <w:szCs w:val="20"/>
              </w:rPr>
            </w:pPr>
            <w:r>
              <w:rPr>
                <w:rFonts w:asciiTheme="minorHAnsi" w:hAnsiTheme="minorHAnsi" w:cstheme="minorHAnsi"/>
                <w:sz w:val="20"/>
                <w:szCs w:val="20"/>
              </w:rPr>
              <w:t>68</w:t>
            </w:r>
            <w:r w:rsidR="00055F80" w:rsidRPr="00055F80">
              <w:rPr>
                <w:rFonts w:asciiTheme="minorHAnsi" w:hAnsiTheme="minorHAnsi" w:cstheme="minorHAnsi"/>
                <w:sz w:val="20"/>
                <w:szCs w:val="20"/>
              </w:rPr>
              <w:t>3</w:t>
            </w:r>
          </w:p>
        </w:tc>
        <w:tc>
          <w:tcPr>
            <w:tcW w:w="3087" w:type="dxa"/>
            <w:vAlign w:val="center"/>
          </w:tcPr>
          <w:p w14:paraId="4FD7BF40" w14:textId="5AE52F2E" w:rsidR="00055F80" w:rsidRPr="00055F80" w:rsidRDefault="00E01D6F" w:rsidP="00E01D6F">
            <w:pPr>
              <w:spacing w:after="0"/>
              <w:ind w:left="0" w:firstLine="0"/>
              <w:jc w:val="center"/>
              <w:rPr>
                <w:rFonts w:asciiTheme="minorHAnsi" w:hAnsiTheme="minorHAnsi" w:cstheme="minorHAnsi"/>
                <w:sz w:val="20"/>
                <w:szCs w:val="20"/>
              </w:rPr>
            </w:pPr>
            <w:r>
              <w:rPr>
                <w:rFonts w:asciiTheme="minorHAnsi" w:hAnsiTheme="minorHAnsi" w:cstheme="minorHAnsi"/>
                <w:sz w:val="20"/>
                <w:szCs w:val="20"/>
              </w:rPr>
              <w:t>8 825</w:t>
            </w:r>
          </w:p>
        </w:tc>
      </w:tr>
      <w:tr w:rsidR="00055F80" w:rsidRPr="00055F80" w14:paraId="3724FFC3" w14:textId="77777777" w:rsidTr="007A5213">
        <w:trPr>
          <w:trHeight w:val="296"/>
          <w:jc w:val="center"/>
        </w:trPr>
        <w:tc>
          <w:tcPr>
            <w:tcW w:w="3086" w:type="dxa"/>
            <w:shd w:val="clear" w:color="auto" w:fill="B8CCE4" w:themeFill="accent1" w:themeFillTint="66"/>
            <w:vAlign w:val="center"/>
          </w:tcPr>
          <w:p w14:paraId="40CCC35F" w14:textId="4B85EE6B" w:rsidR="00055F80" w:rsidRPr="00055F80" w:rsidRDefault="00E01D6F" w:rsidP="00265A02">
            <w:pPr>
              <w:spacing w:after="0"/>
              <w:ind w:left="0" w:firstLine="0"/>
              <w:jc w:val="center"/>
              <w:rPr>
                <w:rFonts w:asciiTheme="minorHAnsi" w:hAnsiTheme="minorHAnsi" w:cstheme="minorHAnsi"/>
                <w:b/>
                <w:sz w:val="20"/>
                <w:szCs w:val="20"/>
              </w:rPr>
            </w:pPr>
            <w:r>
              <w:rPr>
                <w:rFonts w:asciiTheme="minorHAnsi" w:hAnsiTheme="minorHAnsi" w:cstheme="minorHAnsi"/>
                <w:b/>
                <w:sz w:val="20"/>
                <w:szCs w:val="20"/>
              </w:rPr>
              <w:t>2024</w:t>
            </w:r>
          </w:p>
        </w:tc>
        <w:tc>
          <w:tcPr>
            <w:tcW w:w="3087" w:type="dxa"/>
            <w:vAlign w:val="center"/>
          </w:tcPr>
          <w:p w14:paraId="0A6FF200" w14:textId="16B9CF57" w:rsidR="00055F80" w:rsidRPr="00055F80" w:rsidRDefault="00E01D6F" w:rsidP="00265A02">
            <w:pPr>
              <w:spacing w:after="0"/>
              <w:ind w:left="0" w:firstLine="0"/>
              <w:jc w:val="center"/>
              <w:rPr>
                <w:rFonts w:asciiTheme="minorHAnsi" w:hAnsiTheme="minorHAnsi" w:cstheme="minorHAnsi"/>
                <w:sz w:val="20"/>
                <w:szCs w:val="20"/>
              </w:rPr>
            </w:pPr>
            <w:r>
              <w:rPr>
                <w:rFonts w:asciiTheme="minorHAnsi" w:hAnsiTheme="minorHAnsi" w:cstheme="minorHAnsi"/>
                <w:sz w:val="20"/>
                <w:szCs w:val="20"/>
              </w:rPr>
              <w:t>779</w:t>
            </w:r>
          </w:p>
        </w:tc>
        <w:tc>
          <w:tcPr>
            <w:tcW w:w="3087" w:type="dxa"/>
            <w:vAlign w:val="center"/>
          </w:tcPr>
          <w:p w14:paraId="03A39F5A" w14:textId="38B76C63" w:rsidR="00055F80" w:rsidRPr="00055F80" w:rsidRDefault="00E01D6F" w:rsidP="00E01D6F">
            <w:pPr>
              <w:spacing w:after="0"/>
              <w:ind w:left="0" w:firstLine="0"/>
              <w:jc w:val="center"/>
              <w:rPr>
                <w:rFonts w:asciiTheme="minorHAnsi" w:hAnsiTheme="minorHAnsi" w:cstheme="minorHAnsi"/>
                <w:sz w:val="20"/>
                <w:szCs w:val="20"/>
              </w:rPr>
            </w:pPr>
            <w:r>
              <w:rPr>
                <w:rFonts w:asciiTheme="minorHAnsi" w:hAnsiTheme="minorHAnsi" w:cstheme="minorHAnsi"/>
                <w:sz w:val="20"/>
                <w:szCs w:val="20"/>
              </w:rPr>
              <w:t>8 427</w:t>
            </w:r>
          </w:p>
        </w:tc>
      </w:tr>
    </w:tbl>
    <w:p w14:paraId="7C96D99E" w14:textId="3D0F3070" w:rsidR="003D0F32" w:rsidRPr="00BB7CF4" w:rsidRDefault="003D0F32" w:rsidP="00C25B92">
      <w:pPr>
        <w:pStyle w:val="Nadpis2"/>
        <w:jc w:val="both"/>
      </w:pPr>
      <w:bookmarkStart w:id="65" w:name="_Toc199230828"/>
      <w:r w:rsidRPr="00BB7CF4">
        <w:t>Informačné a poraden</w:t>
      </w:r>
      <w:r w:rsidR="000728C5" w:rsidRPr="00BB7CF4">
        <w:t>ské služby pri voľbe povolania</w:t>
      </w:r>
      <w:r w:rsidR="007F1A21" w:rsidRPr="00BB7CF4">
        <w:t xml:space="preserve"> </w:t>
      </w:r>
      <w:r w:rsidR="006B113A" w:rsidRPr="00BB7CF4">
        <w:t xml:space="preserve">- </w:t>
      </w:r>
      <w:r w:rsidRPr="00BB7CF4">
        <w:t>§ 42 ods. 2 písm. a</w:t>
      </w:r>
      <w:bookmarkEnd w:id="62"/>
      <w:r w:rsidR="00C420D9" w:rsidRPr="00BB7CF4">
        <w:t> </w:t>
      </w:r>
      <w:r w:rsidR="006B113A" w:rsidRPr="00BB7CF4">
        <w:t>zákona</w:t>
      </w:r>
      <w:bookmarkStart w:id="66" w:name="_Toc135059358"/>
      <w:bookmarkEnd w:id="63"/>
      <w:r w:rsidR="00C420D9" w:rsidRPr="00BB7CF4">
        <w:t xml:space="preserve"> </w:t>
      </w:r>
      <w:r w:rsidR="00302EEF" w:rsidRPr="00BB7CF4">
        <w:t>o službách zamestnanosti</w:t>
      </w:r>
      <w:bookmarkEnd w:id="65"/>
      <w:bookmarkEnd w:id="66"/>
    </w:p>
    <w:p w14:paraId="396557D2" w14:textId="77777777" w:rsidR="00E01D6F" w:rsidRDefault="00EF593D" w:rsidP="00403086">
      <w:pPr>
        <w:spacing w:before="120" w:after="120"/>
        <w:ind w:firstLine="0"/>
      </w:pPr>
      <w:bookmarkStart w:id="67" w:name="_Toc451863343"/>
      <w:bookmarkStart w:id="68" w:name="_Toc37094598"/>
      <w:bookmarkEnd w:id="64"/>
      <w:r w:rsidRPr="00C35CA8">
        <w:t xml:space="preserve">Informačné a poradenské služby </w:t>
      </w:r>
      <w:r w:rsidR="002066A5">
        <w:t>(</w:t>
      </w:r>
      <w:r w:rsidR="002066A5" w:rsidRPr="002066A5">
        <w:t>IaPS</w:t>
      </w:r>
      <w:r w:rsidR="002066A5">
        <w:t>)</w:t>
      </w:r>
      <w:r w:rsidR="002066A5" w:rsidRPr="002066A5">
        <w:t xml:space="preserve"> pri voľbe povolania (ďalej len „preventívne poradenstvo“) sú služby pre žiakov a študentov škôl, ktorých hlavným cieľom je pomôcť im pri výbere vhodného štúdia alebo zamestnania predchádzaním nesprávnej voľby povolania a informovaním o situácii na TP a možnostiach ďalšieho štúdia. Preventívne poradenstvo pre žiakov základnej školy (ďalej len „ZŠ“) je zamerané najmä na oboznámenie sa s  charakteristikou povolaní, na identifikáciu predpokladov a požiadaviek na výkon určitého povolania a poskytovanie informácií o výbere typu strednej školy (ďalej len „SŠ“) a možnostiach ďalšieho štúdia. </w:t>
      </w:r>
    </w:p>
    <w:p w14:paraId="0B435F43" w14:textId="6119E4A4" w:rsidR="00E01D6F" w:rsidRDefault="00E01D6F" w:rsidP="00403086">
      <w:pPr>
        <w:spacing w:before="120" w:after="120"/>
        <w:ind w:firstLine="0"/>
      </w:pPr>
      <w:r w:rsidRPr="00E01D6F">
        <w:t>Preventívne poradenstvo bolo v roku 2024 poskytnuté pre 25 513 žiakov, z toho bolo 13 816 žiakov ZŠ (54,15 %), 11 597 žiakov SŠ (45,46 %) a 100 poslucháčov VŠ (0,39 %). Tieto služby boli poskytnuté 548 školám, z toho bolo 306 ZŠ, 240 SŠ a 2 VŠ. Preventívne poradenstvo pri voľbe povolania bolo poskytované prevažne v priestoroch úradov, ZŠ, SŠ a VŠ. Prehľad počtu žiakov, ktorým bolo poskytnuté preventívne poradenstvo v roku 2024, je uvedený v nasledujúcom grafe.</w:t>
      </w:r>
    </w:p>
    <w:p w14:paraId="3FB12A71" w14:textId="60735BFF" w:rsidR="002066A5" w:rsidRDefault="00E01D6F" w:rsidP="00403086">
      <w:pPr>
        <w:spacing w:before="120" w:after="120"/>
        <w:ind w:firstLine="0"/>
      </w:pPr>
      <w:r>
        <w:rPr>
          <w:noProof/>
          <w:highlight w:val="yellow"/>
        </w:rPr>
        <w:lastRenderedPageBreak/>
        <w:drawing>
          <wp:inline distT="0" distB="0" distL="0" distR="0" wp14:anchorId="449D40AB" wp14:editId="108B6740">
            <wp:extent cx="5760720" cy="3037398"/>
            <wp:effectExtent l="0" t="0" r="11430" b="1079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C62E56" w14:textId="62E10232" w:rsidR="00E01D6F" w:rsidRDefault="002066A5" w:rsidP="00E01D6F">
      <w:pPr>
        <w:spacing w:before="120" w:after="0"/>
        <w:ind w:hanging="6"/>
      </w:pPr>
      <w:r>
        <w:t>V</w:t>
      </w:r>
      <w:r w:rsidR="00E01D6F">
        <w:t xml:space="preserve"> rámci preventívneho poradenstva sú každoročne organizované BPaI pre žiakov ZŠ. Ich hlavným cieľom je najmä zvýšenie záujmu žiakov ZŠ o remeselné a technické povolania                             v súvislosti s ich nedostatkom na TP. </w:t>
      </w:r>
    </w:p>
    <w:p w14:paraId="654A99D2" w14:textId="1DEC454D" w:rsidR="00E01D6F" w:rsidRDefault="00E01D6F" w:rsidP="00E01D6F">
      <w:pPr>
        <w:spacing w:before="120" w:after="0"/>
        <w:ind w:hanging="6"/>
      </w:pPr>
      <w:r>
        <w:t>V roku 2024 bolo zrealizovaných 30 BI, ktoré zorganizovalo celkovo 25 úradov. BI sa zúčastnilo celkovo 255 ZŠ a prezentovalo sa na nich 370 SŠ a 79 zamestnávateľov.</w:t>
      </w:r>
      <w:r w:rsidR="002066A5">
        <w:t xml:space="preserve"> </w:t>
      </w:r>
    </w:p>
    <w:p w14:paraId="787C69AB" w14:textId="420B7F19" w:rsidR="002066A5" w:rsidRDefault="002066A5" w:rsidP="00E01D6F">
      <w:pPr>
        <w:pStyle w:val="Nadpis2"/>
        <w:ind w:left="578" w:hanging="578"/>
      </w:pPr>
      <w:bookmarkStart w:id="69" w:name="_Toc104729992"/>
      <w:bookmarkStart w:id="70" w:name="_Toc199230829"/>
      <w:r w:rsidRPr="00BB7CF4">
        <w:t>Odborné poradenské služby – § 43 zákona o službách zamestnanosti</w:t>
      </w:r>
      <w:bookmarkEnd w:id="69"/>
      <w:bookmarkEnd w:id="70"/>
    </w:p>
    <w:p w14:paraId="66DBF474" w14:textId="723EC95B" w:rsidR="00E01D6F" w:rsidRDefault="00E01D6F" w:rsidP="00E01D6F">
      <w:r>
        <w:t xml:space="preserve">Cieľom OPS je poskytovanie poradenskej podpory pre UoZ a ZoZ využívaním metód kariérového poradenstva, ktoré posilňujú motiváciu, ovplyvňujú postoje a rozvíjajú zručnosti pre riadenie vlastnej kariéry. OPS sú zamerané na riešenie problémov spojených s pracovným uplatnením UoZ, na vytváranie súladu medzi jeho osobnostnými predpokladmi a požiadavkami na vykonávanie určitého zamestnania, na ovplyvňovanie rozhodovania a správania sa UoZ, ako aj na jeho sociálnu a pracovnú adaptáciu. OPS realizované v rámci § 43 zákona sú zabezpečované prostredníctvom odborných poradcov, ktorí sú kmeňovými zamestnancami úradov. Charakter OPS realizovaných prostredníctvom § 43 je rôznorodý čo do formy, obsahu aj rozsahu (napr. individuálny akčný plán (ďalej len „IAP“), výbery do projektov a programov, výbery na vzdelávanie, bilancia kompetencií UoZ realizovaná výlučne individuálnou formou a hodnotiace a rozvojové centrum). Niektoré z týchto OPS majú charakter jednorazovej, resp. krátkodobej intervencie a niektoré zasa poskytujú klientom viac systematickú a dlhodobejšiu podporu. V roku 2024 poskytovalo OPS 150 kmeňových odborných poradcov úradov. </w:t>
      </w:r>
    </w:p>
    <w:p w14:paraId="75CCE3EE" w14:textId="77777777" w:rsidR="00E01D6F" w:rsidRDefault="00E01D6F" w:rsidP="00E01D6F">
      <w:pPr>
        <w:spacing w:before="120" w:after="0"/>
        <w:ind w:hanging="6"/>
      </w:pPr>
      <w:r>
        <w:t>V roku 2024 boli OPS v rámci § 43 poskytnuté celkovo pre 9 179 klientov, z toho 8 940 UoZ a 239 ZoZ. V priemere poskytol jeden kmeňový odborný poradca v roku 2024 OPS pre 61 klientov. Z celkového počtu klientov, ktorým boli v roku 2024 poskytnuté OPS, bolo 5 365 žien (58,45 %) a 3 814  mužov (41,55 %). V roku 2024 bolo klientom poskytnutých celkovo 25 460  OPS. Najpočetnejšou skupinou z pohľadu veku bola skupina klientov vo veku od 30 do 49 rokov v celkovom počte 4 326  klientov (47,13 %). Druhou najpočetnejšou skupinou klientov, ktorým boli poskytované OPS, boli klienti vo veku 50 rokov a viac – 2 061 klientov (22,45 %). Celková veková štruktúra klientov je znázornená v nasledujúcom grafe.</w:t>
      </w:r>
      <w:r w:rsidRPr="00E01D6F">
        <w:t xml:space="preserve"> </w:t>
      </w:r>
    </w:p>
    <w:p w14:paraId="551135C3" w14:textId="35A62A24" w:rsidR="00E01D6F" w:rsidRDefault="00E01D6F" w:rsidP="00E01D6F">
      <w:pPr>
        <w:spacing w:before="120" w:after="0"/>
        <w:ind w:hanging="6"/>
      </w:pPr>
      <w:r>
        <w:rPr>
          <w:noProof/>
          <w:highlight w:val="yellow"/>
        </w:rPr>
        <w:lastRenderedPageBreak/>
        <w:drawing>
          <wp:inline distT="0" distB="0" distL="0" distR="0" wp14:anchorId="42AB6E69" wp14:editId="73494D02">
            <wp:extent cx="5850890" cy="3236181"/>
            <wp:effectExtent l="0" t="0" r="16510" b="2540"/>
            <wp:docPr id="466" name="Graf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17B939" w14:textId="6DE4AE97" w:rsidR="00E01D6F" w:rsidRPr="00E01D6F" w:rsidRDefault="00E01D6F" w:rsidP="00C25B92">
      <w:pPr>
        <w:spacing w:before="120" w:after="120"/>
        <w:ind w:hanging="6"/>
      </w:pPr>
      <w:r w:rsidRPr="00E01D6F">
        <w:t>Z hľadiska vzdelanostnej štruktúry medzi klientmi OPS dominovala skupina klientov s úplným stredným odborným vzdelaním (2 947 klientov – t. j. 32,11 %). Celková vzdelanostná štruktúra klientov je uvedená v nasledujúcom grafe.</w:t>
      </w:r>
    </w:p>
    <w:p w14:paraId="5C706B1C" w14:textId="0F0AE966" w:rsidR="002066A5" w:rsidRDefault="00E01D6F" w:rsidP="002066A5">
      <w:r>
        <w:rPr>
          <w:noProof/>
          <w:highlight w:val="yellow"/>
        </w:rPr>
        <w:drawing>
          <wp:inline distT="0" distB="0" distL="0" distR="0" wp14:anchorId="30A8B47D" wp14:editId="16803252">
            <wp:extent cx="5760720" cy="3164619"/>
            <wp:effectExtent l="0" t="0" r="11430" b="17145"/>
            <wp:docPr id="508" name="Graf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6F4117" w14:textId="6618971F" w:rsidR="002066A5" w:rsidRDefault="00E01D6F" w:rsidP="0090767F">
      <w:pPr>
        <w:spacing w:before="120" w:after="120"/>
        <w:ind w:hanging="6"/>
      </w:pPr>
      <w:r w:rsidRPr="00E01D6F">
        <w:t>Pokiaľ ide o štruktúru UoZ, v roku 2024 boli OPS vo výraznej väčšine poskytované predovšetkým ZUoZ, a to až 86,78 % (7 758 UoZ) z celkového počtu UoZ, ktorým boli poskytnuté OPS, malo minimálne jedno znevýhodnenie. Medzi nimi boli najviac zastúpení UoZ, ktorí 12 po sebe nasledujúcich kalendárnych mesiacov pred zaradením do evidencie UoZ nemali pravidelne platené zamestnanie (5 418 UoZ, t. j. 60,60 %), za nimi nasledovali DN UoZ (4 378, t. j. 48,97 %) a občania s nižším vzdelaním ako stredné odborné (2 177 – 24,35 %). Vyššie zastúpenie najčastejšie sa vyskytujúcich znevýhodnení v rámci evidencie UoZ poukazuje na cielenejší výber, a tým aj na zvýšenie dostupnosti OPS pre tieto skupiny UoZ. Štruktúra znevýhodnení UoZ je uvedená v grafe nižšie.</w:t>
      </w:r>
    </w:p>
    <w:p w14:paraId="1420D737" w14:textId="35412268" w:rsidR="002066A5" w:rsidRDefault="00E066BC" w:rsidP="00E066BC">
      <w:pPr>
        <w:ind w:firstLine="0"/>
      </w:pPr>
      <w:r>
        <w:rPr>
          <w:noProof/>
          <w:highlight w:val="yellow"/>
        </w:rPr>
        <w:lastRenderedPageBreak/>
        <w:drawing>
          <wp:inline distT="0" distB="0" distL="0" distR="0" wp14:anchorId="1ED1BF35" wp14:editId="1967BB76">
            <wp:extent cx="5883910" cy="3101009"/>
            <wp:effectExtent l="0" t="0" r="2540" b="4445"/>
            <wp:docPr id="509" name="Graf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C735FB" w14:textId="77777777" w:rsidR="00E066BC" w:rsidRDefault="00E066BC" w:rsidP="00E066BC">
      <w:pPr>
        <w:spacing w:before="120" w:after="0"/>
        <w:ind w:hanging="6"/>
        <w:rPr>
          <w:color w:val="000000" w:themeColor="text1"/>
        </w:rPr>
      </w:pPr>
      <w:r w:rsidRPr="00E066BC">
        <w:t xml:space="preserve">OPS boli realizované individuálnou a skupinovou </w:t>
      </w:r>
      <w:r w:rsidRPr="00E066BC">
        <w:rPr>
          <w:color w:val="000000" w:themeColor="text1"/>
        </w:rPr>
        <w:t>formou. V prevažnej miere boli v roku 2024 OPS pos</w:t>
      </w:r>
      <w:r>
        <w:rPr>
          <w:color w:val="000000" w:themeColor="text1"/>
        </w:rPr>
        <w:t xml:space="preserve">kytované individuálnou formou - </w:t>
      </w:r>
      <w:r w:rsidRPr="00E066BC">
        <w:rPr>
          <w:color w:val="000000" w:themeColor="text1"/>
        </w:rPr>
        <w:t xml:space="preserve">bolo poskytnutých 19 911 individuálnych poradenských služieb (78,21 %) a 5 549 skupinových poradenských služieb (21,79 %). </w:t>
      </w:r>
    </w:p>
    <w:p w14:paraId="00697E80" w14:textId="443DBEA2" w:rsidR="00E066BC" w:rsidRPr="00E066BC" w:rsidRDefault="00E066BC" w:rsidP="00E066BC">
      <w:pPr>
        <w:spacing w:before="120" w:after="0"/>
        <w:ind w:hanging="6"/>
      </w:pPr>
      <w:r w:rsidRPr="00E066BC">
        <w:t xml:space="preserve">Štruktúru OPS poskytnutých v roku 2024 v členení podľa formy realizácie (individuálna alebo skupinová forma) vyjadruje nasledujúci graf. </w:t>
      </w:r>
    </w:p>
    <w:p w14:paraId="595A2206" w14:textId="47712100" w:rsidR="00E066BC" w:rsidRDefault="00E066BC" w:rsidP="00D036C4">
      <w:pPr>
        <w:ind w:hanging="142"/>
      </w:pPr>
    </w:p>
    <w:p w14:paraId="5A0BD0EC" w14:textId="5ED1996D" w:rsidR="00E066BC" w:rsidRDefault="00E066BC" w:rsidP="00E066BC">
      <w:pPr>
        <w:ind w:firstLine="0"/>
      </w:pPr>
      <w:r>
        <w:rPr>
          <w:noProof/>
          <w:highlight w:val="yellow"/>
        </w:rPr>
        <w:drawing>
          <wp:inline distT="0" distB="0" distL="0" distR="0" wp14:anchorId="29F7E4BC" wp14:editId="347378AD">
            <wp:extent cx="5803900" cy="2798859"/>
            <wp:effectExtent l="0" t="0" r="6350" b="1905"/>
            <wp:docPr id="510" name="Graf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6CBE7D" w14:textId="16468581" w:rsidR="00E066BC" w:rsidRDefault="002066A5" w:rsidP="00E066BC">
      <w:pPr>
        <w:spacing w:before="120" w:after="0"/>
        <w:ind w:firstLine="0"/>
      </w:pPr>
      <w:r>
        <w:t>V rámci</w:t>
      </w:r>
      <w:r w:rsidR="00E066BC" w:rsidRPr="00E066BC">
        <w:t xml:space="preserve"> </w:t>
      </w:r>
      <w:r w:rsidR="00E066BC">
        <w:t>OPS boli v roku 2024 poskytované najmä nasledovné aktivity:</w:t>
      </w:r>
    </w:p>
    <w:p w14:paraId="2DD4BF97" w14:textId="345CF78A" w:rsidR="00E066BC" w:rsidRDefault="00E066BC" w:rsidP="00E066BC">
      <w:pPr>
        <w:pStyle w:val="Odsekzoznamu"/>
        <w:numPr>
          <w:ilvl w:val="0"/>
          <w:numId w:val="40"/>
        </w:numPr>
        <w:spacing w:after="0"/>
        <w:ind w:left="284" w:hanging="284"/>
      </w:pPr>
      <w:r w:rsidRPr="00E066BC">
        <w:rPr>
          <w:b/>
        </w:rPr>
        <w:t>Vypracovávanie individuálnych akčných plánov</w:t>
      </w:r>
      <w:r>
        <w:t xml:space="preserve"> (ďalej len „IAP“) UoZ. IAP je písomný dokument, ktorý na základe činností a postupov OPS určuje opatrenia, postup a časový harmonogram plnenia jednotlivých opatrení na zvýšenie možností uplatnenia ZUoZ na TP. Celkovo boli v roku 2024 OPS formou IAP poskytnuté 3 839 ZUoZ, čo predstavuje pokles oproti roku 2023 o 165 vypracovaných IAP. Celkovo bolo v rámci zrealizovaných IAP uskutočnených 12 713 individuálnych stretnutí. V prípade dokončenia  poradenského procesu v rámci IAP je výstupom z poradenského procesu vypracovanie plánu opatrení na zvýšenie možností uplatnenia sa na TP. V roku 2024 ukončilo realizáciu IAP vypracovaním záverečného výstupu z poradenského procesu, t. j. plánom opatrení 3 656 ZUoZ. </w:t>
      </w:r>
    </w:p>
    <w:p w14:paraId="55C6D933" w14:textId="70897950" w:rsidR="00E066BC" w:rsidRDefault="00E066BC" w:rsidP="00E066BC">
      <w:pPr>
        <w:pStyle w:val="Odsekzoznamu"/>
        <w:numPr>
          <w:ilvl w:val="0"/>
          <w:numId w:val="40"/>
        </w:numPr>
        <w:spacing w:after="0"/>
        <w:ind w:left="284" w:hanging="284"/>
      </w:pPr>
      <w:r w:rsidRPr="00E066BC">
        <w:rPr>
          <w:b/>
        </w:rPr>
        <w:lastRenderedPageBreak/>
        <w:t>Poradenské rozhovory mimo IAP</w:t>
      </w:r>
      <w:r>
        <w:t xml:space="preserve"> sú formou OPS, ktorá je obdobná ako IAP, avšak môže byť poskytovaná aj UoZ, ktorí nie sú znevýhodnení. </w:t>
      </w:r>
    </w:p>
    <w:p w14:paraId="48874F18" w14:textId="77777777" w:rsidR="00E066BC" w:rsidRDefault="00E066BC" w:rsidP="00E066BC">
      <w:pPr>
        <w:spacing w:before="120" w:after="0"/>
        <w:ind w:left="284" w:firstLine="0"/>
      </w:pPr>
      <w:r>
        <w:t xml:space="preserve">Opakované individuálne poradenské rozhovory realizované mimo IAP boli v roku 2024 poskytnuté 1 627 UoZ. Celkovo bolo v rámci opakovaných poradenských rozhovorov mimo IAP uskutočnených 3 092 individuálnych stretnutí. Podobne ako pri IAP, aj pri tejto forme OPS je v prípade dokončenia poradenského procesu výstupom z poradenského procesu vypracovanie plánu opatrení na zvýšenie možností uplatnenia sa na TP. V roku 2024 ukončilo realizáciu individuálneho poradenského rozhovoru opakovaného realizovaného mimo IAP vypracovaním záverečného výstupu z poradenského procesu, t. j. plánom opatrení 1 226 UoZ.  </w:t>
      </w:r>
    </w:p>
    <w:p w14:paraId="09F23632" w14:textId="77777777" w:rsidR="00E066BC" w:rsidRDefault="00E066BC" w:rsidP="00E066BC">
      <w:pPr>
        <w:spacing w:before="120" w:after="0"/>
        <w:ind w:left="284" w:firstLine="0"/>
      </w:pPr>
      <w:r>
        <w:t>Jednorazové individuálne poradenské rozhovory mimo IAP boli v roku 2024 poskytnuté 439 klientom.</w:t>
      </w:r>
    </w:p>
    <w:p w14:paraId="125E6FC5" w14:textId="77777777" w:rsidR="00E066BC" w:rsidRDefault="00E066BC" w:rsidP="00E066BC">
      <w:pPr>
        <w:pStyle w:val="Odsekzoznamu"/>
        <w:numPr>
          <w:ilvl w:val="0"/>
          <w:numId w:val="40"/>
        </w:numPr>
        <w:spacing w:after="0"/>
        <w:ind w:left="284" w:hanging="284"/>
      </w:pPr>
      <w:r w:rsidRPr="00E066BC">
        <w:rPr>
          <w:b/>
        </w:rPr>
        <w:t>Skupinové poradenské aktivity</w:t>
      </w:r>
      <w:r>
        <w:t>, ktoré boli opakované boli poskytnuté 1 658 klientom a tie, ktoré  boli jednorazové, ktoré boli poskytnuté 948 klientom.</w:t>
      </w:r>
    </w:p>
    <w:p w14:paraId="1F6FDA2D" w14:textId="77777777" w:rsidR="00E066BC" w:rsidRDefault="00E066BC" w:rsidP="00E066BC">
      <w:pPr>
        <w:pStyle w:val="Odsekzoznamu"/>
        <w:numPr>
          <w:ilvl w:val="0"/>
          <w:numId w:val="40"/>
        </w:numPr>
        <w:spacing w:after="0"/>
        <w:ind w:left="284" w:hanging="284"/>
      </w:pPr>
      <w:r w:rsidRPr="00E066BC">
        <w:rPr>
          <w:b/>
        </w:rPr>
        <w:t>Podporné poradenstvo pred rekvalifikáciou/vzdelávaním</w:t>
      </w:r>
      <w:r>
        <w:t xml:space="preserve"> je špecifický nástroj individuálnych OPS, ktorý je zameraný na konzultáciu UoZ/ZoZ s odborným poradcom s cieľom posúdiť potrebu vzdelávania pre účely uplatnenia sa na trhu práce, identifikovať ju, ak taká potreba existuje, a bližšie ju špecifikovať. Táto poradenská služby bola v roku 2024 poskytnutá 338 UoZ.</w:t>
      </w:r>
    </w:p>
    <w:p w14:paraId="3A4A3C68" w14:textId="1191BF98" w:rsidR="00E066BC" w:rsidRDefault="00E066BC" w:rsidP="00E066BC">
      <w:pPr>
        <w:pStyle w:val="Odsekzoznamu"/>
        <w:numPr>
          <w:ilvl w:val="0"/>
          <w:numId w:val="40"/>
        </w:numPr>
        <w:spacing w:after="0"/>
        <w:ind w:left="284" w:hanging="284"/>
      </w:pPr>
      <w:r w:rsidRPr="00E066BC">
        <w:rPr>
          <w:b/>
        </w:rPr>
        <w:t>Hodnotiace a rozvojové centrum</w:t>
      </w:r>
      <w:r>
        <w:t xml:space="preserve"> je jednorazová intenzívna OPS, ktorá umožňuje účastníkom zhodnotiť svoje kompetencie a osobnostné predpoklady a pripraviť sa                                 na VK realizované formou assessment centra. Hodnotiace a rozvojové centrum bolo v roku 2024 poskytnuté pre 111 klientov.</w:t>
      </w:r>
    </w:p>
    <w:p w14:paraId="4CFC455C" w14:textId="57329FFB" w:rsidR="00E066BC" w:rsidRDefault="00E066BC" w:rsidP="00E066BC">
      <w:pPr>
        <w:spacing w:before="120" w:after="0"/>
        <w:ind w:firstLine="0"/>
      </w:pPr>
      <w:r>
        <w:t>UoZ, ktorý sa zúčastňuje OPS v rámci § 43, môže byť poskytnutá náhrada výdavkov na stravné, ubytovanie a výdavkov na dopravu z miesta trvalého pobytu alebo prechodného pobytu do miesta poskytovania OPS a späť podľa zákona č. 283/2002 Z. z. o cestovných náhradách v znení neskorších predpisov. V roku 2024 bola náhrada výdavkov na stravné, ubytovanie a cestovné bola poskytnutá 7 173 UoZ vo výške 144 505 eur.</w:t>
      </w:r>
    </w:p>
    <w:p w14:paraId="7C08490E" w14:textId="04FDC3A0" w:rsidR="002066A5" w:rsidRPr="00210AB7" w:rsidRDefault="00E066BC" w:rsidP="00E066BC">
      <w:pPr>
        <w:spacing w:before="120" w:after="0"/>
        <w:ind w:firstLine="0"/>
      </w:pPr>
      <w:r>
        <w:t xml:space="preserve">Celková úspešnosť OPS poskytnutých v rámci § 43 bola 65,14 % (z 9 730 UoZ, ktorí v roku 2024 absolvovali OPS, bolo 6 338 UoZ umiestnených na TP do šesť mesiacov od ukončenia OPS). </w:t>
      </w:r>
      <w:r w:rsidR="002066A5">
        <w:t xml:space="preserve"> </w:t>
      </w:r>
    </w:p>
    <w:p w14:paraId="7E5B0939" w14:textId="6434F5B3" w:rsidR="00F97718" w:rsidRPr="00BB7CF4" w:rsidRDefault="00F97718" w:rsidP="00BB7CF4">
      <w:pPr>
        <w:pStyle w:val="Nadpis2"/>
        <w:jc w:val="both"/>
      </w:pPr>
      <w:bookmarkStart w:id="71" w:name="_Toc514941045"/>
      <w:bookmarkStart w:id="72" w:name="_Toc37094603"/>
      <w:bookmarkStart w:id="73" w:name="_Toc199230830"/>
      <w:bookmarkStart w:id="74" w:name="_Hlk103521264"/>
      <w:bookmarkEnd w:id="67"/>
      <w:bookmarkEnd w:id="68"/>
      <w:r w:rsidRPr="00BB7CF4">
        <w:t>Príspevok na aktivačnú činnosť formou menších obecných služieb pre obec alebo</w:t>
      </w:r>
      <w:r w:rsidR="00C420D9" w:rsidRPr="00BB7CF4">
        <w:t xml:space="preserve"> </w:t>
      </w:r>
      <w:r w:rsidRPr="00BB7CF4">
        <w:t>formou menších služieb pre samosprávny kraj - § 52 zákona</w:t>
      </w:r>
      <w:bookmarkEnd w:id="71"/>
      <w:bookmarkEnd w:id="72"/>
      <w:r w:rsidR="002A7E0C" w:rsidRPr="00BB7CF4">
        <w:t xml:space="preserve"> o</w:t>
      </w:r>
      <w:r w:rsidR="00C420D9" w:rsidRPr="00BB7CF4">
        <w:t> </w:t>
      </w:r>
      <w:r w:rsidR="002A7E0C" w:rsidRPr="00BB7CF4">
        <w:t>službách</w:t>
      </w:r>
      <w:r w:rsidR="00C420D9" w:rsidRPr="00BB7CF4">
        <w:t xml:space="preserve"> </w:t>
      </w:r>
      <w:r w:rsidR="002A7E0C" w:rsidRPr="00BB7CF4">
        <w:t>zamestnanosti</w:t>
      </w:r>
      <w:bookmarkEnd w:id="73"/>
    </w:p>
    <w:p w14:paraId="3E99589F" w14:textId="6A4F8FFC" w:rsidR="00BD511D" w:rsidRDefault="00BD511D" w:rsidP="00BD511D">
      <w:r>
        <w:t xml:space="preserve">Aktivačná činnosť (AČ) formou menších obecných služieb pre obec alebo formou menších služieb pre samosprávny kraj je podpora udržiavania pracovných návykov dlhodobo nezamestnaného občana, ktorý je poberateľom dávky v hmotnej núdzi a príspevkov k dávke </w:t>
      </w:r>
      <w:r w:rsidR="008D7279">
        <w:t xml:space="preserve">   </w:t>
      </w:r>
      <w:r>
        <w:t xml:space="preserve">v hmotnej núdzi. Menšie obecné služby pre obec alebo menšie služby pre samosprávny kraj dlhodobo nezamestnaný občan vykonáva nepretržite, najviac počas šiestich kalendárnych mesiacov v rozsahu najviac 20 hodín týždenne, okrem týždňa, v ktorom sa AČ začala, </w:t>
      </w:r>
      <w:r w:rsidR="00E066BC">
        <w:t xml:space="preserve">                       </w:t>
      </w:r>
      <w:r>
        <w:t>s možnosťou jej opakovaného vykonávania najviac počas ďalších dvanástich kalendárnych mesiacov. Úrad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(ďalej len „CCP“) zamestnanca, ktorý organizuje AČ.</w:t>
      </w:r>
    </w:p>
    <w:p w14:paraId="6522CC14" w14:textId="77777777" w:rsidR="0090767F" w:rsidRDefault="00BD511D" w:rsidP="00BD511D">
      <w:pPr>
        <w:spacing w:before="120" w:after="0"/>
        <w:ind w:hanging="6"/>
      </w:pPr>
      <w:r>
        <w:lastRenderedPageBreak/>
        <w:t xml:space="preserve">Na AČ formou menších obecných služieb pre obec alebo formou menších služieb pre samosprávny kraj bolo v roku 2023 zaradených 56 UoZ, </w:t>
      </w:r>
      <w:r w:rsidR="00E4499B">
        <w:t>vyčerpaná</w:t>
      </w:r>
      <w:r>
        <w:t xml:space="preserve"> suma finančných prostriedkov bola 260 951 </w:t>
      </w:r>
      <w:r w:rsidR="009418BA">
        <w:t>eur</w:t>
      </w:r>
      <w:r>
        <w:t xml:space="preserve">. </w:t>
      </w:r>
    </w:p>
    <w:p w14:paraId="1ED42206" w14:textId="75F512CB" w:rsidR="00BD511D" w:rsidRPr="00BD511D" w:rsidRDefault="00BD511D" w:rsidP="0090767F">
      <w:pPr>
        <w:spacing w:before="120" w:after="0"/>
        <w:ind w:hanging="6"/>
      </w:pPr>
      <w:r>
        <w:t>V zmysle novely zákona o službách zamestnanosti</w:t>
      </w:r>
      <w:r w:rsidR="00E4499B">
        <w:t>, s</w:t>
      </w:r>
      <w:r>
        <w:t xml:space="preserve"> účinnou od 1.</w:t>
      </w:r>
      <w:r w:rsidR="00E4499B">
        <w:t xml:space="preserve"> </w:t>
      </w:r>
      <w:r>
        <w:t>1.</w:t>
      </w:r>
      <w:r w:rsidR="00E4499B">
        <w:t xml:space="preserve"> </w:t>
      </w:r>
      <w:r>
        <w:t>2023, na príspevok poskytovaný podľa § 52 nie je právny nárok.</w:t>
      </w:r>
      <w:r w:rsidR="0090767F">
        <w:t xml:space="preserve"> Z uvedeného dôvodu nebola v roku 2024 na AČ uzatvorená žiadna </w:t>
      </w:r>
      <w:r w:rsidR="007E7837">
        <w:t xml:space="preserve">dohoda </w:t>
      </w:r>
      <w:bookmarkStart w:id="75" w:name="_Toc514941046"/>
      <w:bookmarkStart w:id="76" w:name="_Toc37094604"/>
      <w:bookmarkStart w:id="77" w:name="_Hlk103522189"/>
      <w:bookmarkEnd w:id="74"/>
      <w:r w:rsidR="0090767F">
        <w:t>o poskytnutí príspevku a neboli čerpané žiadne finančné prostriedky.</w:t>
      </w:r>
    </w:p>
    <w:p w14:paraId="7FD8B887" w14:textId="162C67DB" w:rsidR="00CA36D1" w:rsidRDefault="00CA36D1" w:rsidP="00021050">
      <w:pPr>
        <w:spacing w:before="40" w:after="120"/>
        <w:ind w:firstLine="0"/>
        <w:jc w:val="center"/>
        <w:rPr>
          <w:rFonts w:eastAsiaTheme="minorHAnsi"/>
        </w:rPr>
      </w:pPr>
      <w:bookmarkStart w:id="78" w:name="_Toc514941050"/>
      <w:bookmarkStart w:id="79" w:name="_Toc37094608"/>
      <w:bookmarkStart w:id="80" w:name="_Hlk37971687"/>
      <w:bookmarkStart w:id="81" w:name="_Hlk103524872"/>
      <w:bookmarkEnd w:id="75"/>
      <w:bookmarkEnd w:id="76"/>
      <w:bookmarkEnd w:id="77"/>
    </w:p>
    <w:p w14:paraId="6564C4E3" w14:textId="2042256C" w:rsidR="00374BBA" w:rsidRPr="00C760A0" w:rsidRDefault="009D51D7" w:rsidP="00C760A0">
      <w:pPr>
        <w:pStyle w:val="Nadpis1"/>
      </w:pPr>
      <w:bookmarkStart w:id="82" w:name="_Toc199230831"/>
      <w:r w:rsidRPr="00C760A0">
        <w:t xml:space="preserve">VYHODNOTENIE UPLATŇOVANIA </w:t>
      </w:r>
      <w:r w:rsidR="00896D68" w:rsidRPr="00C760A0">
        <w:t>AKTÍVNYCH OPATRENÍ TRHU PRÁCE</w:t>
      </w:r>
      <w:r w:rsidR="006A41F2" w:rsidRPr="00C760A0">
        <w:br/>
      </w:r>
      <w:r w:rsidRPr="00C760A0">
        <w:t>ZAMERANÝCH</w:t>
      </w:r>
      <w:bookmarkEnd w:id="78"/>
      <w:r w:rsidRPr="00C760A0">
        <w:t xml:space="preserve"> </w:t>
      </w:r>
      <w:bookmarkStart w:id="83" w:name="_Toc514941051"/>
      <w:r w:rsidRPr="00C760A0">
        <w:t>NA ZVÝŠENIE</w:t>
      </w:r>
      <w:r w:rsidR="009256B3" w:rsidRPr="00C760A0">
        <w:t xml:space="preserve"> </w:t>
      </w:r>
      <w:r w:rsidRPr="00C760A0">
        <w:t>ZAMESTNANOSTI</w:t>
      </w:r>
      <w:bookmarkEnd w:id="79"/>
      <w:bookmarkEnd w:id="82"/>
      <w:bookmarkEnd w:id="83"/>
      <w:r w:rsidRPr="00C760A0">
        <w:t xml:space="preserve"> </w:t>
      </w:r>
    </w:p>
    <w:p w14:paraId="6FBFCC73" w14:textId="1D48B049" w:rsidR="00682942" w:rsidRPr="00C760A0" w:rsidRDefault="00682942" w:rsidP="00C760A0">
      <w:pPr>
        <w:pStyle w:val="Nadpis2"/>
        <w:jc w:val="both"/>
      </w:pPr>
      <w:bookmarkStart w:id="84" w:name="_Toc199230832"/>
      <w:bookmarkStart w:id="85" w:name="_Hlk103525832"/>
      <w:bookmarkStart w:id="86" w:name="_Toc514941056"/>
      <w:bookmarkStart w:id="87" w:name="_Toc37094614"/>
      <w:bookmarkStart w:id="88" w:name="_Hlk37971798"/>
      <w:bookmarkEnd w:id="80"/>
      <w:bookmarkEnd w:id="81"/>
      <w:r w:rsidRPr="00C760A0">
        <w:t>Príspevok na vytvorenie nového pracovného miesta - § 53d zákona o</w:t>
      </w:r>
      <w:r w:rsidR="007F102E" w:rsidRPr="00C760A0">
        <w:t> </w:t>
      </w:r>
      <w:r w:rsidRPr="00C760A0">
        <w:t>službách</w:t>
      </w:r>
      <w:r w:rsidR="007F102E" w:rsidRPr="00C760A0">
        <w:br/>
      </w:r>
      <w:r w:rsidRPr="00C760A0">
        <w:t>zamestnanosti</w:t>
      </w:r>
      <w:bookmarkEnd w:id="84"/>
    </w:p>
    <w:p w14:paraId="59A8791B" w14:textId="6737D121" w:rsidR="00E23598" w:rsidRPr="00E23598" w:rsidRDefault="008A5537" w:rsidP="008F210F">
      <w:pPr>
        <w:widowControl w:val="0"/>
        <w:suppressAutoHyphens/>
        <w:autoSpaceDN w:val="0"/>
        <w:spacing w:before="120" w:after="120"/>
        <w:ind w:firstLine="0"/>
        <w:textAlignment w:val="baseline"/>
        <w:rPr>
          <w:rFonts w:eastAsia="Calibri"/>
          <w:b/>
          <w:kern w:val="3"/>
        </w:rPr>
      </w:pPr>
      <w:bookmarkStart w:id="89" w:name="_Hlk103526048"/>
      <w:bookmarkEnd w:id="85"/>
      <w:r>
        <w:rPr>
          <w:rFonts w:eastAsia="Calibri"/>
          <w:kern w:val="3"/>
        </w:rPr>
        <w:t>Pozrieť kapitolu</w:t>
      </w:r>
      <w:r w:rsidR="00CD0895">
        <w:rPr>
          <w:rFonts w:eastAsia="Calibri"/>
          <w:kern w:val="3"/>
        </w:rPr>
        <w:t xml:space="preserve"> 2.1</w:t>
      </w:r>
      <w:r>
        <w:rPr>
          <w:rFonts w:eastAsia="Calibri"/>
          <w:kern w:val="3"/>
        </w:rPr>
        <w:t xml:space="preserve">, </w:t>
      </w:r>
      <w:r w:rsidR="008154C4" w:rsidRPr="008154C4">
        <w:rPr>
          <w:rFonts w:eastAsia="Calibri"/>
          <w:kern w:val="3"/>
        </w:rPr>
        <w:t>str. 15</w:t>
      </w:r>
      <w:r w:rsidR="00E23598" w:rsidRPr="008154C4">
        <w:rPr>
          <w:rFonts w:eastAsia="Calibri"/>
          <w:kern w:val="3"/>
        </w:rPr>
        <w:t xml:space="preserve"> </w:t>
      </w:r>
      <w:r w:rsidR="00E23598" w:rsidRPr="00CD0895">
        <w:rPr>
          <w:rFonts w:eastAsia="Calibri"/>
          <w:kern w:val="3"/>
        </w:rPr>
        <w:t>- Poskytnutá investičná pomoc investorom</w:t>
      </w:r>
      <w:r w:rsidR="00E23598">
        <w:rPr>
          <w:rFonts w:eastAsia="Calibri"/>
          <w:b/>
          <w:kern w:val="3"/>
        </w:rPr>
        <w:t xml:space="preserve"> </w:t>
      </w:r>
    </w:p>
    <w:p w14:paraId="2FCB1A10" w14:textId="3DAA2F9A" w:rsidR="00682942" w:rsidRPr="00C760A0" w:rsidRDefault="00682942" w:rsidP="00C760A0">
      <w:pPr>
        <w:pStyle w:val="Nadpis2"/>
      </w:pPr>
      <w:bookmarkStart w:id="90" w:name="_Toc199230833"/>
      <w:r w:rsidRPr="00C760A0">
        <w:t xml:space="preserve">Umiestňovací </w:t>
      </w:r>
      <w:r w:rsidR="008F210F" w:rsidRPr="00C760A0">
        <w:t>príspevok - § 19a zákona o sociálnej ekonomike</w:t>
      </w:r>
      <w:bookmarkEnd w:id="90"/>
    </w:p>
    <w:p w14:paraId="1A1A029D" w14:textId="77777777" w:rsidR="00CF39FB" w:rsidRDefault="00CF39FB" w:rsidP="00CF39FB">
      <w:bookmarkStart w:id="91" w:name="_Hlk37971852"/>
      <w:bookmarkEnd w:id="86"/>
      <w:bookmarkEnd w:id="87"/>
      <w:bookmarkEnd w:id="88"/>
      <w:bookmarkEnd w:id="89"/>
      <w:r>
        <w:t>Predmetný príspevok sa poskytoval z národného projektu „Poskytovanie finančných príspevkov integračným podnikom“, ktorý sa začal realizovať v marci 2024 a ktorého hlavným cieľom je podpora pracovnej integrácie znevýhodnených a zraniteľných osôb a ich následné udržanie na pracovnom trhu prostredníctvom AOTP v zmysle schválenej legislatívny o sociálnej ekonomike.</w:t>
      </w:r>
    </w:p>
    <w:p w14:paraId="72E2EDC4" w14:textId="77777777" w:rsidR="00CF39FB" w:rsidRDefault="00CF39FB" w:rsidP="00CF39FB">
      <w:pPr>
        <w:spacing w:before="120" w:after="0"/>
        <w:ind w:hanging="6"/>
      </w:pPr>
      <w:r>
        <w:t>Umiestňovací príspevok poskytuje úrad integračnému podniku, ktorý skončí dohodou pracovný pomer najneskôr do dvoch rokov od vzniku tohto pracovného pomeru so zamestnancom, ktorý bol znevýhodnenou osobou v zmysle § 2 ods. 5 zákona o sociálnej ekonomike a ktorému najneskôr do jedného mesiaca odo dňa skončenia pracovného pomeru v integračnom podniku vznikol pracovný pomer u zamestnávateľa, ktorý nie je integračným podnikom, závislou osobou integračného podniku, ani chránenou dielňou.</w:t>
      </w:r>
    </w:p>
    <w:p w14:paraId="06C862E8" w14:textId="5A6FDAA5" w:rsidR="00CF39FB" w:rsidRDefault="00CF39FB" w:rsidP="00CF39FB">
      <w:pPr>
        <w:spacing w:before="120" w:after="0"/>
        <w:ind w:hanging="6"/>
      </w:pPr>
      <w:r>
        <w:t>V roku 2024 bolo zaradených na otvorený trh práce 25 osôb, čo je o 12 osôb viac ako v roku 2023 .</w:t>
      </w:r>
    </w:p>
    <w:p w14:paraId="6C055CEB" w14:textId="50870492" w:rsidR="00A06B65" w:rsidRPr="00377F2D" w:rsidRDefault="00CF39FB" w:rsidP="00CF39FB">
      <w:pPr>
        <w:spacing w:before="120" w:after="0"/>
        <w:ind w:hanging="6"/>
      </w:pPr>
      <w:r>
        <w:t>Celková čerpaná suma finančných prostriedkov v roku 2024 bola 54 975 eur, čo predstavuje oproti roku 2023 nárast o 43 526 eur.</w:t>
      </w:r>
    </w:p>
    <w:p w14:paraId="32CB14A6" w14:textId="7F6476C7" w:rsidR="00AC0170" w:rsidRDefault="00AC0170" w:rsidP="00A06B65"/>
    <w:p w14:paraId="698F6DE1" w14:textId="40F8A0D7" w:rsidR="00EF0CEF" w:rsidRPr="00C760A0" w:rsidRDefault="00EF0CEF" w:rsidP="00E710C8">
      <w:pPr>
        <w:pStyle w:val="Nadpis1"/>
        <w:spacing w:before="240"/>
        <w:ind w:left="431" w:hanging="431"/>
        <w:jc w:val="both"/>
      </w:pPr>
      <w:bookmarkStart w:id="92" w:name="_Toc199230834"/>
      <w:r w:rsidRPr="00C760A0">
        <w:t>VYHODNOTENIE UPLATŇOVANIA AOTP ZAMERANÝCH NA UDRŽANIE</w:t>
      </w:r>
      <w:r w:rsidR="00B948D4" w:rsidRPr="00C760A0">
        <w:t xml:space="preserve"> </w:t>
      </w:r>
      <w:r w:rsidRPr="00C760A0">
        <w:t>ZAMESTNANOSTI (UDRŽANIE EXISTUJÚCICH PRACOVNÝCH MIEST)</w:t>
      </w:r>
      <w:bookmarkEnd w:id="92"/>
    </w:p>
    <w:p w14:paraId="13BCADE1" w14:textId="1D0AD1A2" w:rsidR="006E5E2D" w:rsidRDefault="00E4601E" w:rsidP="00C760A0">
      <w:pPr>
        <w:pStyle w:val="Nadpis2"/>
      </w:pPr>
      <w:bookmarkStart w:id="93" w:name="_Hlk103527504"/>
      <w:bookmarkStart w:id="94" w:name="_Hlk37971860"/>
      <w:bookmarkStart w:id="95" w:name="_Toc199230835"/>
      <w:bookmarkEnd w:id="91"/>
      <w:r w:rsidRPr="00C760A0">
        <w:t>Príspevok na dochádzku za prácou - § 53 zákona o službách zamestnanosti</w:t>
      </w:r>
      <w:bookmarkStart w:id="96" w:name="_Hlk37971887"/>
      <w:bookmarkStart w:id="97" w:name="_Hlk103527531"/>
      <w:bookmarkEnd w:id="93"/>
      <w:bookmarkEnd w:id="94"/>
      <w:bookmarkEnd w:id="95"/>
    </w:p>
    <w:p w14:paraId="0358E87D" w14:textId="176ADA6D" w:rsidR="00050B59" w:rsidRPr="00050B59" w:rsidRDefault="00050B59" w:rsidP="00050B59">
      <w:pPr>
        <w:spacing w:after="0"/>
        <w:ind w:firstLine="0"/>
      </w:pPr>
      <w:r w:rsidRPr="00050B59">
        <w:t xml:space="preserve">Príspevok sa poskytuje mesačne zamestnancovi na úhradu časti cestovných výdavkov </w:t>
      </w:r>
      <w:r w:rsidRPr="00050B59">
        <w:br/>
        <w:t>na dochádzku z miesta trvalého/obvyklého pobytu alebo z miesta prechodného pobytu zamestnanca do miesta výkonu zamestnania uvedeného v pracovnej zmluve a späť.</w:t>
      </w:r>
    </w:p>
    <w:p w14:paraId="7613CE7D" w14:textId="41F41BB6" w:rsidR="00722914" w:rsidRDefault="00050B59" w:rsidP="00050B59">
      <w:pPr>
        <w:spacing w:before="120" w:after="0"/>
        <w:ind w:firstLine="0"/>
      </w:pPr>
      <w:r w:rsidRPr="00050B59">
        <w:t xml:space="preserve">V roku 2024 bolo prijatých 24 320 žiadostí na dochádzku za prácou, z ktorých bolo schválených 21 263 (87,43 %). V roku 2024 bol príspevok na dochádzku za prácou poskytnutý celkom </w:t>
      </w:r>
      <w:r w:rsidRPr="00050B59">
        <w:br/>
        <w:t xml:space="preserve">22 266 žiadateľom, z toho 13 020 ženám (58,47 %) a 9 246 mužom (41,53 %) v celkovej poskytnutej sume finančných prostriedkov 8 200 271 eur. V roku 2024, v porovnaní s predchádzajúcim rokom, sme zaznamenali zvýšenie celkovej poskytnutej sumy finančných prostriedkov o 577 134 eur. </w:t>
      </w:r>
    </w:p>
    <w:p w14:paraId="53EEB07E" w14:textId="6CBF640A" w:rsidR="00722914" w:rsidRDefault="00722914" w:rsidP="00050B59">
      <w:pPr>
        <w:spacing w:before="120" w:after="0"/>
        <w:ind w:firstLine="0"/>
      </w:pPr>
    </w:p>
    <w:p w14:paraId="3F52474F" w14:textId="29D35FBF" w:rsidR="00722914" w:rsidRDefault="00722914" w:rsidP="00050B59">
      <w:pPr>
        <w:spacing w:before="120" w:after="0"/>
        <w:ind w:firstLine="0"/>
      </w:pPr>
    </w:p>
    <w:p w14:paraId="600B5997" w14:textId="7C9654B0" w:rsidR="00722914" w:rsidRDefault="00722914" w:rsidP="00050B59">
      <w:pPr>
        <w:spacing w:before="120" w:after="0"/>
        <w:ind w:firstLine="0"/>
      </w:pPr>
    </w:p>
    <w:p w14:paraId="32837E42" w14:textId="389E7B05" w:rsidR="00722914" w:rsidRDefault="00722914" w:rsidP="00050B59">
      <w:pPr>
        <w:spacing w:before="120" w:after="0"/>
        <w:ind w:firstLine="0"/>
      </w:pPr>
    </w:p>
    <w:p w14:paraId="7D2EE6AF" w14:textId="720D8B5A" w:rsidR="00050B59" w:rsidRPr="00050B59" w:rsidRDefault="00050B59" w:rsidP="00050B59">
      <w:pPr>
        <w:spacing w:before="120" w:after="0"/>
        <w:ind w:firstLine="0"/>
      </w:pPr>
      <w:r w:rsidRPr="00050B59">
        <w:lastRenderedPageBreak/>
        <w:t>Z hľadiska vekovej štruktúry bolo podporených 11 804 žiadateľov vo veku od 30 do 49 rokov vrátane (53,01 %), 4 278 žiadateľov vo veku nad 50 rokov (19,21 %), 3 218 žiadateľov vo veku od 25 do 29 rokov (14,45 %) a 2 966 žiadateľov vo veku do 24 rokov, čo predstavuje (13,32 %) v štruktúre podľa grafu nižšie.</w:t>
      </w:r>
    </w:p>
    <w:p w14:paraId="503E8EF0" w14:textId="0CA7E7F8" w:rsidR="00722914" w:rsidRDefault="00E710C8" w:rsidP="00722914">
      <w:pPr>
        <w:spacing w:before="240" w:after="0"/>
        <w:ind w:firstLine="0"/>
      </w:pPr>
      <w:r>
        <w:rPr>
          <w:noProof/>
          <w:sz w:val="20"/>
          <w:szCs w:val="20"/>
        </w:rPr>
        <w:drawing>
          <wp:anchor distT="0" distB="0" distL="114300" distR="114300" simplePos="0" relativeHeight="252609024" behindDoc="1" locked="0" layoutInCell="1" allowOverlap="1" wp14:anchorId="164D2502" wp14:editId="018285E3">
            <wp:simplePos x="0" y="0"/>
            <wp:positionH relativeFrom="margin">
              <wp:posOffset>-41662</wp:posOffset>
            </wp:positionH>
            <wp:positionV relativeFrom="paragraph">
              <wp:posOffset>51849</wp:posOffset>
            </wp:positionV>
            <wp:extent cx="5862955" cy="2766695"/>
            <wp:effectExtent l="0" t="0" r="4445" b="14605"/>
            <wp:wrapNone/>
            <wp:docPr id="473" name="Graf 47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5777759" w14:textId="2FB7C326" w:rsidR="00722914" w:rsidRDefault="00722914" w:rsidP="00722914">
      <w:pPr>
        <w:spacing w:before="240" w:after="0"/>
        <w:ind w:firstLine="0"/>
      </w:pPr>
    </w:p>
    <w:p w14:paraId="16AC92CA" w14:textId="44DC1526" w:rsidR="00722914" w:rsidRDefault="00722914" w:rsidP="00722914">
      <w:pPr>
        <w:spacing w:before="240" w:after="0"/>
        <w:ind w:firstLine="0"/>
      </w:pPr>
    </w:p>
    <w:p w14:paraId="73C72A29" w14:textId="0C07D12F" w:rsidR="00722914" w:rsidRDefault="00722914" w:rsidP="00722914">
      <w:pPr>
        <w:spacing w:before="240" w:after="0"/>
        <w:ind w:firstLine="0"/>
      </w:pPr>
    </w:p>
    <w:p w14:paraId="0AAF41F4" w14:textId="77777777" w:rsidR="00E710C8" w:rsidRDefault="00E710C8" w:rsidP="00722914">
      <w:pPr>
        <w:spacing w:before="240" w:after="0"/>
        <w:ind w:firstLine="0"/>
      </w:pPr>
    </w:p>
    <w:p w14:paraId="2E6046CD" w14:textId="77777777" w:rsidR="00E710C8" w:rsidRDefault="00E710C8" w:rsidP="00722914">
      <w:pPr>
        <w:spacing w:before="240" w:after="0"/>
        <w:ind w:firstLine="0"/>
      </w:pPr>
    </w:p>
    <w:p w14:paraId="4C0E2AAE" w14:textId="77777777" w:rsidR="00E710C8" w:rsidRDefault="00E710C8" w:rsidP="00722914">
      <w:pPr>
        <w:spacing w:before="240" w:after="0"/>
        <w:ind w:firstLine="0"/>
      </w:pPr>
    </w:p>
    <w:p w14:paraId="2A5FCC6B" w14:textId="77777777" w:rsidR="00E710C8" w:rsidRDefault="00E710C8" w:rsidP="00722914">
      <w:pPr>
        <w:spacing w:before="240" w:after="0"/>
        <w:ind w:firstLine="0"/>
      </w:pPr>
    </w:p>
    <w:p w14:paraId="4AA2E19A" w14:textId="77777777" w:rsidR="00E710C8" w:rsidRDefault="00E710C8" w:rsidP="00E710C8">
      <w:pPr>
        <w:spacing w:after="0"/>
        <w:ind w:firstLine="0"/>
      </w:pPr>
    </w:p>
    <w:p w14:paraId="2CF6E385" w14:textId="77777777" w:rsidR="00E710C8" w:rsidRDefault="00E710C8" w:rsidP="00E710C8">
      <w:pPr>
        <w:spacing w:after="0"/>
        <w:ind w:firstLine="0"/>
      </w:pPr>
    </w:p>
    <w:p w14:paraId="4D72BB32" w14:textId="7DFB4E47" w:rsidR="00050B59" w:rsidRPr="00050B59" w:rsidRDefault="00722914" w:rsidP="00E710C8">
      <w:pPr>
        <w:spacing w:after="0"/>
        <w:ind w:firstLine="0"/>
      </w:pPr>
      <w:r>
        <w:t xml:space="preserve">Zo všetkých </w:t>
      </w:r>
      <w:r w:rsidR="00050B59" w:rsidRPr="00050B59">
        <w:t xml:space="preserve">UoZ, ktorým bol poskytnutý príspevok na dochádzku za prácou, bolo 14 116 znevýhodnených UoZ, čo predstavuje 63,4 % z celkového počtu 22 266 zaradených klientov. </w:t>
      </w:r>
      <w:r>
        <w:t>Z hľadiska štruktúry znevýhodnenia UoZ n</w:t>
      </w:r>
      <w:r w:rsidR="00050B59" w:rsidRPr="00050B59">
        <w:t xml:space="preserve">ajvyšší podiel tvorili občania, ktorí najmenej 12 po sebe nasledujúcich kalendárnych mesiacov pred zaradením do evidencie UoZ nemali pravidelne platené zamestnanie v počte 8 402 žiadateľov (37,30 %). Dlhodobo nezamestnaní občania tvorili druhú najpočetnejšiu skupinu znevýhodnených UoZ v počte 4 346 žiadateľov (19,29 %) a treťou najpočetnejšou skupinou znevýhodnených UoZ boli občania starší ako 50 rokov veku v počte </w:t>
      </w:r>
      <w:r>
        <w:t xml:space="preserve">      </w:t>
      </w:r>
      <w:r w:rsidR="00050B59" w:rsidRPr="00050B59">
        <w:t>4 262 žiadateľov (18,92 %). V zmysle uvedeného UoZ môže spĺňať viac znevýhodnení naraz, v štruktúre podľa uvedeného grafu.</w:t>
      </w:r>
    </w:p>
    <w:p w14:paraId="6B8071D2" w14:textId="60B3B1E9" w:rsidR="00722914" w:rsidRDefault="00722914" w:rsidP="00050B59">
      <w:pPr>
        <w:spacing w:before="120" w:after="0"/>
        <w:ind w:firstLine="0"/>
      </w:pPr>
      <w:r w:rsidRPr="00050B59">
        <w:rPr>
          <w:noProof/>
          <w:sz w:val="20"/>
          <w:szCs w:val="20"/>
        </w:rPr>
        <w:drawing>
          <wp:anchor distT="0" distB="0" distL="114300" distR="114300" simplePos="0" relativeHeight="252730880" behindDoc="0" locked="0" layoutInCell="1" allowOverlap="1" wp14:anchorId="09C925C6" wp14:editId="2024C44C">
            <wp:simplePos x="0" y="0"/>
            <wp:positionH relativeFrom="margin">
              <wp:posOffset>5218</wp:posOffset>
            </wp:positionH>
            <wp:positionV relativeFrom="paragraph">
              <wp:posOffset>88403</wp:posOffset>
            </wp:positionV>
            <wp:extent cx="5862955" cy="3013075"/>
            <wp:effectExtent l="0" t="0" r="4445" b="15875"/>
            <wp:wrapNone/>
            <wp:docPr id="40" name="Graf 4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E9FD148" w14:textId="57C1C1BB" w:rsidR="00722914" w:rsidRDefault="00722914" w:rsidP="00050B59">
      <w:pPr>
        <w:spacing w:before="120" w:after="0"/>
        <w:ind w:firstLine="0"/>
      </w:pPr>
    </w:p>
    <w:p w14:paraId="3ED81725" w14:textId="319A3681" w:rsidR="00722914" w:rsidRDefault="00722914" w:rsidP="00050B59">
      <w:pPr>
        <w:spacing w:before="120" w:after="0"/>
        <w:ind w:firstLine="0"/>
      </w:pPr>
    </w:p>
    <w:p w14:paraId="3BAA96BA" w14:textId="20B41EA2" w:rsidR="00722914" w:rsidRDefault="00722914" w:rsidP="00050B59">
      <w:pPr>
        <w:spacing w:before="120" w:after="0"/>
        <w:ind w:firstLine="0"/>
      </w:pPr>
    </w:p>
    <w:p w14:paraId="115F189D" w14:textId="61E1BAC5" w:rsidR="00722914" w:rsidRDefault="00722914" w:rsidP="00050B59">
      <w:pPr>
        <w:spacing w:before="120" w:after="0"/>
        <w:ind w:firstLine="0"/>
      </w:pPr>
    </w:p>
    <w:p w14:paraId="73C2A31E" w14:textId="01D8C638" w:rsidR="00722914" w:rsidRDefault="00722914" w:rsidP="00050B59">
      <w:pPr>
        <w:spacing w:before="120" w:after="0"/>
        <w:ind w:firstLine="0"/>
      </w:pPr>
    </w:p>
    <w:p w14:paraId="41ACEDE8" w14:textId="47D58909" w:rsidR="00722914" w:rsidRDefault="00722914" w:rsidP="00050B59">
      <w:pPr>
        <w:spacing w:before="120" w:after="0"/>
        <w:ind w:firstLine="0"/>
      </w:pPr>
    </w:p>
    <w:p w14:paraId="21A6D579" w14:textId="5B9DF5A7" w:rsidR="00722914" w:rsidRDefault="00722914" w:rsidP="00050B59">
      <w:pPr>
        <w:spacing w:before="120" w:after="0"/>
        <w:ind w:firstLine="0"/>
      </w:pPr>
    </w:p>
    <w:p w14:paraId="526D53FF" w14:textId="4269633B" w:rsidR="00722914" w:rsidRDefault="00722914" w:rsidP="00050B59">
      <w:pPr>
        <w:spacing w:before="120" w:after="0"/>
        <w:ind w:firstLine="0"/>
      </w:pPr>
    </w:p>
    <w:p w14:paraId="43BA9071" w14:textId="1CB390C7" w:rsidR="00722914" w:rsidRDefault="00722914" w:rsidP="00050B59">
      <w:pPr>
        <w:spacing w:before="120" w:after="0"/>
        <w:ind w:firstLine="0"/>
      </w:pPr>
    </w:p>
    <w:p w14:paraId="6E571F44" w14:textId="0846C720" w:rsidR="00722914" w:rsidRDefault="00722914" w:rsidP="00050B59">
      <w:pPr>
        <w:spacing w:before="120" w:after="0"/>
        <w:ind w:firstLine="0"/>
      </w:pPr>
    </w:p>
    <w:p w14:paraId="1CD78FD6" w14:textId="454A9574" w:rsidR="00722914" w:rsidRDefault="00722914" w:rsidP="00050B59">
      <w:pPr>
        <w:spacing w:before="120" w:after="0"/>
        <w:ind w:firstLine="0"/>
      </w:pPr>
    </w:p>
    <w:p w14:paraId="5BA74A0A" w14:textId="52C59312" w:rsidR="00722914" w:rsidRDefault="00050B59" w:rsidP="00E710C8">
      <w:pPr>
        <w:spacing w:before="240" w:after="0"/>
        <w:ind w:firstLine="0"/>
      </w:pPr>
      <w:r w:rsidRPr="00050B59">
        <w:t>Podľa dosiahnutého stupňa vzdelania, najväčšiu skupinu zaradených tvorili UoZ s úplným stredným odborným vzdelaním v počte 8 004 (35,95 %), ďalšiu početnú skupinu tvorili UoZ s vysokoškolským vzdelaním druhého stupňa v počte 5 059 (22,72 %), UoZ so stredným odborným vzdelaním v počte 4 649 (20,88 %) a iní, viď nasledu</w:t>
      </w:r>
      <w:r w:rsidR="00722914">
        <w:t>júci graf.</w:t>
      </w:r>
    </w:p>
    <w:p w14:paraId="5D3B7A4F" w14:textId="30B9732D" w:rsidR="00722914" w:rsidRDefault="00722914" w:rsidP="00050B59">
      <w:pPr>
        <w:spacing w:before="120" w:after="0"/>
        <w:ind w:firstLine="0"/>
      </w:pPr>
    </w:p>
    <w:p w14:paraId="5682432E" w14:textId="55846149" w:rsidR="00722914" w:rsidRDefault="00E710C8" w:rsidP="00050B59">
      <w:pPr>
        <w:spacing w:before="120" w:after="0"/>
        <w:ind w:firstLine="0"/>
      </w:pPr>
      <w:r>
        <w:rPr>
          <w:noProof/>
          <w:sz w:val="20"/>
          <w:szCs w:val="20"/>
        </w:rPr>
        <w:drawing>
          <wp:anchor distT="0" distB="0" distL="114300" distR="114300" simplePos="0" relativeHeight="252611072" behindDoc="0" locked="0" layoutInCell="1" allowOverlap="1" wp14:anchorId="4C417D6E" wp14:editId="1597A05A">
            <wp:simplePos x="0" y="0"/>
            <wp:positionH relativeFrom="margin">
              <wp:posOffset>-1933</wp:posOffset>
            </wp:positionH>
            <wp:positionV relativeFrom="paragraph">
              <wp:posOffset>29707</wp:posOffset>
            </wp:positionV>
            <wp:extent cx="5862955" cy="3093057"/>
            <wp:effectExtent l="0" t="0" r="4445" b="12700"/>
            <wp:wrapNone/>
            <wp:docPr id="41" name="Graf 4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8A1D4E9" w14:textId="77777777" w:rsidR="00722914" w:rsidRDefault="00722914" w:rsidP="00050B59">
      <w:pPr>
        <w:spacing w:before="120" w:after="0"/>
        <w:ind w:firstLine="0"/>
      </w:pPr>
    </w:p>
    <w:p w14:paraId="5FF5E567" w14:textId="77777777" w:rsidR="00722914" w:rsidRDefault="00722914" w:rsidP="00050B59">
      <w:pPr>
        <w:spacing w:before="120" w:after="0"/>
        <w:ind w:firstLine="0"/>
      </w:pPr>
    </w:p>
    <w:p w14:paraId="6F9E5657" w14:textId="77777777" w:rsidR="00722914" w:rsidRDefault="00722914" w:rsidP="00050B59">
      <w:pPr>
        <w:spacing w:before="120" w:after="0"/>
        <w:ind w:firstLine="0"/>
      </w:pPr>
    </w:p>
    <w:p w14:paraId="450D982C" w14:textId="77777777" w:rsidR="00722914" w:rsidRDefault="00722914" w:rsidP="00050B59">
      <w:pPr>
        <w:spacing w:before="120" w:after="0"/>
        <w:ind w:firstLine="0"/>
      </w:pPr>
    </w:p>
    <w:p w14:paraId="7CC64E8D" w14:textId="77777777" w:rsidR="00722914" w:rsidRDefault="00722914" w:rsidP="00050B59">
      <w:pPr>
        <w:spacing w:before="120" w:after="0"/>
        <w:ind w:firstLine="0"/>
      </w:pPr>
    </w:p>
    <w:p w14:paraId="56B2BBBB" w14:textId="77777777" w:rsidR="00722914" w:rsidRDefault="00722914" w:rsidP="00050B59">
      <w:pPr>
        <w:spacing w:before="120" w:after="0"/>
        <w:ind w:firstLine="0"/>
      </w:pPr>
    </w:p>
    <w:p w14:paraId="26E1CABC" w14:textId="77777777" w:rsidR="00722914" w:rsidRDefault="00722914" w:rsidP="00050B59">
      <w:pPr>
        <w:spacing w:before="120" w:after="0"/>
        <w:ind w:firstLine="0"/>
      </w:pPr>
    </w:p>
    <w:p w14:paraId="332B0A99" w14:textId="77777777" w:rsidR="00722914" w:rsidRDefault="00722914" w:rsidP="00050B59">
      <w:pPr>
        <w:spacing w:before="120" w:after="0"/>
        <w:ind w:firstLine="0"/>
      </w:pPr>
    </w:p>
    <w:p w14:paraId="0275763C" w14:textId="77777777" w:rsidR="00722914" w:rsidRDefault="00722914" w:rsidP="00050B59">
      <w:pPr>
        <w:spacing w:before="120" w:after="0"/>
        <w:ind w:firstLine="0"/>
      </w:pPr>
    </w:p>
    <w:p w14:paraId="16827780" w14:textId="77777777" w:rsidR="00722914" w:rsidRDefault="00722914" w:rsidP="00050B59">
      <w:pPr>
        <w:spacing w:before="120" w:after="0"/>
        <w:ind w:firstLine="0"/>
      </w:pPr>
    </w:p>
    <w:p w14:paraId="1ADE0C9C" w14:textId="3083F23A" w:rsidR="00722914" w:rsidRDefault="00722914" w:rsidP="00050B59">
      <w:pPr>
        <w:spacing w:before="120" w:after="0"/>
        <w:ind w:firstLine="0"/>
      </w:pPr>
    </w:p>
    <w:p w14:paraId="1E96FD70" w14:textId="4CCE213D" w:rsidR="00050B59" w:rsidRPr="00050B59" w:rsidRDefault="00050B59" w:rsidP="00E710C8">
      <w:pPr>
        <w:spacing w:before="240" w:after="0"/>
        <w:ind w:firstLine="0"/>
      </w:pPr>
      <w:r w:rsidRPr="00050B59">
        <w:t xml:space="preserve">Z hľadiska doby evidencie, najväčšiu skupinu tvorili UoZ, ktorí boli v evidencii UoZ od 4 do 6 mesiacov – 9 825 (44,13 %), ďalšiu skupinu tvorili UoZ vedení v evidencii UoZ od 7 do 12 mesiacov – 7 423 (33,34 %). Tretiu skupinu tvorili UoZ, ktorí boli vedení v evidencii UoZ od 13 do 24 mesiacov v počte 2 666 (11,97 %). Nasledovali UoZ vedení v evidencii UoZ nad </w:t>
      </w:r>
      <w:r w:rsidRPr="00050B59">
        <w:br/>
        <w:t>24 mesiacov v počte 1 576 (7,08 %) a UoZ vedení v evidencii UoZ od 0 do 3 mesiacov v počte 776 (3,49 %) v štruktúre podľa nasledujúceho grafu.</w:t>
      </w:r>
    </w:p>
    <w:p w14:paraId="21856A56" w14:textId="55BCC959" w:rsidR="00050B59" w:rsidRDefault="00050B59" w:rsidP="00050B59">
      <w:pPr>
        <w:spacing w:after="0"/>
        <w:ind w:firstLine="0"/>
        <w:rPr>
          <w:b/>
          <w:iCs/>
        </w:rPr>
      </w:pPr>
      <w:r>
        <w:rPr>
          <w:noProof/>
          <w:sz w:val="20"/>
          <w:szCs w:val="20"/>
        </w:rPr>
        <w:drawing>
          <wp:anchor distT="0" distB="0" distL="114300" distR="114300" simplePos="0" relativeHeight="252612096" behindDoc="0" locked="0" layoutInCell="1" allowOverlap="1" wp14:anchorId="4E530B8B" wp14:editId="6DBF74BF">
            <wp:simplePos x="0" y="0"/>
            <wp:positionH relativeFrom="margin">
              <wp:posOffset>0</wp:posOffset>
            </wp:positionH>
            <wp:positionV relativeFrom="paragraph">
              <wp:posOffset>173355</wp:posOffset>
            </wp:positionV>
            <wp:extent cx="5862955" cy="2758440"/>
            <wp:effectExtent l="0" t="0" r="4445" b="3810"/>
            <wp:wrapTopAndBottom/>
            <wp:docPr id="42" name="Graf 4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53C0230D" w14:textId="4FFC804C" w:rsidR="00E4601E" w:rsidRDefault="00E4601E" w:rsidP="00050B59">
      <w:pPr>
        <w:pStyle w:val="Nadpis2"/>
        <w:spacing w:before="0"/>
        <w:ind w:left="578" w:hanging="578"/>
      </w:pPr>
      <w:bookmarkStart w:id="98" w:name="_Toc104730015"/>
      <w:bookmarkStart w:id="99" w:name="_Toc199230836"/>
      <w:bookmarkStart w:id="100" w:name="_Toc515876435"/>
      <w:bookmarkStart w:id="101" w:name="_Toc37094620"/>
      <w:bookmarkEnd w:id="96"/>
      <w:bookmarkEnd w:id="97"/>
      <w:r w:rsidRPr="00C760A0">
        <w:t>Príspevok na podporu mobility za prácou - § 53a zákona o službách zamestnanosti</w:t>
      </w:r>
      <w:bookmarkEnd w:id="98"/>
      <w:bookmarkEnd w:id="99"/>
    </w:p>
    <w:p w14:paraId="1C958F2A" w14:textId="222CFE5B" w:rsidR="00050B59" w:rsidRPr="005C1E10" w:rsidRDefault="00050B59" w:rsidP="00050B59">
      <w:pPr>
        <w:spacing w:after="0"/>
        <w:ind w:firstLine="0"/>
      </w:pPr>
      <w:r w:rsidRPr="005C1E10">
        <w:t xml:space="preserve">Príspevok na podporu mobility za prácou sa poskytuje UoZ ako úhrada časti výdavkov </w:t>
      </w:r>
      <w:r w:rsidRPr="005C1E10">
        <w:br/>
        <w:t xml:space="preserve">na bývanie súvisiacich so zmenou trvalého pobytu alebo prechodného pobytu o najmenej </w:t>
      </w:r>
      <w:r w:rsidRPr="005C1E10">
        <w:br/>
        <w:t>50 kilometrov v súvislosti so získaním zamestnania najmenej na 6 mesiacov.</w:t>
      </w:r>
    </w:p>
    <w:p w14:paraId="30A1EF43" w14:textId="5884EBD6" w:rsidR="00050B59" w:rsidRPr="005C1E10" w:rsidRDefault="00050B59" w:rsidP="00050B59">
      <w:pPr>
        <w:spacing w:before="120" w:after="0"/>
        <w:ind w:firstLine="0"/>
      </w:pPr>
      <w:r w:rsidRPr="005C1E10">
        <w:t xml:space="preserve">V roku 2024 bolo prijatých 226 žiadostí na podporu mobility za prácou, z ktorých bolo schválených 193 žiadostí – 85,39 %. V roku 2024 bolo príspevkom na podporu mobility za prácou podporených celkom 195 žiadateľov, z toho 125 žien (64,1 %) a 70 mužov (35,9 %) v celkovej poskytnutej sume finančných prostriedkov 451 534 eur. V roku 2024, v porovnaní </w:t>
      </w:r>
      <w:r w:rsidRPr="005C1E10">
        <w:lastRenderedPageBreak/>
        <w:t xml:space="preserve">s predchádzajúcim rokom, sa celková poskytnutá suma finančných prostriedkov zvýšila </w:t>
      </w:r>
      <w:r w:rsidRPr="005C1E10">
        <w:br/>
        <w:t xml:space="preserve">o 19 199 eur. </w:t>
      </w:r>
    </w:p>
    <w:p w14:paraId="4F64AF3C" w14:textId="08CD3E9B" w:rsidR="00050B59" w:rsidRPr="005C1E10" w:rsidRDefault="00EC0A19" w:rsidP="00142AFD">
      <w:pPr>
        <w:spacing w:before="120" w:after="120"/>
        <w:ind w:firstLine="0"/>
      </w:pPr>
      <w:r w:rsidRPr="005C1E10">
        <w:rPr>
          <w:noProof/>
          <w:sz w:val="20"/>
          <w:szCs w:val="20"/>
        </w:rPr>
        <w:drawing>
          <wp:anchor distT="0" distB="0" distL="114300" distR="114300" simplePos="0" relativeHeight="252614144" behindDoc="0" locked="0" layoutInCell="1" allowOverlap="1" wp14:anchorId="58D56CBC" wp14:editId="01DA9249">
            <wp:simplePos x="0" y="0"/>
            <wp:positionH relativeFrom="margin">
              <wp:posOffset>-2540</wp:posOffset>
            </wp:positionH>
            <wp:positionV relativeFrom="paragraph">
              <wp:posOffset>850348</wp:posOffset>
            </wp:positionV>
            <wp:extent cx="5862955" cy="2830195"/>
            <wp:effectExtent l="0" t="0" r="4445" b="8255"/>
            <wp:wrapTopAndBottom/>
            <wp:docPr id="475" name="Graf 47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050B59" w:rsidRPr="005C1E10">
        <w:t xml:space="preserve">Z hľadiska vekovej štruktúry bolo podporených 72 žiadateľov (36,92 %) vo veku od 30 do </w:t>
      </w:r>
      <w:r w:rsidR="00050B59" w:rsidRPr="005C1E10">
        <w:br/>
        <w:t xml:space="preserve">49 rokov vrátane, 70 žiadateľov (35,9 %) vo veku od 25 do 29 rokov vrátane, 16 žiadateľov (18,97 %) vo veku 50 rokov a viac a 37 žiadateľov (8,21 %) vo veku do 24 rokov vrátane, </w:t>
      </w:r>
      <w:r w:rsidR="00050B59" w:rsidRPr="005C1E10">
        <w:br/>
        <w:t>v štruktúre podľa uvedeného grafu.</w:t>
      </w:r>
    </w:p>
    <w:p w14:paraId="64A37F17" w14:textId="20BC8E9B" w:rsidR="00050B59" w:rsidRPr="005C1E10" w:rsidRDefault="00050B59" w:rsidP="00E710C8">
      <w:pPr>
        <w:spacing w:before="240" w:after="0"/>
        <w:ind w:firstLine="0"/>
      </w:pPr>
      <w:r w:rsidRPr="005C1E10">
        <w:t>Z hľadiska znevýhodnenia UoZ, ktorým bol poskytnutý príspevok na podporu mobility za prácou, bolo 130 znevýhodnených UoZ, čo predstavuje 66,67 % z celkového počtu 195 zaradených klientov. Z hľadiska znevýhodnenia UoZ, najvyšší podiel v počte 101 žiadateľov (49,75 %) tvorili občania, ktorí najmenej 12 po sebe nasledujúcich kalendárnych mesiacov pred zaradením do evidencie UoZ, nemali pravidelne platené zamestnanie. Absolventi školy tvorili druhú najpočetnejšiu skupinu znevýhodnených UoZ v počte 59 žiadateľov (29,06 %) a treťou skupinou znevýhodnených UoZ, boli dlhodobo nezamestnaní občania v počte 24 žiadateľov (11,82 %). V zmysle uvedeného UoZ môže spĺňať viac znevýhodnení naraz, v štruktúre podľa grafu nižšie.</w:t>
      </w:r>
    </w:p>
    <w:p w14:paraId="20373E56" w14:textId="44E769D2" w:rsidR="00E710C8" w:rsidRDefault="00E710C8" w:rsidP="00050B59">
      <w:pPr>
        <w:spacing w:before="120" w:after="0"/>
        <w:ind w:firstLine="0"/>
      </w:pPr>
      <w:r w:rsidRPr="005C1E10">
        <w:rPr>
          <w:noProof/>
          <w:sz w:val="20"/>
          <w:szCs w:val="20"/>
        </w:rPr>
        <w:drawing>
          <wp:anchor distT="0" distB="0" distL="114300" distR="114300" simplePos="0" relativeHeight="252615168" behindDoc="0" locked="0" layoutInCell="1" allowOverlap="1" wp14:anchorId="7652F18E" wp14:editId="027B1FAB">
            <wp:simplePos x="0" y="0"/>
            <wp:positionH relativeFrom="margin">
              <wp:posOffset>-1933</wp:posOffset>
            </wp:positionH>
            <wp:positionV relativeFrom="paragraph">
              <wp:posOffset>70154</wp:posOffset>
            </wp:positionV>
            <wp:extent cx="5862955" cy="2679065"/>
            <wp:effectExtent l="0" t="0" r="4445" b="6985"/>
            <wp:wrapNone/>
            <wp:docPr id="32" name="Graf 3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BD7AA28" w14:textId="3A0E2DE8" w:rsidR="00E710C8" w:rsidRDefault="00E710C8" w:rsidP="00050B59">
      <w:pPr>
        <w:spacing w:before="120" w:after="0"/>
        <w:ind w:firstLine="0"/>
      </w:pPr>
    </w:p>
    <w:p w14:paraId="61027C07" w14:textId="4E0F74BD" w:rsidR="00E710C8" w:rsidRDefault="00E710C8" w:rsidP="00050B59">
      <w:pPr>
        <w:spacing w:before="120" w:after="0"/>
        <w:ind w:firstLine="0"/>
      </w:pPr>
    </w:p>
    <w:p w14:paraId="2F908DE2" w14:textId="77777777" w:rsidR="00E710C8" w:rsidRDefault="00E710C8" w:rsidP="00050B59">
      <w:pPr>
        <w:spacing w:before="120" w:after="0"/>
        <w:ind w:firstLine="0"/>
      </w:pPr>
    </w:p>
    <w:p w14:paraId="79F57262" w14:textId="77777777" w:rsidR="00E710C8" w:rsidRDefault="00E710C8" w:rsidP="00050B59">
      <w:pPr>
        <w:spacing w:before="120" w:after="0"/>
        <w:ind w:firstLine="0"/>
      </w:pPr>
    </w:p>
    <w:p w14:paraId="3629AA0A" w14:textId="77777777" w:rsidR="00E710C8" w:rsidRDefault="00E710C8" w:rsidP="00050B59">
      <w:pPr>
        <w:spacing w:before="120" w:after="0"/>
        <w:ind w:firstLine="0"/>
      </w:pPr>
    </w:p>
    <w:p w14:paraId="711476D3" w14:textId="77777777" w:rsidR="00E710C8" w:rsidRDefault="00E710C8" w:rsidP="00050B59">
      <w:pPr>
        <w:spacing w:before="120" w:after="0"/>
        <w:ind w:firstLine="0"/>
      </w:pPr>
    </w:p>
    <w:p w14:paraId="7DD5F5EF" w14:textId="77777777" w:rsidR="00E710C8" w:rsidRDefault="00E710C8" w:rsidP="00050B59">
      <w:pPr>
        <w:spacing w:before="120" w:after="0"/>
        <w:ind w:firstLine="0"/>
      </w:pPr>
    </w:p>
    <w:p w14:paraId="31B0EA7C" w14:textId="77777777" w:rsidR="00E710C8" w:rsidRDefault="00E710C8" w:rsidP="00050B59">
      <w:pPr>
        <w:spacing w:before="120" w:after="0"/>
        <w:ind w:firstLine="0"/>
      </w:pPr>
    </w:p>
    <w:p w14:paraId="6EC98F29" w14:textId="77777777" w:rsidR="00E710C8" w:rsidRDefault="00E710C8" w:rsidP="00050B59">
      <w:pPr>
        <w:spacing w:before="120" w:after="0"/>
        <w:ind w:firstLine="0"/>
      </w:pPr>
    </w:p>
    <w:p w14:paraId="0E9F36B8" w14:textId="77777777" w:rsidR="00E710C8" w:rsidRDefault="00E710C8" w:rsidP="00050B59">
      <w:pPr>
        <w:spacing w:before="120" w:after="0"/>
        <w:ind w:firstLine="0"/>
      </w:pPr>
    </w:p>
    <w:p w14:paraId="6F4F7D94" w14:textId="100E2FCC" w:rsidR="00050B59" w:rsidRPr="00074D88" w:rsidRDefault="00050B59" w:rsidP="00050B59">
      <w:pPr>
        <w:spacing w:before="120" w:after="0"/>
        <w:ind w:firstLine="0"/>
      </w:pPr>
      <w:r w:rsidRPr="00074D88">
        <w:t xml:space="preserve">Vzhľadom na dosiahnutý stupeň vzdelania, najviac bolo zaradených UoZ, ktorí dosiahli vysokoškolské vzdelanie druhého stupňa v počte 138 (70,77 %), na druhom mieste boli UoZ, ktorí dosiahli úplné stredné odborné vzdelanie v počte 27 (13,85 %), na treťom mieste boli UoZ, </w:t>
      </w:r>
      <w:r w:rsidRPr="00074D88">
        <w:lastRenderedPageBreak/>
        <w:t xml:space="preserve">ktorí dosiahli vysokoškolské vzdelanie prvého stupňa v počte 13 (6,67 %) a iní - v štruktúre </w:t>
      </w:r>
      <w:r w:rsidR="00E710C8">
        <w:rPr>
          <w:noProof/>
          <w:sz w:val="20"/>
          <w:szCs w:val="20"/>
          <w:highlight w:val="yellow"/>
        </w:rPr>
        <w:drawing>
          <wp:anchor distT="0" distB="0" distL="114300" distR="114300" simplePos="0" relativeHeight="252617216" behindDoc="0" locked="0" layoutInCell="1" allowOverlap="1" wp14:anchorId="7B8C0549" wp14:editId="5E8AE3C1">
            <wp:simplePos x="0" y="0"/>
            <wp:positionH relativeFrom="page">
              <wp:posOffset>897890</wp:posOffset>
            </wp:positionH>
            <wp:positionV relativeFrom="paragraph">
              <wp:posOffset>427355</wp:posOffset>
            </wp:positionV>
            <wp:extent cx="5862955" cy="2806700"/>
            <wp:effectExtent l="0" t="0" r="4445" b="12700"/>
            <wp:wrapTopAndBottom/>
            <wp:docPr id="43" name="Graf 4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074D88">
        <w:t>podľa uvedeného grafu nižšie.</w:t>
      </w:r>
    </w:p>
    <w:p w14:paraId="656E17CE" w14:textId="2F46F37B" w:rsidR="00EC0A19" w:rsidRDefault="00EC0A19" w:rsidP="00050B59">
      <w:pPr>
        <w:spacing w:after="0"/>
        <w:ind w:firstLine="0"/>
      </w:pPr>
    </w:p>
    <w:p w14:paraId="09115E41" w14:textId="0AF92DA4" w:rsidR="00050B59" w:rsidRDefault="00E710C8" w:rsidP="00050B59">
      <w:pPr>
        <w:spacing w:after="0"/>
        <w:ind w:firstLine="0"/>
      </w:pPr>
      <w:r w:rsidRPr="00074D88">
        <w:rPr>
          <w:noProof/>
          <w:sz w:val="20"/>
          <w:szCs w:val="20"/>
        </w:rPr>
        <w:drawing>
          <wp:anchor distT="0" distB="0" distL="114300" distR="114300" simplePos="0" relativeHeight="252616192" behindDoc="0" locked="0" layoutInCell="1" allowOverlap="1" wp14:anchorId="1D327B56" wp14:editId="65EA54E1">
            <wp:simplePos x="0" y="0"/>
            <wp:positionH relativeFrom="margin">
              <wp:posOffset>37465</wp:posOffset>
            </wp:positionH>
            <wp:positionV relativeFrom="paragraph">
              <wp:posOffset>955675</wp:posOffset>
            </wp:positionV>
            <wp:extent cx="5862955" cy="2687320"/>
            <wp:effectExtent l="0" t="0" r="4445" b="17780"/>
            <wp:wrapTopAndBottom/>
            <wp:docPr id="45" name="Graf 4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050B59" w:rsidRPr="00074D88">
        <w:t xml:space="preserve">Z hľadiska dĺžky evidencie, bolo v roku 2024 najviac zaradených UoZ, ktorí boli v evidencii UoZ od 4 do 6 mesiacov - 122 (62,56 %), druhú skupinu zaradených tvoria UoZ, ktorí boli vedení v evidencii UoZ od 7 do 12 mesiacov – 44 (22,56 %). Tretiu skupinu tvoria UoZ, ktorí boli vedení v evidencii UoZ od 13 do 24 mesiacov – 15 (7,69 %). Ďalej nasledovali UoZ vedení v evidencii UoZ nad 24 mesiacov – 9 (4,62 %) a od 0 do 3 mesiacov – 5 (2,56 %). </w:t>
      </w:r>
    </w:p>
    <w:p w14:paraId="71F23F2B" w14:textId="00F67BD4" w:rsidR="00EC0A19" w:rsidRPr="00074D88" w:rsidRDefault="00EC0A19" w:rsidP="00050B59">
      <w:pPr>
        <w:spacing w:after="0"/>
        <w:ind w:firstLine="0"/>
      </w:pPr>
    </w:p>
    <w:p w14:paraId="448FDA1E" w14:textId="7267982F" w:rsidR="00C02299" w:rsidRPr="00C760A0" w:rsidRDefault="009E4C99" w:rsidP="00EC0A19">
      <w:pPr>
        <w:pStyle w:val="Nadpis2"/>
        <w:spacing w:before="0"/>
        <w:ind w:left="578" w:hanging="578"/>
      </w:pPr>
      <w:bookmarkStart w:id="102" w:name="_Toc199230837"/>
      <w:bookmarkStart w:id="103" w:name="_Hlk103527471"/>
      <w:bookmarkStart w:id="104" w:name="_Hlk37971919"/>
      <w:bookmarkEnd w:id="100"/>
      <w:bookmarkEnd w:id="101"/>
      <w:r w:rsidRPr="00C760A0">
        <w:t>Príspevok na činnosť pracovného asistenta - § 59 zákona o službách zamestnanosti</w:t>
      </w:r>
      <w:bookmarkEnd w:id="102"/>
    </w:p>
    <w:p w14:paraId="3D6261BD" w14:textId="7DFFAA4C" w:rsidR="009A15A1" w:rsidRPr="009A15A1" w:rsidRDefault="009A15A1" w:rsidP="009A15A1">
      <w:pPr>
        <w:spacing w:after="0"/>
        <w:ind w:firstLine="0"/>
        <w:rPr>
          <w:rFonts w:eastAsia="Calibri"/>
          <w:lang w:eastAsia="en-US"/>
        </w:rPr>
      </w:pPr>
      <w:bookmarkStart w:id="105" w:name="_Toc514941066"/>
      <w:bookmarkStart w:id="106" w:name="_Toc37094628"/>
      <w:r w:rsidRPr="009A15A1">
        <w:rPr>
          <w:rFonts w:eastAsia="Calibri"/>
          <w:lang w:eastAsia="en-US"/>
        </w:rPr>
        <w:t>Príspevok na činnosť pracovného asistenta poskytuje úrad zamestnávateľovi alebo SZČO so ZP, ak z druhu ZP a z vykonávanej pracovnej činnosti zamestnanca so ZP alebo SZČO so ZP vyplýva potreba pracovného asistenta. Mesačná výška príspevku je najmenej 41 % a najviac 70 % CCP podľa § 49 ods. 4 zákona o službách zamestnanosti.</w:t>
      </w:r>
      <w:r w:rsidR="00445525">
        <w:rPr>
          <w:rFonts w:eastAsia="Calibri"/>
          <w:lang w:eastAsia="en-US"/>
        </w:rPr>
        <w:t xml:space="preserve"> Na poskytnutie príspevku je právny nárok, preto si tento príspevok dlhodobo zachováva vysokú mieru využívania.</w:t>
      </w:r>
    </w:p>
    <w:p w14:paraId="024C5546" w14:textId="6FA3A5DF" w:rsidR="009A15A1" w:rsidRPr="009A15A1" w:rsidRDefault="00445525" w:rsidP="009A15A1">
      <w:pPr>
        <w:spacing w:before="120" w:after="120"/>
        <w:ind w:firstLine="0"/>
        <w:rPr>
          <w:rFonts w:eastAsia="Calibri"/>
          <w:lang w:eastAsia="en-US"/>
        </w:rPr>
      </w:pPr>
      <w:r w:rsidRPr="00445525">
        <w:rPr>
          <w:rFonts w:eastAsia="Calibri"/>
          <w:lang w:eastAsia="en-US"/>
        </w:rPr>
        <w:t>Úrady v roku 2024 podporili 1 205 prijímateľov príspevku (v roku 2023 ich bolo 1 061), z toho 584 zamestnávateľov a 621 SZČO so zdravotným postihnutím, pričom počet osôb so zdravotným postihnutím, ktorých sa pomoc dotkla, vzrástol na 1 928. V roku 2024 bola celková suma čerpaných finančných prostriedkov 14 341 345 eur. V porovnaní s rokom 2023 ide o medziročný nárast o 3 472 721 eur.</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10"/>
        <w:gridCol w:w="2886"/>
        <w:gridCol w:w="2884"/>
      </w:tblGrid>
      <w:tr w:rsidR="009A15A1" w:rsidRPr="009A15A1" w14:paraId="5D69442E" w14:textId="77777777" w:rsidTr="00445525">
        <w:trPr>
          <w:trHeight w:val="594"/>
          <w:jc w:val="center"/>
        </w:trPr>
        <w:tc>
          <w:tcPr>
            <w:tcW w:w="543" w:type="pct"/>
            <w:shd w:val="clear" w:color="auto" w:fill="DBE5F1"/>
            <w:vAlign w:val="center"/>
          </w:tcPr>
          <w:p w14:paraId="75F333E5" w14:textId="77777777" w:rsidR="009A15A1" w:rsidRPr="009A15A1" w:rsidRDefault="009A15A1" w:rsidP="009A15A1">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lastRenderedPageBreak/>
              <w:t xml:space="preserve">         Rok</w:t>
            </w:r>
          </w:p>
        </w:tc>
        <w:tc>
          <w:tcPr>
            <w:tcW w:w="1274" w:type="pct"/>
            <w:shd w:val="clear" w:color="auto" w:fill="DBE5F1"/>
            <w:vAlign w:val="center"/>
          </w:tcPr>
          <w:p w14:paraId="0E1ACB5C" w14:textId="77777777" w:rsidR="009A15A1" w:rsidRPr="009A15A1" w:rsidRDefault="009A15A1" w:rsidP="009A15A1">
            <w:pPr>
              <w:spacing w:after="0"/>
              <w:ind w:left="192" w:hanging="118"/>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Počet podporených pracovných asistentov </w:t>
            </w:r>
          </w:p>
        </w:tc>
        <w:tc>
          <w:tcPr>
            <w:tcW w:w="1592" w:type="pct"/>
            <w:shd w:val="clear" w:color="auto" w:fill="DBE5F1"/>
          </w:tcPr>
          <w:p w14:paraId="34F842F1" w14:textId="77777777" w:rsidR="009A15A1" w:rsidRPr="009A15A1" w:rsidRDefault="009A15A1" w:rsidP="009A15A1">
            <w:pPr>
              <w:spacing w:after="0"/>
              <w:ind w:left="155"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osôb so ZP, ktorým bola poskytovaná pracovná asistencia</w:t>
            </w:r>
          </w:p>
        </w:tc>
        <w:tc>
          <w:tcPr>
            <w:tcW w:w="1591" w:type="pct"/>
            <w:shd w:val="clear" w:color="auto" w:fill="DBE5F1"/>
            <w:vAlign w:val="center"/>
          </w:tcPr>
          <w:p w14:paraId="609DA45E" w14:textId="77777777" w:rsidR="009A15A1" w:rsidRDefault="009A15A1" w:rsidP="009A15A1">
            <w:pPr>
              <w:spacing w:after="0"/>
              <w:ind w:left="155"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Čerpanie  finančných prostriedkov</w:t>
            </w:r>
          </w:p>
          <w:p w14:paraId="332CEC12" w14:textId="30151629" w:rsidR="009A15A1" w:rsidRPr="009A15A1" w:rsidRDefault="009A15A1" w:rsidP="009A15A1">
            <w:pPr>
              <w:spacing w:after="0"/>
              <w:ind w:left="155"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b/>
                <w:sz w:val="20"/>
                <w:szCs w:val="20"/>
                <w:lang w:eastAsia="en-US"/>
              </w:rPr>
              <w:t xml:space="preserve"> </w:t>
            </w:r>
            <w:r w:rsidRPr="009A15A1">
              <w:rPr>
                <w:rFonts w:asciiTheme="minorHAnsi" w:eastAsia="Calibri" w:hAnsiTheme="minorHAnsi" w:cstheme="minorHAnsi"/>
                <w:sz w:val="20"/>
                <w:szCs w:val="20"/>
                <w:lang w:eastAsia="en-US"/>
              </w:rPr>
              <w:t xml:space="preserve">(v </w:t>
            </w:r>
            <w:r w:rsidR="009418BA">
              <w:rPr>
                <w:rFonts w:asciiTheme="minorHAnsi" w:eastAsia="Calibri" w:hAnsiTheme="minorHAnsi" w:cstheme="minorHAnsi"/>
                <w:sz w:val="20"/>
                <w:szCs w:val="20"/>
                <w:lang w:eastAsia="en-US"/>
              </w:rPr>
              <w:t>eur</w:t>
            </w:r>
            <w:r w:rsidRPr="009A15A1">
              <w:rPr>
                <w:rFonts w:asciiTheme="minorHAnsi" w:eastAsia="Calibri" w:hAnsiTheme="minorHAnsi" w:cstheme="minorHAnsi"/>
                <w:sz w:val="20"/>
                <w:szCs w:val="20"/>
                <w:lang w:eastAsia="en-US"/>
              </w:rPr>
              <w:t>)</w:t>
            </w:r>
          </w:p>
        </w:tc>
      </w:tr>
      <w:tr w:rsidR="00445525" w:rsidRPr="009A15A1" w14:paraId="258A900C" w14:textId="77777777" w:rsidTr="00445525">
        <w:trPr>
          <w:trHeight w:val="268"/>
          <w:jc w:val="center"/>
        </w:trPr>
        <w:tc>
          <w:tcPr>
            <w:tcW w:w="543" w:type="pct"/>
            <w:shd w:val="clear" w:color="auto" w:fill="DBE5F1"/>
            <w:vAlign w:val="center"/>
          </w:tcPr>
          <w:p w14:paraId="2A698A27" w14:textId="53CF0A61" w:rsidR="00445525" w:rsidRPr="009A15A1" w:rsidRDefault="00445525" w:rsidP="00445525">
            <w:pPr>
              <w:spacing w:after="0"/>
              <w:ind w:hanging="714"/>
              <w:jc w:val="cente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 xml:space="preserve">           2023</w:t>
            </w:r>
          </w:p>
        </w:tc>
        <w:tc>
          <w:tcPr>
            <w:tcW w:w="1274" w:type="pct"/>
            <w:vAlign w:val="center"/>
          </w:tcPr>
          <w:p w14:paraId="2DE5D429" w14:textId="740E6396" w:rsidR="00445525" w:rsidRPr="00445525" w:rsidRDefault="00445525" w:rsidP="00445525">
            <w:pPr>
              <w:spacing w:after="0"/>
              <w:ind w:firstLine="0"/>
              <w:jc w:val="center"/>
              <w:rPr>
                <w:rFonts w:asciiTheme="minorHAnsi" w:eastAsia="Calibri" w:hAnsiTheme="minorHAnsi" w:cstheme="minorHAnsi"/>
                <w:sz w:val="20"/>
                <w:szCs w:val="20"/>
                <w:lang w:eastAsia="en-US"/>
              </w:rPr>
            </w:pPr>
            <w:r w:rsidRPr="00445525">
              <w:rPr>
                <w:rFonts w:asciiTheme="minorHAnsi" w:eastAsia="Calibri" w:hAnsiTheme="minorHAnsi" w:cstheme="minorHAnsi"/>
                <w:sz w:val="20"/>
                <w:szCs w:val="20"/>
                <w:lang w:eastAsia="en-US"/>
              </w:rPr>
              <w:t>1 379</w:t>
            </w:r>
          </w:p>
        </w:tc>
        <w:tc>
          <w:tcPr>
            <w:tcW w:w="1592" w:type="pct"/>
            <w:vAlign w:val="center"/>
          </w:tcPr>
          <w:p w14:paraId="6508E223" w14:textId="528479B5" w:rsidR="00445525" w:rsidRPr="00445525" w:rsidRDefault="00445525" w:rsidP="00445525">
            <w:pPr>
              <w:spacing w:after="0"/>
              <w:ind w:firstLine="0"/>
              <w:jc w:val="center"/>
              <w:rPr>
                <w:rFonts w:asciiTheme="minorHAnsi" w:eastAsia="Calibri" w:hAnsiTheme="minorHAnsi" w:cstheme="minorHAnsi"/>
                <w:bCs/>
                <w:sz w:val="20"/>
                <w:szCs w:val="20"/>
                <w:lang w:eastAsia="en-US"/>
              </w:rPr>
            </w:pPr>
            <w:r w:rsidRPr="00445525">
              <w:rPr>
                <w:rFonts w:asciiTheme="minorHAnsi" w:eastAsia="Calibri" w:hAnsiTheme="minorHAnsi" w:cstheme="minorHAnsi"/>
                <w:bCs/>
                <w:sz w:val="20"/>
                <w:szCs w:val="20"/>
                <w:lang w:eastAsia="en-US"/>
              </w:rPr>
              <w:t>1 568</w:t>
            </w:r>
          </w:p>
        </w:tc>
        <w:tc>
          <w:tcPr>
            <w:tcW w:w="1591" w:type="pct"/>
            <w:vAlign w:val="center"/>
          </w:tcPr>
          <w:p w14:paraId="20D8503A" w14:textId="4991C560" w:rsidR="00445525" w:rsidRPr="00445525" w:rsidRDefault="00445525" w:rsidP="00445525">
            <w:pPr>
              <w:spacing w:after="0"/>
              <w:ind w:firstLine="0"/>
              <w:jc w:val="center"/>
              <w:rPr>
                <w:rFonts w:asciiTheme="minorHAnsi" w:eastAsia="Calibri" w:hAnsiTheme="minorHAnsi" w:cstheme="minorHAnsi"/>
                <w:sz w:val="20"/>
                <w:szCs w:val="20"/>
                <w:lang w:eastAsia="en-US"/>
              </w:rPr>
            </w:pPr>
            <w:r w:rsidRPr="00445525">
              <w:rPr>
                <w:rFonts w:asciiTheme="minorHAnsi" w:eastAsia="Calibri" w:hAnsiTheme="minorHAnsi" w:cstheme="minorHAnsi"/>
                <w:sz w:val="20"/>
                <w:szCs w:val="20"/>
                <w:lang w:eastAsia="en-US"/>
              </w:rPr>
              <w:t>10 868 624</w:t>
            </w:r>
          </w:p>
        </w:tc>
      </w:tr>
      <w:tr w:rsidR="00445525" w:rsidRPr="009A15A1" w14:paraId="59E29547" w14:textId="77777777" w:rsidTr="00445525">
        <w:trPr>
          <w:trHeight w:val="260"/>
          <w:jc w:val="center"/>
        </w:trPr>
        <w:tc>
          <w:tcPr>
            <w:tcW w:w="543" w:type="pct"/>
            <w:shd w:val="clear" w:color="auto" w:fill="DBE5F1"/>
            <w:vAlign w:val="center"/>
          </w:tcPr>
          <w:p w14:paraId="4FC4E111" w14:textId="5ED6AFF2" w:rsidR="00445525" w:rsidRPr="009A15A1" w:rsidRDefault="00445525" w:rsidP="00445525">
            <w:pPr>
              <w:spacing w:after="0"/>
              <w:ind w:hanging="714"/>
              <w:jc w:val="cente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 xml:space="preserve">           2024</w:t>
            </w:r>
          </w:p>
        </w:tc>
        <w:tc>
          <w:tcPr>
            <w:tcW w:w="1274" w:type="pct"/>
            <w:vAlign w:val="center"/>
          </w:tcPr>
          <w:p w14:paraId="4EFB38AB" w14:textId="5EC235A8" w:rsidR="00445525" w:rsidRPr="00445525" w:rsidRDefault="00445525" w:rsidP="00445525">
            <w:pPr>
              <w:spacing w:after="0"/>
              <w:ind w:firstLine="0"/>
              <w:jc w:val="center"/>
              <w:rPr>
                <w:rFonts w:asciiTheme="minorHAnsi" w:eastAsia="Calibri" w:hAnsiTheme="minorHAnsi" w:cstheme="minorHAnsi"/>
                <w:sz w:val="20"/>
                <w:szCs w:val="20"/>
                <w:lang w:eastAsia="en-US"/>
              </w:rPr>
            </w:pPr>
            <w:r w:rsidRPr="00445525">
              <w:rPr>
                <w:rFonts w:asciiTheme="minorHAnsi" w:eastAsia="Calibri" w:hAnsiTheme="minorHAnsi" w:cstheme="minorHAnsi"/>
                <w:sz w:val="20"/>
                <w:szCs w:val="20"/>
                <w:lang w:eastAsia="en-US"/>
              </w:rPr>
              <w:t>1 689</w:t>
            </w:r>
          </w:p>
        </w:tc>
        <w:tc>
          <w:tcPr>
            <w:tcW w:w="1592" w:type="pct"/>
            <w:vAlign w:val="center"/>
          </w:tcPr>
          <w:p w14:paraId="16B9DCC1" w14:textId="70763C8F" w:rsidR="00445525" w:rsidRPr="00445525" w:rsidRDefault="00445525" w:rsidP="00445525">
            <w:pPr>
              <w:spacing w:after="0"/>
              <w:ind w:firstLine="0"/>
              <w:jc w:val="center"/>
              <w:rPr>
                <w:rFonts w:asciiTheme="minorHAnsi" w:eastAsia="Calibri" w:hAnsiTheme="minorHAnsi" w:cstheme="minorHAnsi"/>
                <w:bCs/>
                <w:sz w:val="20"/>
                <w:szCs w:val="20"/>
                <w:lang w:eastAsia="en-US"/>
              </w:rPr>
            </w:pPr>
            <w:r w:rsidRPr="00445525">
              <w:rPr>
                <w:rFonts w:asciiTheme="minorHAnsi" w:eastAsia="Calibri" w:hAnsiTheme="minorHAnsi" w:cstheme="minorHAnsi"/>
                <w:bCs/>
                <w:sz w:val="20"/>
                <w:szCs w:val="20"/>
                <w:lang w:eastAsia="en-US"/>
              </w:rPr>
              <w:t>1 928</w:t>
            </w:r>
          </w:p>
        </w:tc>
        <w:tc>
          <w:tcPr>
            <w:tcW w:w="1591" w:type="pct"/>
            <w:vAlign w:val="center"/>
          </w:tcPr>
          <w:p w14:paraId="7356896A" w14:textId="6C99CC77" w:rsidR="00445525" w:rsidRPr="00445525" w:rsidRDefault="00445525" w:rsidP="00445525">
            <w:pPr>
              <w:spacing w:after="0"/>
              <w:ind w:firstLine="0"/>
              <w:jc w:val="center"/>
              <w:rPr>
                <w:rFonts w:asciiTheme="minorHAnsi" w:eastAsia="Calibri" w:hAnsiTheme="minorHAnsi" w:cstheme="minorHAnsi"/>
                <w:sz w:val="20"/>
                <w:szCs w:val="20"/>
                <w:lang w:eastAsia="en-US"/>
              </w:rPr>
            </w:pPr>
            <w:r w:rsidRPr="00445525">
              <w:rPr>
                <w:rFonts w:asciiTheme="minorHAnsi" w:eastAsia="Calibri" w:hAnsiTheme="minorHAnsi" w:cstheme="minorHAnsi"/>
                <w:sz w:val="20"/>
                <w:szCs w:val="20"/>
                <w:lang w:eastAsia="en-US"/>
              </w:rPr>
              <w:t>14 341 345</w:t>
            </w:r>
          </w:p>
        </w:tc>
      </w:tr>
    </w:tbl>
    <w:p w14:paraId="7E9F5186" w14:textId="77777777" w:rsidR="00EC0A19" w:rsidRDefault="00445525" w:rsidP="009A15A1">
      <w:pPr>
        <w:spacing w:before="120" w:after="0"/>
        <w:ind w:firstLine="0"/>
        <w:rPr>
          <w:rFonts w:eastAsia="Calibri"/>
          <w:lang w:eastAsia="en-US"/>
        </w:rPr>
      </w:pPr>
      <w:r w:rsidRPr="00445525">
        <w:rPr>
          <w:rFonts w:eastAsia="Calibri"/>
          <w:lang w:eastAsia="en-US"/>
        </w:rPr>
        <w:t xml:space="preserve">Z celkového počtu 1 928 osôb so ZP, ktorým bola poskytovaná pracovná asistencia, bolo 1 210 žien, čo predstavuje 62,75 %. Najviac osôb so ZP, ktorým bola poskytovaná pracovná asistencia, ide o viac ako polovicu z celkového počtu, bolo vo vekovej kategórii 30 - 49 rokov (994) - </w:t>
      </w:r>
      <w:r>
        <w:rPr>
          <w:rFonts w:eastAsia="Calibri"/>
          <w:lang w:eastAsia="en-US"/>
        </w:rPr>
        <w:t xml:space="preserve">              </w:t>
      </w:r>
      <w:r w:rsidRPr="00445525">
        <w:rPr>
          <w:rFonts w:eastAsia="Calibri"/>
          <w:lang w:eastAsia="en-US"/>
        </w:rPr>
        <w:t>v štruktúre podľa grafu.</w:t>
      </w:r>
    </w:p>
    <w:p w14:paraId="6485A2AD" w14:textId="4D6C35D4" w:rsidR="009A15A1" w:rsidRDefault="00E710C8" w:rsidP="009A15A1">
      <w:pPr>
        <w:spacing w:before="120" w:after="0"/>
        <w:ind w:firstLine="0"/>
        <w:rPr>
          <w:rFonts w:ascii="Calibri" w:eastAsia="Calibri" w:hAnsi="Calibri"/>
          <w:noProof/>
          <w:sz w:val="22"/>
          <w:szCs w:val="22"/>
        </w:rPr>
      </w:pPr>
      <w:r>
        <w:rPr>
          <w:rFonts w:ascii="Calibri" w:eastAsia="Calibri" w:hAnsi="Calibri"/>
          <w:noProof/>
          <w:sz w:val="22"/>
          <w:szCs w:val="22"/>
          <w:highlight w:val="yellow"/>
        </w:rPr>
        <w:drawing>
          <wp:inline distT="0" distB="0" distL="0" distR="0" wp14:anchorId="4B59F12A" wp14:editId="5485A85B">
            <wp:extent cx="5782945" cy="2337684"/>
            <wp:effectExtent l="0" t="0" r="8255" b="571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C0A19" w:rsidRPr="00EC0A19">
        <w:rPr>
          <w:rFonts w:ascii="Calibri" w:eastAsia="Calibri" w:hAnsi="Calibri"/>
          <w:noProof/>
          <w:sz w:val="22"/>
          <w:szCs w:val="22"/>
          <w:highlight w:val="yellow"/>
        </w:rPr>
        <w:t xml:space="preserve"> </w:t>
      </w:r>
    </w:p>
    <w:p w14:paraId="484438E4" w14:textId="6FCF2CF3" w:rsidR="002B2BF0" w:rsidRPr="00C760A0" w:rsidRDefault="009E4C99" w:rsidP="00C760A0">
      <w:pPr>
        <w:pStyle w:val="Nadpis2"/>
        <w:jc w:val="both"/>
      </w:pPr>
      <w:bookmarkStart w:id="107" w:name="_Toc199230838"/>
      <w:bookmarkStart w:id="108" w:name="_Hlk103527977"/>
      <w:bookmarkStart w:id="109" w:name="_Hlk37971959"/>
      <w:bookmarkEnd w:id="103"/>
      <w:bookmarkEnd w:id="104"/>
      <w:bookmarkEnd w:id="105"/>
      <w:bookmarkEnd w:id="106"/>
      <w:r w:rsidRPr="00C760A0">
        <w:t>Príspevok na úhradu prevádzkových nákladov chránenej dielne alebo chráneného</w:t>
      </w:r>
      <w:r w:rsidRPr="00C760A0">
        <w:br/>
        <w:t>pracoviska a na úhradu nákladov na dopravu zamestnancov - § 60 zákona</w:t>
      </w:r>
      <w:r w:rsidRPr="00C760A0">
        <w:br/>
        <w:t>o službách zamestnanosti</w:t>
      </w:r>
      <w:bookmarkEnd w:id="107"/>
    </w:p>
    <w:p w14:paraId="6EB1BDF5" w14:textId="77777777" w:rsidR="00DF627D" w:rsidRPr="00DF627D" w:rsidRDefault="00DF627D" w:rsidP="00DF627D">
      <w:pPr>
        <w:spacing w:before="120" w:after="120"/>
        <w:ind w:firstLine="0"/>
        <w:rPr>
          <w:rFonts w:eastAsia="Calibri"/>
          <w:lang w:eastAsia="en-US"/>
        </w:rPr>
      </w:pPr>
      <w:r w:rsidRPr="00DF627D">
        <w:rPr>
          <w:rFonts w:eastAsia="Calibri"/>
          <w:lang w:eastAsia="en-US"/>
        </w:rPr>
        <w:t xml:space="preserve">Príspevok na úhradu prevádzkových nákladov CHD alebo CHP a na úhradu nákladov na dopravu zamestnancov je určený pre zamestnávateľov na zamestnávanie OZP v CHD alebo na CHP, alebo pre SZČO, ktorá je OZP a na CHP prevádzkuje alebo vykonáva samostatnú zárobkovú činnosť. Poskytuje sa právnickej osobe alebo fyzickej osobe, ak oň písomne požiada najneskôr do konca prvého kalendárneho mesiaca štvrťroka nasledujúceho  po štvrťroku, za ktorý príspevok žiada. </w:t>
      </w:r>
    </w:p>
    <w:p w14:paraId="33D15245" w14:textId="77777777" w:rsidR="00DF627D" w:rsidRPr="00DF627D" w:rsidRDefault="00DF627D" w:rsidP="00DF627D">
      <w:pPr>
        <w:spacing w:before="120" w:after="120"/>
        <w:ind w:firstLine="0"/>
        <w:rPr>
          <w:rFonts w:eastAsia="Calibri"/>
          <w:lang w:eastAsia="en-US"/>
        </w:rPr>
      </w:pPr>
      <w:r w:rsidRPr="00DF627D">
        <w:rPr>
          <w:rFonts w:eastAsia="Calibri"/>
          <w:lang w:eastAsia="en-US"/>
        </w:rPr>
        <w:t xml:space="preserve">Príspevok poskytuje územne príslušný úrad na základe písomnej dohody o poskytnutí príspevku, uzatvorenej medzi úradom a zamestnávateľom, resp. úradom a SZČO so ZP a dokladov preukazujúcich vynaložené náklady za príslušný štvrťrok, najviac vo výške 25 %  z ustanovených súm. Na príspevok je právny nárok. </w:t>
      </w:r>
    </w:p>
    <w:p w14:paraId="4AA527B2" w14:textId="68E15601" w:rsidR="00DF627D" w:rsidRPr="00DF627D" w:rsidRDefault="00DF627D" w:rsidP="00DF627D">
      <w:pPr>
        <w:spacing w:before="120" w:after="120"/>
        <w:ind w:firstLine="0"/>
        <w:rPr>
          <w:rFonts w:eastAsia="Calibri"/>
          <w:lang w:eastAsia="en-US"/>
        </w:rPr>
      </w:pPr>
      <w:r w:rsidRPr="00DF627D">
        <w:rPr>
          <w:rFonts w:eastAsia="Calibri"/>
          <w:lang w:eastAsia="en-US"/>
        </w:rPr>
        <w:t xml:space="preserve">V roku 2024 bolo prostredníctvom tohto nástroja podporených 7 258 OZP zamestnaných alebo vykonávajúcich samostatnú zárobkovú činnosť v CHD a na CHP. Celková čerpaná suma na úhradu  prevádzkových nákladov CHD/CHP bola vo výške 37 007 695 </w:t>
      </w:r>
      <w:r w:rsidR="00790522">
        <w:rPr>
          <w:rFonts w:eastAsia="Calibri"/>
          <w:lang w:eastAsia="en-US"/>
        </w:rPr>
        <w:t>eur</w:t>
      </w:r>
      <w:r w:rsidRPr="00DF627D">
        <w:rPr>
          <w:rFonts w:eastAsia="Calibri"/>
          <w:lang w:eastAsia="en-US"/>
        </w:rPr>
        <w:t xml:space="preserve">, čo predstavuje  medziročný nárast o 2 331 894 </w:t>
      </w:r>
      <w:r w:rsidR="00790522">
        <w:rPr>
          <w:rFonts w:eastAsia="Calibri"/>
          <w:lang w:eastAsia="en-US"/>
        </w:rPr>
        <w:t>eur</w:t>
      </w:r>
      <w:r w:rsidRPr="00DF627D">
        <w:rPr>
          <w:rFonts w:eastAsia="Calibri"/>
          <w:lang w:eastAsia="en-US"/>
        </w:rPr>
        <w:t>.</w:t>
      </w:r>
    </w:p>
    <w:p w14:paraId="3CF0A8D0" w14:textId="77777777" w:rsidR="00DF627D" w:rsidRDefault="00DF627D" w:rsidP="00DF627D">
      <w:pPr>
        <w:spacing w:before="120" w:after="120"/>
        <w:ind w:firstLine="0"/>
        <w:rPr>
          <w:rFonts w:eastAsia="Calibri"/>
          <w:lang w:eastAsia="en-US"/>
        </w:rPr>
      </w:pPr>
      <w:r w:rsidRPr="00DF627D">
        <w:rPr>
          <w:rFonts w:eastAsia="Calibri"/>
          <w:lang w:eastAsia="en-US"/>
        </w:rPr>
        <w:t>Porovnanie počtu podporených občanov so ZP v CHD a na CHP a čerpaných finančných prostriedkov v roku 2024 v porovnaní s rokom 2023 je uvedené v nasledujúcej tabuľke.</w:t>
      </w:r>
    </w:p>
    <w:tbl>
      <w:tblPr>
        <w:tblW w:w="9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511"/>
        <w:gridCol w:w="3825"/>
      </w:tblGrid>
      <w:tr w:rsidR="009A15A1" w:rsidRPr="009A15A1" w14:paraId="26072FC7" w14:textId="77777777" w:rsidTr="00F25BCA">
        <w:trPr>
          <w:trHeight w:val="569"/>
        </w:trPr>
        <w:tc>
          <w:tcPr>
            <w:tcW w:w="100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1055BD9" w14:textId="69129224" w:rsidR="009A15A1" w:rsidRPr="009A15A1" w:rsidRDefault="009A15A1" w:rsidP="00785BE0">
            <w:pPr>
              <w:spacing w:after="0"/>
              <w:ind w:left="-226" w:firstLine="192"/>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t>Rok</w:t>
            </w:r>
          </w:p>
        </w:tc>
        <w:tc>
          <w:tcPr>
            <w:tcW w:w="1910" w:type="pct"/>
            <w:tcBorders>
              <w:top w:val="single" w:sz="4" w:space="0" w:color="auto"/>
              <w:left w:val="single" w:sz="4" w:space="0" w:color="auto"/>
              <w:bottom w:val="single" w:sz="4" w:space="0" w:color="auto"/>
              <w:right w:val="single" w:sz="4" w:space="0" w:color="auto"/>
            </w:tcBorders>
            <w:shd w:val="clear" w:color="auto" w:fill="DBE5F1"/>
            <w:vAlign w:val="center"/>
          </w:tcPr>
          <w:p w14:paraId="25A17384" w14:textId="77777777" w:rsidR="009A15A1" w:rsidRPr="009A15A1" w:rsidRDefault="009A15A1" w:rsidP="00785BE0">
            <w:pPr>
              <w:spacing w:after="0"/>
              <w:ind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podporených zamestnancov a SZČO so ZP</w:t>
            </w:r>
          </w:p>
        </w:tc>
        <w:tc>
          <w:tcPr>
            <w:tcW w:w="2081"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DD96712" w14:textId="77777777" w:rsidR="009A15A1" w:rsidRPr="009A15A1" w:rsidRDefault="009A15A1" w:rsidP="00785BE0">
            <w:pPr>
              <w:spacing w:after="0"/>
              <w:ind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Čerpanie finančných prostriedkov </w:t>
            </w:r>
          </w:p>
          <w:p w14:paraId="5853E864" w14:textId="50509DD7" w:rsidR="009A15A1" w:rsidRPr="009A15A1" w:rsidRDefault="009A15A1" w:rsidP="00785BE0">
            <w:pPr>
              <w:spacing w:after="0"/>
              <w:ind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sz w:val="20"/>
                <w:szCs w:val="20"/>
                <w:lang w:eastAsia="en-US"/>
              </w:rPr>
              <w:t>(v</w:t>
            </w:r>
            <w:r w:rsidRPr="009A15A1">
              <w:rPr>
                <w:rFonts w:asciiTheme="minorHAnsi" w:eastAsia="Calibri" w:hAnsiTheme="minorHAnsi" w:cstheme="minorHAnsi"/>
                <w:b/>
                <w:sz w:val="20"/>
                <w:szCs w:val="20"/>
                <w:lang w:eastAsia="en-US"/>
              </w:rPr>
              <w:t xml:space="preserve"> </w:t>
            </w:r>
            <w:r w:rsidR="009418BA">
              <w:rPr>
                <w:rFonts w:asciiTheme="minorHAnsi" w:eastAsia="Calibri" w:hAnsiTheme="minorHAnsi" w:cstheme="minorHAnsi"/>
                <w:sz w:val="20"/>
                <w:szCs w:val="20"/>
                <w:lang w:eastAsia="en-US"/>
              </w:rPr>
              <w:t>eur</w:t>
            </w:r>
            <w:r w:rsidRPr="009A15A1">
              <w:rPr>
                <w:rFonts w:asciiTheme="minorHAnsi" w:eastAsia="Calibri" w:hAnsiTheme="minorHAnsi" w:cstheme="minorHAnsi"/>
                <w:sz w:val="20"/>
                <w:szCs w:val="20"/>
                <w:lang w:eastAsia="en-US"/>
              </w:rPr>
              <w:t>)</w:t>
            </w:r>
          </w:p>
        </w:tc>
      </w:tr>
      <w:tr w:rsidR="00DF627D" w:rsidRPr="009A15A1" w14:paraId="01CCF085" w14:textId="77777777" w:rsidTr="00F25BCA">
        <w:trPr>
          <w:trHeight w:val="315"/>
        </w:trPr>
        <w:tc>
          <w:tcPr>
            <w:tcW w:w="1009" w:type="pct"/>
            <w:tcBorders>
              <w:top w:val="single" w:sz="4" w:space="0" w:color="auto"/>
              <w:left w:val="single" w:sz="4" w:space="0" w:color="auto"/>
              <w:bottom w:val="single" w:sz="4" w:space="0" w:color="auto"/>
              <w:right w:val="single" w:sz="4" w:space="0" w:color="auto"/>
            </w:tcBorders>
            <w:shd w:val="clear" w:color="auto" w:fill="DBE5F1"/>
            <w:vAlign w:val="center"/>
          </w:tcPr>
          <w:p w14:paraId="7CC0AAE6" w14:textId="28693874" w:rsidR="00DF627D" w:rsidRPr="00DF627D" w:rsidRDefault="00DF627D" w:rsidP="00DF627D">
            <w:pPr>
              <w:spacing w:after="0"/>
              <w:ind w:hanging="34"/>
              <w:jc w:val="center"/>
              <w:rPr>
                <w:rFonts w:asciiTheme="minorHAnsi" w:eastAsia="Calibri" w:hAnsiTheme="minorHAnsi" w:cstheme="minorHAnsi"/>
                <w:b/>
                <w:sz w:val="20"/>
                <w:szCs w:val="20"/>
                <w:lang w:eastAsia="en-US"/>
              </w:rPr>
            </w:pPr>
            <w:r w:rsidRPr="00DF627D">
              <w:rPr>
                <w:rFonts w:asciiTheme="minorHAnsi" w:eastAsia="Calibri" w:hAnsiTheme="minorHAnsi" w:cstheme="minorHAnsi"/>
                <w:b/>
                <w:bCs/>
                <w:sz w:val="20"/>
                <w:szCs w:val="20"/>
                <w:lang w:eastAsia="en-US"/>
              </w:rPr>
              <w:t>2023</w:t>
            </w:r>
          </w:p>
        </w:tc>
        <w:tc>
          <w:tcPr>
            <w:tcW w:w="1910" w:type="pct"/>
            <w:tcBorders>
              <w:top w:val="single" w:sz="4" w:space="0" w:color="auto"/>
              <w:left w:val="single" w:sz="4" w:space="0" w:color="auto"/>
              <w:bottom w:val="single" w:sz="4" w:space="0" w:color="auto"/>
              <w:right w:val="single" w:sz="4" w:space="0" w:color="auto"/>
            </w:tcBorders>
            <w:vAlign w:val="center"/>
          </w:tcPr>
          <w:p w14:paraId="06692FF2" w14:textId="2271DB08" w:rsidR="00DF627D" w:rsidRPr="009A15A1" w:rsidRDefault="00DF627D" w:rsidP="00DF627D">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8 034</w:t>
            </w:r>
          </w:p>
        </w:tc>
        <w:tc>
          <w:tcPr>
            <w:tcW w:w="2081" w:type="pct"/>
            <w:tcBorders>
              <w:top w:val="single" w:sz="4" w:space="0" w:color="auto"/>
              <w:left w:val="single" w:sz="4" w:space="0" w:color="auto"/>
              <w:bottom w:val="single" w:sz="4" w:space="0" w:color="auto"/>
              <w:right w:val="single" w:sz="4" w:space="0" w:color="auto"/>
            </w:tcBorders>
            <w:vAlign w:val="center"/>
          </w:tcPr>
          <w:p w14:paraId="0C610A18" w14:textId="0003AF65" w:rsidR="00DF627D" w:rsidRPr="009A15A1" w:rsidRDefault="00DF627D" w:rsidP="00DF627D">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34 675 801</w:t>
            </w:r>
          </w:p>
        </w:tc>
      </w:tr>
      <w:tr w:rsidR="00DF627D" w:rsidRPr="009A15A1" w14:paraId="6CA57040" w14:textId="77777777" w:rsidTr="00F25BCA">
        <w:trPr>
          <w:trHeight w:val="306"/>
        </w:trPr>
        <w:tc>
          <w:tcPr>
            <w:tcW w:w="1009" w:type="pct"/>
            <w:tcBorders>
              <w:top w:val="single" w:sz="4" w:space="0" w:color="auto"/>
              <w:left w:val="single" w:sz="4" w:space="0" w:color="auto"/>
              <w:bottom w:val="single" w:sz="4" w:space="0" w:color="auto"/>
              <w:right w:val="single" w:sz="4" w:space="0" w:color="auto"/>
            </w:tcBorders>
            <w:shd w:val="clear" w:color="auto" w:fill="DBE5F1"/>
            <w:vAlign w:val="center"/>
          </w:tcPr>
          <w:p w14:paraId="2E33E1D4" w14:textId="63CBD41E" w:rsidR="00DF627D" w:rsidRPr="00DF627D" w:rsidRDefault="00DF627D" w:rsidP="00DF627D">
            <w:pPr>
              <w:spacing w:after="0"/>
              <w:ind w:hanging="34"/>
              <w:jc w:val="center"/>
              <w:rPr>
                <w:rFonts w:asciiTheme="minorHAnsi" w:eastAsia="Calibri" w:hAnsiTheme="minorHAnsi" w:cstheme="minorHAnsi"/>
                <w:b/>
                <w:sz w:val="20"/>
                <w:szCs w:val="20"/>
                <w:lang w:eastAsia="en-US"/>
              </w:rPr>
            </w:pPr>
            <w:r w:rsidRPr="00DF627D">
              <w:rPr>
                <w:rFonts w:asciiTheme="minorHAnsi" w:eastAsia="Calibri" w:hAnsiTheme="minorHAnsi" w:cstheme="minorHAnsi"/>
                <w:b/>
                <w:bCs/>
                <w:sz w:val="20"/>
                <w:szCs w:val="20"/>
                <w:lang w:eastAsia="en-US"/>
              </w:rPr>
              <w:t>2024</w:t>
            </w:r>
          </w:p>
        </w:tc>
        <w:tc>
          <w:tcPr>
            <w:tcW w:w="1910" w:type="pct"/>
            <w:tcBorders>
              <w:top w:val="single" w:sz="4" w:space="0" w:color="auto"/>
              <w:left w:val="single" w:sz="4" w:space="0" w:color="auto"/>
              <w:bottom w:val="single" w:sz="4" w:space="0" w:color="auto"/>
              <w:right w:val="single" w:sz="4" w:space="0" w:color="auto"/>
            </w:tcBorders>
            <w:vAlign w:val="center"/>
          </w:tcPr>
          <w:p w14:paraId="176B4EBF" w14:textId="0979192D" w:rsidR="00DF627D" w:rsidRPr="009A15A1" w:rsidRDefault="00DF627D" w:rsidP="00DF627D">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7 258</w:t>
            </w:r>
          </w:p>
        </w:tc>
        <w:tc>
          <w:tcPr>
            <w:tcW w:w="2081" w:type="pct"/>
            <w:tcBorders>
              <w:top w:val="single" w:sz="4" w:space="0" w:color="auto"/>
              <w:left w:val="single" w:sz="4" w:space="0" w:color="auto"/>
              <w:bottom w:val="single" w:sz="4" w:space="0" w:color="auto"/>
              <w:right w:val="single" w:sz="4" w:space="0" w:color="auto"/>
            </w:tcBorders>
            <w:vAlign w:val="center"/>
          </w:tcPr>
          <w:p w14:paraId="0AB8BFDE" w14:textId="54DC43AF" w:rsidR="00DF627D" w:rsidRPr="009A15A1" w:rsidRDefault="00DF627D" w:rsidP="00DF627D">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37 007 695</w:t>
            </w:r>
          </w:p>
        </w:tc>
      </w:tr>
    </w:tbl>
    <w:p w14:paraId="5D90ED99" w14:textId="3709C60A" w:rsidR="00DF627D" w:rsidRPr="00DF627D" w:rsidRDefault="00DF627D" w:rsidP="00DF627D">
      <w:pPr>
        <w:spacing w:before="120" w:after="0"/>
        <w:ind w:firstLine="0"/>
        <w:rPr>
          <w:rFonts w:eastAsia="Calibri"/>
          <w:lang w:eastAsia="en-US"/>
        </w:rPr>
      </w:pPr>
      <w:r w:rsidRPr="00DF627D">
        <w:rPr>
          <w:rFonts w:eastAsia="Calibri"/>
          <w:lang w:eastAsia="en-US"/>
        </w:rPr>
        <w:t xml:space="preserve">V roku 2024 bolo z celkového počtu 7 258 podporených občanov so ZP 55,07 % žien a 44,93 % mužov. </w:t>
      </w:r>
    </w:p>
    <w:p w14:paraId="4E605E2A" w14:textId="561799B2" w:rsidR="009A15A1" w:rsidRDefault="00DF627D" w:rsidP="00DF627D">
      <w:pPr>
        <w:spacing w:before="120" w:after="0"/>
        <w:ind w:firstLine="0"/>
        <w:rPr>
          <w:rFonts w:eastAsia="Calibri"/>
          <w:lang w:eastAsia="en-US"/>
        </w:rPr>
      </w:pPr>
      <w:r w:rsidRPr="00DF627D">
        <w:rPr>
          <w:rFonts w:eastAsia="Calibri"/>
          <w:lang w:eastAsia="en-US"/>
        </w:rPr>
        <w:lastRenderedPageBreak/>
        <w:t>Z hľadiska vekovej štruktúry, mali z celkového počtu podporených občanov so ZP najväčšie zastúpenie ľudia vo veku nad 50 rokov (podiel 57,73 %), nasledovali OZP vo veku od 30 do 49 rokov (38,62 %) a vo veku od 25 do 29 rokov (2,60 %). Najmenej podporovaných občanov so ZP bolo vo veku do 24 rokov (1,05 %) - v štruktúre podľa grafu.</w:t>
      </w:r>
    </w:p>
    <w:p w14:paraId="62702E62" w14:textId="09A94DE2" w:rsidR="00DF627D" w:rsidRDefault="00DF627D" w:rsidP="00DF627D">
      <w:pPr>
        <w:spacing w:before="120" w:after="0"/>
        <w:ind w:firstLine="0"/>
        <w:rPr>
          <w:rFonts w:eastAsia="Calibri"/>
          <w:lang w:eastAsia="en-US"/>
        </w:rPr>
      </w:pPr>
      <w:r w:rsidRPr="009A15A1">
        <w:rPr>
          <w:rFonts w:ascii="Calibri" w:eastAsia="Calibri" w:hAnsi="Calibri"/>
          <w:noProof/>
          <w:sz w:val="22"/>
          <w:szCs w:val="22"/>
        </w:rPr>
        <w:drawing>
          <wp:anchor distT="0" distB="0" distL="114300" distR="114300" simplePos="0" relativeHeight="252537344" behindDoc="1" locked="0" layoutInCell="1" allowOverlap="1" wp14:anchorId="4B76115E" wp14:editId="2EB621A0">
            <wp:simplePos x="0" y="0"/>
            <wp:positionH relativeFrom="margin">
              <wp:posOffset>-1933</wp:posOffset>
            </wp:positionH>
            <wp:positionV relativeFrom="paragraph">
              <wp:posOffset>155077</wp:posOffset>
            </wp:positionV>
            <wp:extent cx="5868063" cy="3124863"/>
            <wp:effectExtent l="0" t="0" r="18415" b="18415"/>
            <wp:wrapNone/>
            <wp:docPr id="348" name="Graf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F558423" w14:textId="69421725" w:rsidR="00DF627D" w:rsidRDefault="00DF627D" w:rsidP="00DF627D">
      <w:pPr>
        <w:spacing w:before="120" w:after="0"/>
        <w:ind w:firstLine="0"/>
        <w:rPr>
          <w:rFonts w:eastAsia="Calibri"/>
          <w:lang w:eastAsia="en-US"/>
        </w:rPr>
      </w:pPr>
    </w:p>
    <w:p w14:paraId="17F4616E" w14:textId="0F2FC4D2" w:rsidR="00DF627D" w:rsidRPr="009A15A1" w:rsidRDefault="00DF627D" w:rsidP="00DF627D">
      <w:pPr>
        <w:spacing w:before="120" w:after="0"/>
        <w:ind w:firstLine="0"/>
        <w:rPr>
          <w:rFonts w:ascii="Arial" w:eastAsia="Calibri" w:hAnsi="Arial" w:cs="Arial"/>
          <w:sz w:val="22"/>
          <w:szCs w:val="22"/>
          <w:lang w:eastAsia="en-US"/>
        </w:rPr>
      </w:pPr>
    </w:p>
    <w:p w14:paraId="62095C67" w14:textId="38AE16B1" w:rsidR="009A15A1" w:rsidRPr="009A15A1" w:rsidRDefault="009A15A1" w:rsidP="009A15A1">
      <w:pPr>
        <w:spacing w:before="120" w:after="0" w:line="259" w:lineRule="auto"/>
        <w:ind w:firstLine="0"/>
        <w:rPr>
          <w:rFonts w:ascii="Arial" w:eastAsia="Calibri" w:hAnsi="Arial" w:cs="Arial"/>
          <w:sz w:val="22"/>
          <w:szCs w:val="22"/>
          <w:lang w:eastAsia="en-US"/>
        </w:rPr>
      </w:pPr>
    </w:p>
    <w:p w14:paraId="1C2AD1E2" w14:textId="77777777" w:rsidR="009A15A1" w:rsidRPr="009A15A1" w:rsidRDefault="009A15A1" w:rsidP="009A15A1">
      <w:pPr>
        <w:spacing w:before="120" w:after="160" w:line="259" w:lineRule="auto"/>
        <w:ind w:firstLine="0"/>
        <w:jc w:val="left"/>
        <w:rPr>
          <w:rFonts w:ascii="Calibri" w:eastAsia="Calibri" w:hAnsi="Calibri"/>
          <w:bCs/>
          <w:iCs/>
          <w:sz w:val="22"/>
          <w:szCs w:val="22"/>
          <w:lang w:eastAsia="en-US"/>
        </w:rPr>
      </w:pPr>
    </w:p>
    <w:p w14:paraId="31C2853F" w14:textId="77777777" w:rsidR="009A15A1" w:rsidRPr="009A15A1" w:rsidRDefault="009A15A1" w:rsidP="009A15A1">
      <w:pPr>
        <w:spacing w:before="120" w:after="160" w:line="259" w:lineRule="auto"/>
        <w:ind w:firstLine="0"/>
        <w:jc w:val="left"/>
        <w:rPr>
          <w:rFonts w:ascii="Calibri" w:eastAsia="Calibri" w:hAnsi="Calibri"/>
          <w:bCs/>
          <w:iCs/>
          <w:sz w:val="22"/>
          <w:szCs w:val="22"/>
          <w:lang w:eastAsia="en-US"/>
        </w:rPr>
      </w:pPr>
    </w:p>
    <w:p w14:paraId="0E7E99EE" w14:textId="77777777" w:rsidR="009A15A1" w:rsidRPr="009A15A1" w:rsidRDefault="009A15A1" w:rsidP="009A15A1">
      <w:pPr>
        <w:spacing w:before="120" w:after="160" w:line="259" w:lineRule="auto"/>
        <w:ind w:firstLine="0"/>
        <w:jc w:val="left"/>
        <w:rPr>
          <w:rFonts w:ascii="Calibri" w:eastAsia="Calibri" w:hAnsi="Calibri"/>
          <w:bCs/>
          <w:iCs/>
          <w:sz w:val="22"/>
          <w:szCs w:val="22"/>
          <w:lang w:eastAsia="en-US"/>
        </w:rPr>
      </w:pPr>
    </w:p>
    <w:p w14:paraId="29E40359" w14:textId="77777777" w:rsidR="009A15A1" w:rsidRPr="009A15A1" w:rsidRDefault="009A15A1" w:rsidP="009A15A1">
      <w:pPr>
        <w:tabs>
          <w:tab w:val="left" w:pos="2754"/>
        </w:tabs>
        <w:spacing w:before="120" w:after="160" w:line="259" w:lineRule="auto"/>
        <w:ind w:firstLine="0"/>
        <w:jc w:val="left"/>
        <w:rPr>
          <w:rFonts w:ascii="Calibri" w:eastAsia="Calibri" w:hAnsi="Calibri"/>
          <w:bCs/>
          <w:iCs/>
          <w:sz w:val="22"/>
          <w:szCs w:val="22"/>
          <w:lang w:eastAsia="en-US"/>
        </w:rPr>
      </w:pPr>
    </w:p>
    <w:p w14:paraId="2B61368A" w14:textId="77777777" w:rsidR="009A15A1" w:rsidRPr="009A15A1" w:rsidRDefault="009A15A1" w:rsidP="009A15A1">
      <w:pPr>
        <w:spacing w:after="160" w:line="259" w:lineRule="auto"/>
        <w:ind w:firstLine="0"/>
        <w:jc w:val="left"/>
        <w:rPr>
          <w:rFonts w:eastAsia="Calibri"/>
          <w:b/>
          <w:lang w:eastAsia="en-US"/>
        </w:rPr>
      </w:pPr>
    </w:p>
    <w:p w14:paraId="37E73C3F" w14:textId="6262E7A4" w:rsidR="009A15A1" w:rsidRDefault="009A15A1" w:rsidP="00A06B65">
      <w:pPr>
        <w:pStyle w:val="rove2"/>
        <w:tabs>
          <w:tab w:val="left" w:pos="567"/>
        </w:tabs>
        <w:spacing w:before="240" w:after="120"/>
      </w:pPr>
    </w:p>
    <w:p w14:paraId="075D750B" w14:textId="1CC57BD0" w:rsidR="009A15A1" w:rsidRDefault="009A15A1" w:rsidP="00A06B65">
      <w:pPr>
        <w:pStyle w:val="rove2"/>
        <w:tabs>
          <w:tab w:val="left" w:pos="567"/>
        </w:tabs>
        <w:spacing w:before="240" w:after="120"/>
      </w:pPr>
    </w:p>
    <w:p w14:paraId="087CEBC8" w14:textId="77777777" w:rsidR="00785BE0" w:rsidRDefault="00785BE0" w:rsidP="009E4C99">
      <w:pPr>
        <w:spacing w:before="120"/>
        <w:ind w:firstLine="0"/>
        <w:rPr>
          <w:b/>
        </w:rPr>
      </w:pPr>
      <w:bookmarkStart w:id="110" w:name="_Toc515876436"/>
      <w:bookmarkStart w:id="111" w:name="_Toc37094622"/>
      <w:bookmarkStart w:id="112" w:name="_Hlk103528031"/>
      <w:bookmarkEnd w:id="108"/>
      <w:bookmarkEnd w:id="109"/>
    </w:p>
    <w:p w14:paraId="2B4BB9BF" w14:textId="34BF3D0F" w:rsidR="009E4C99" w:rsidRPr="00C760A0" w:rsidRDefault="009E4C99" w:rsidP="00C760A0">
      <w:pPr>
        <w:pStyle w:val="Nadpis2"/>
      </w:pPr>
      <w:bookmarkStart w:id="113" w:name="_Toc199230839"/>
      <w:bookmarkStart w:id="114" w:name="_Hlk37971968"/>
      <w:bookmarkEnd w:id="110"/>
      <w:bookmarkEnd w:id="111"/>
      <w:r w:rsidRPr="00C760A0">
        <w:t>Vyrovnávací príspevok - § 19b zákona o sociálnej ekonomike</w:t>
      </w:r>
      <w:bookmarkEnd w:id="113"/>
    </w:p>
    <w:p w14:paraId="4BFF8856" w14:textId="77777777" w:rsidR="00DF627D" w:rsidRPr="00DF627D" w:rsidRDefault="00DF627D" w:rsidP="00DF627D">
      <w:pPr>
        <w:spacing w:before="120" w:after="120"/>
        <w:ind w:left="-28" w:right="-28" w:firstLine="0"/>
        <w:textAlignment w:val="baseline"/>
        <w:rPr>
          <w:rFonts w:eastAsia="Calibri"/>
          <w:lang w:eastAsia="en-US"/>
        </w:rPr>
      </w:pPr>
      <w:bookmarkStart w:id="115" w:name="_Hlk103528832"/>
      <w:bookmarkStart w:id="116" w:name="_Hlk37972037"/>
      <w:bookmarkEnd w:id="112"/>
      <w:bookmarkEnd w:id="114"/>
      <w:r w:rsidRPr="00DF627D">
        <w:rPr>
          <w:rFonts w:eastAsia="Calibri"/>
          <w:lang w:eastAsia="en-US"/>
        </w:rPr>
        <w:t>Predmetný príspevok sa poskytoval z národného projektu „Poskytovanie finančných príspevkov integračným podnikom“, ktorý sa začal realizovať v marci 2024 a ktorého hlavným cieľom je podpora pracovnej integrácie znevýhodnených a zraniteľných osôb a ich následné udržanie na pracovnom trhu prostredníctvom AOTP v zmysle schválenej legislatívny o sociálnej ekonomike.</w:t>
      </w:r>
    </w:p>
    <w:p w14:paraId="251E23A9" w14:textId="77777777" w:rsidR="00DF627D" w:rsidRPr="00DF627D" w:rsidRDefault="00DF627D" w:rsidP="00DF627D">
      <w:pPr>
        <w:spacing w:before="120" w:after="120"/>
        <w:ind w:left="-28" w:right="-28" w:firstLine="0"/>
        <w:textAlignment w:val="baseline"/>
        <w:rPr>
          <w:rFonts w:eastAsia="Calibri"/>
          <w:lang w:eastAsia="en-US"/>
        </w:rPr>
      </w:pPr>
      <w:r w:rsidRPr="00DF627D">
        <w:rPr>
          <w:rFonts w:eastAsia="Calibri"/>
          <w:lang w:eastAsia="en-US"/>
        </w:rPr>
        <w:t xml:space="preserve">Úrad poskytuje vyrovnávací príspevok integračnému podniku na základe uzatvorenej písomnej dohody na mzdové náklady spojené so zamestnávaním znevýhodnených osôb alebo zraniteľných osôb v zmysle zákona o sociálnej ekonomike, na dodatočné náklady spojené so zamestnávaním osôb, ktoré sú znevýhodnenými osobami z dôvodu spočívajúcom v ich zdravotnom stave a náklady vynaložené na pomoc zamestnaným znevýhodneným osobám, okrem osôb, ktoré sú znevýhodnenými osobami z dôvodu spočívajúcom v ich zdravotnom stave. </w:t>
      </w:r>
    </w:p>
    <w:p w14:paraId="104ACAC3" w14:textId="77777777" w:rsidR="00DF627D" w:rsidRPr="00DF627D" w:rsidRDefault="00DF627D" w:rsidP="00DF627D">
      <w:pPr>
        <w:spacing w:before="120" w:after="120"/>
        <w:ind w:left="-28" w:right="-28" w:firstLine="0"/>
        <w:textAlignment w:val="baseline"/>
        <w:rPr>
          <w:rFonts w:eastAsia="Calibri"/>
          <w:lang w:eastAsia="en-US"/>
        </w:rPr>
      </w:pPr>
      <w:r w:rsidRPr="00DF627D">
        <w:rPr>
          <w:rFonts w:eastAsia="Calibri"/>
          <w:lang w:eastAsia="en-US"/>
        </w:rPr>
        <w:t xml:space="preserve">V roku 2024 bol vyrovnávací príspevok poskytnutý 607 integračným podnikom, čo je v porovnaní s rokom 2023 o 3 podniky viac.  </w:t>
      </w:r>
    </w:p>
    <w:p w14:paraId="60BCACCE" w14:textId="0CFF2E13" w:rsidR="009A15A1" w:rsidRPr="009A15A1" w:rsidRDefault="00DF627D" w:rsidP="003B29D0">
      <w:pPr>
        <w:spacing w:before="120" w:after="120"/>
        <w:ind w:left="-28" w:right="-28" w:firstLine="0"/>
        <w:textAlignment w:val="baseline"/>
        <w:rPr>
          <w:rFonts w:eastAsia="Calibri"/>
          <w:lang w:eastAsia="en-US"/>
        </w:rPr>
      </w:pPr>
      <w:r w:rsidRPr="00DF627D">
        <w:rPr>
          <w:rFonts w:eastAsia="Calibri"/>
          <w:lang w:eastAsia="en-US"/>
        </w:rPr>
        <w:t>Za hodnotený rok 2024 bolo na § 19b zaradených 6 574 klientov. Oproti roku 2023 to predstavuje nárast počtu zaradených osôb o 772. Rastúci trend sa prejavil aj vo vyššej čerpanej sume finančných prostriedkov, ktorá v roku 2024 predstavovala čiastku 51 607 197 eur čo je v porovnaní s rokom 2023 o 10 695 284 eur viac.</w:t>
      </w:r>
    </w:p>
    <w:tbl>
      <w:tblPr>
        <w:tblpPr w:leftFromText="141" w:rightFromText="141" w:vertAnchor="text" w:tblpXSpec="center" w:tblpY="1"/>
        <w:tblOverlap w:val="neve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2700"/>
        <w:gridCol w:w="2696"/>
        <w:gridCol w:w="2699"/>
      </w:tblGrid>
      <w:tr w:rsidR="009A15A1" w:rsidRPr="009A15A1" w14:paraId="5F69CEC4" w14:textId="77777777" w:rsidTr="00785BE0">
        <w:trPr>
          <w:trHeight w:val="96"/>
        </w:trPr>
        <w:tc>
          <w:tcPr>
            <w:tcW w:w="1092" w:type="dxa"/>
            <w:shd w:val="clear" w:color="auto" w:fill="DBE5F1"/>
            <w:vAlign w:val="center"/>
          </w:tcPr>
          <w:p w14:paraId="413E39EC" w14:textId="77777777" w:rsidR="009A15A1" w:rsidRPr="009A15A1" w:rsidRDefault="009A15A1" w:rsidP="00785BE0">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t xml:space="preserve">               Rok</w:t>
            </w:r>
          </w:p>
        </w:tc>
        <w:tc>
          <w:tcPr>
            <w:tcW w:w="2700" w:type="dxa"/>
            <w:shd w:val="clear" w:color="auto" w:fill="DBE5F1"/>
            <w:vAlign w:val="center"/>
          </w:tcPr>
          <w:p w14:paraId="0B40D978" w14:textId="77777777" w:rsidR="009A15A1" w:rsidRPr="009A15A1" w:rsidRDefault="009A15A1" w:rsidP="00785BE0">
            <w:pPr>
              <w:spacing w:after="0"/>
              <w:ind w:left="192" w:hanging="118"/>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integračných podnikov</w:t>
            </w:r>
          </w:p>
        </w:tc>
        <w:tc>
          <w:tcPr>
            <w:tcW w:w="2696" w:type="dxa"/>
            <w:shd w:val="clear" w:color="auto" w:fill="DBE5F1"/>
            <w:vAlign w:val="center"/>
          </w:tcPr>
          <w:p w14:paraId="51E3960D" w14:textId="77777777" w:rsidR="009A15A1" w:rsidRPr="009A15A1" w:rsidRDefault="009A15A1" w:rsidP="00785BE0">
            <w:pPr>
              <w:spacing w:after="0"/>
              <w:ind w:left="155"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zaradených klientov</w:t>
            </w:r>
          </w:p>
        </w:tc>
        <w:tc>
          <w:tcPr>
            <w:tcW w:w="2699" w:type="dxa"/>
            <w:shd w:val="clear" w:color="auto" w:fill="DBE5F1"/>
            <w:vAlign w:val="center"/>
          </w:tcPr>
          <w:p w14:paraId="2300592D" w14:textId="40170D24" w:rsidR="009A15A1" w:rsidRPr="009A15A1" w:rsidRDefault="009A15A1" w:rsidP="00785BE0">
            <w:pPr>
              <w:spacing w:after="0"/>
              <w:ind w:left="155"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b/>
                <w:sz w:val="20"/>
                <w:szCs w:val="20"/>
                <w:lang w:eastAsia="en-US"/>
              </w:rPr>
              <w:t xml:space="preserve">Čerpanie  finančných prostriedkov </w:t>
            </w:r>
            <w:r w:rsidRPr="009A15A1">
              <w:rPr>
                <w:rFonts w:asciiTheme="minorHAnsi" w:eastAsia="Calibri" w:hAnsiTheme="minorHAnsi" w:cstheme="minorHAnsi"/>
                <w:sz w:val="20"/>
                <w:szCs w:val="20"/>
                <w:lang w:eastAsia="en-US"/>
              </w:rPr>
              <w:t xml:space="preserve">(v </w:t>
            </w:r>
            <w:r w:rsidR="009418BA">
              <w:rPr>
                <w:rFonts w:asciiTheme="minorHAnsi" w:eastAsia="Calibri" w:hAnsiTheme="minorHAnsi" w:cstheme="minorHAnsi"/>
                <w:sz w:val="20"/>
                <w:szCs w:val="20"/>
                <w:lang w:eastAsia="en-US"/>
              </w:rPr>
              <w:t>eur</w:t>
            </w:r>
            <w:r w:rsidRPr="009A15A1">
              <w:rPr>
                <w:rFonts w:asciiTheme="minorHAnsi" w:eastAsia="Calibri" w:hAnsiTheme="minorHAnsi" w:cstheme="minorHAnsi"/>
                <w:sz w:val="20"/>
                <w:szCs w:val="20"/>
                <w:lang w:eastAsia="en-US"/>
              </w:rPr>
              <w:t>)</w:t>
            </w:r>
          </w:p>
        </w:tc>
      </w:tr>
      <w:tr w:rsidR="003B29D0" w:rsidRPr="009A15A1" w14:paraId="7F56F843" w14:textId="77777777" w:rsidTr="00785BE0">
        <w:trPr>
          <w:trHeight w:val="395"/>
        </w:trPr>
        <w:tc>
          <w:tcPr>
            <w:tcW w:w="1092" w:type="dxa"/>
            <w:shd w:val="clear" w:color="auto" w:fill="DBE5F1"/>
            <w:vAlign w:val="center"/>
          </w:tcPr>
          <w:p w14:paraId="792E109D" w14:textId="796EC4C0" w:rsidR="003B29D0" w:rsidRPr="009A15A1" w:rsidRDefault="003B29D0" w:rsidP="003B29D0">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               202</w:t>
            </w:r>
            <w:r>
              <w:rPr>
                <w:rFonts w:asciiTheme="minorHAnsi" w:eastAsia="Calibri" w:hAnsiTheme="minorHAnsi" w:cstheme="minorHAnsi"/>
                <w:b/>
                <w:sz w:val="20"/>
                <w:szCs w:val="20"/>
                <w:lang w:eastAsia="en-US"/>
              </w:rPr>
              <w:t>3</w:t>
            </w:r>
          </w:p>
        </w:tc>
        <w:tc>
          <w:tcPr>
            <w:tcW w:w="2700" w:type="dxa"/>
            <w:vAlign w:val="center"/>
          </w:tcPr>
          <w:p w14:paraId="774047F3" w14:textId="1844BB9F" w:rsidR="003B29D0" w:rsidRPr="009A15A1" w:rsidRDefault="003B29D0" w:rsidP="003B29D0">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604</w:t>
            </w:r>
          </w:p>
        </w:tc>
        <w:tc>
          <w:tcPr>
            <w:tcW w:w="2696" w:type="dxa"/>
            <w:vAlign w:val="center"/>
          </w:tcPr>
          <w:p w14:paraId="78152B49" w14:textId="343FB5C6" w:rsidR="003B29D0" w:rsidRPr="009A15A1" w:rsidRDefault="003B29D0" w:rsidP="003B29D0">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5 802</w:t>
            </w:r>
          </w:p>
        </w:tc>
        <w:tc>
          <w:tcPr>
            <w:tcW w:w="2699" w:type="dxa"/>
            <w:vAlign w:val="center"/>
          </w:tcPr>
          <w:p w14:paraId="5F2A9304" w14:textId="60B37FC0" w:rsidR="003B29D0" w:rsidRPr="009A15A1" w:rsidRDefault="003B29D0" w:rsidP="003B29D0">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40 911 913</w:t>
            </w:r>
          </w:p>
        </w:tc>
      </w:tr>
      <w:tr w:rsidR="003B29D0" w:rsidRPr="009A15A1" w14:paraId="196E4B6C" w14:textId="77777777" w:rsidTr="00785BE0">
        <w:trPr>
          <w:trHeight w:val="395"/>
        </w:trPr>
        <w:tc>
          <w:tcPr>
            <w:tcW w:w="1092" w:type="dxa"/>
            <w:shd w:val="clear" w:color="auto" w:fill="DBE5F1"/>
            <w:vAlign w:val="center"/>
          </w:tcPr>
          <w:p w14:paraId="467F0D30" w14:textId="16761985" w:rsidR="003B29D0" w:rsidRPr="009A15A1" w:rsidRDefault="003B29D0" w:rsidP="003B29D0">
            <w:pPr>
              <w:spacing w:after="0"/>
              <w:ind w:hanging="714"/>
              <w:jc w:val="cente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 xml:space="preserve">               2024</w:t>
            </w:r>
          </w:p>
        </w:tc>
        <w:tc>
          <w:tcPr>
            <w:tcW w:w="2700" w:type="dxa"/>
            <w:vAlign w:val="center"/>
          </w:tcPr>
          <w:p w14:paraId="1329C52E" w14:textId="599C4BE1" w:rsidR="003B29D0" w:rsidRPr="009A15A1" w:rsidRDefault="003B29D0" w:rsidP="003B29D0">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607</w:t>
            </w:r>
          </w:p>
        </w:tc>
        <w:tc>
          <w:tcPr>
            <w:tcW w:w="2696" w:type="dxa"/>
            <w:vAlign w:val="center"/>
          </w:tcPr>
          <w:p w14:paraId="447E27EA" w14:textId="1B419191" w:rsidR="003B29D0" w:rsidRPr="009A15A1" w:rsidRDefault="003B29D0" w:rsidP="003B29D0">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 xml:space="preserve">6 574 </w:t>
            </w:r>
          </w:p>
        </w:tc>
        <w:tc>
          <w:tcPr>
            <w:tcW w:w="2699" w:type="dxa"/>
            <w:vAlign w:val="center"/>
          </w:tcPr>
          <w:p w14:paraId="36CE0A4F" w14:textId="11704D55" w:rsidR="003B29D0" w:rsidRPr="009A15A1" w:rsidRDefault="003B29D0" w:rsidP="003B29D0">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51 607 197</w:t>
            </w:r>
          </w:p>
        </w:tc>
      </w:tr>
    </w:tbl>
    <w:p w14:paraId="1B37F19D" w14:textId="44BB0093" w:rsidR="009A15A1" w:rsidRDefault="009A15A1" w:rsidP="004A1000">
      <w:pPr>
        <w:spacing w:before="120" w:after="120"/>
        <w:ind w:firstLine="0"/>
        <w:rPr>
          <w:rFonts w:eastAsia="Calibri"/>
          <w:lang w:eastAsia="en-US"/>
        </w:rPr>
      </w:pPr>
      <w:r w:rsidRPr="009A15A1">
        <w:rPr>
          <w:rFonts w:eastAsia="Calibri"/>
          <w:lang w:eastAsia="en-US"/>
        </w:rPr>
        <w:t xml:space="preserve">Z hľadiska druhu znevýhodnenia bolo v rámci integračných podnikov zaradených najviac zamestnancov, ktorí sú znevýhodnenými osobami podľa § 2 ods. 5 písm. b) zákona o sociálnej </w:t>
      </w:r>
      <w:r w:rsidR="00785BE0">
        <w:rPr>
          <w:rFonts w:eastAsia="Calibri"/>
          <w:lang w:eastAsia="en-US"/>
        </w:rPr>
        <w:t xml:space="preserve">ekonomike, </w:t>
      </w:r>
      <w:r w:rsidR="004A1000">
        <w:rPr>
          <w:rFonts w:eastAsia="Calibri"/>
          <w:lang w:eastAsia="en-US"/>
        </w:rPr>
        <w:t xml:space="preserve">t. j. ide o </w:t>
      </w:r>
      <w:r w:rsidR="004A1000" w:rsidRPr="004A1000">
        <w:rPr>
          <w:rFonts w:eastAsia="Calibri"/>
          <w:lang w:eastAsia="en-US"/>
        </w:rPr>
        <w:t>osob</w:t>
      </w:r>
      <w:r w:rsidR="004A1000">
        <w:rPr>
          <w:rFonts w:eastAsia="Calibri"/>
          <w:lang w:eastAsia="en-US"/>
        </w:rPr>
        <w:t>y</w:t>
      </w:r>
      <w:r w:rsidR="00467540">
        <w:rPr>
          <w:rFonts w:eastAsia="Calibri"/>
          <w:lang w:eastAsia="en-US"/>
        </w:rPr>
        <w:t xml:space="preserve"> so zdravotným postihnutím.</w:t>
      </w:r>
      <w:r w:rsidR="004A1000" w:rsidRPr="004A1000">
        <w:rPr>
          <w:rFonts w:eastAsia="Calibri"/>
          <w:lang w:eastAsia="en-US"/>
        </w:rPr>
        <w:t xml:space="preserve"> </w:t>
      </w:r>
    </w:p>
    <w:p w14:paraId="5BB5E326" w14:textId="40CE3960" w:rsidR="003B29D0" w:rsidRDefault="003B29D0" w:rsidP="009A15A1">
      <w:pPr>
        <w:spacing w:after="160" w:line="259" w:lineRule="auto"/>
        <w:ind w:firstLine="0"/>
        <w:jc w:val="left"/>
        <w:rPr>
          <w:rFonts w:ascii="Calibri" w:eastAsia="Calibri" w:hAnsi="Calibri"/>
          <w:sz w:val="22"/>
          <w:szCs w:val="22"/>
          <w:lang w:eastAsia="en-US"/>
        </w:rPr>
      </w:pPr>
    </w:p>
    <w:p w14:paraId="73CC14EA" w14:textId="0A45D141" w:rsidR="009B57BA" w:rsidRPr="00264159" w:rsidRDefault="00F16530" w:rsidP="00264159">
      <w:pPr>
        <w:pStyle w:val="Nadpis1"/>
      </w:pPr>
      <w:bookmarkStart w:id="117" w:name="_Toc514941067"/>
      <w:bookmarkStart w:id="118" w:name="_Toc37094629"/>
      <w:bookmarkStart w:id="119" w:name="_Toc199230840"/>
      <w:bookmarkStart w:id="120" w:name="_Hlk37972096"/>
      <w:bookmarkEnd w:id="115"/>
      <w:bookmarkEnd w:id="116"/>
      <w:r>
        <w:rPr>
          <w:caps w:val="0"/>
        </w:rPr>
        <w:lastRenderedPageBreak/>
        <w:t>P</w:t>
      </w:r>
      <w:r w:rsidRPr="00264159">
        <w:rPr>
          <w:caps w:val="0"/>
        </w:rPr>
        <w:t>ro</w:t>
      </w:r>
      <w:r>
        <w:rPr>
          <w:caps w:val="0"/>
        </w:rPr>
        <w:t>jekty a programy  podľa</w:t>
      </w:r>
      <w:r w:rsidRPr="00264159">
        <w:rPr>
          <w:caps w:val="0"/>
        </w:rPr>
        <w:t xml:space="preserve"> § 54 zákona</w:t>
      </w:r>
      <w:bookmarkEnd w:id="117"/>
      <w:bookmarkEnd w:id="118"/>
      <w:r w:rsidRPr="00264159">
        <w:rPr>
          <w:caps w:val="0"/>
        </w:rPr>
        <w:t xml:space="preserve"> o službách zamestnanosti</w:t>
      </w:r>
      <w:bookmarkEnd w:id="119"/>
    </w:p>
    <w:p w14:paraId="79BE2168" w14:textId="5EDCAD6E" w:rsidR="007A17F8" w:rsidRDefault="008611D9" w:rsidP="00DD48F9">
      <w:pPr>
        <w:pStyle w:val="Nadpis2"/>
      </w:pPr>
      <w:bookmarkStart w:id="121" w:name="_Toc199230841"/>
      <w:bookmarkStart w:id="122" w:name="_Hlk103536524"/>
      <w:bookmarkStart w:id="123" w:name="_Hlk37972850"/>
      <w:bookmarkEnd w:id="120"/>
      <w:r w:rsidRPr="00264159">
        <w:t>Národný projekt  „Spoločne hľadáme prácu II</w:t>
      </w:r>
      <w:r w:rsidR="00DD48F9">
        <w:t>I</w:t>
      </w:r>
      <w:r w:rsidRPr="00264159">
        <w:t>“</w:t>
      </w:r>
      <w:bookmarkEnd w:id="121"/>
    </w:p>
    <w:p w14:paraId="685B458C" w14:textId="65F19DD2" w:rsidR="00DD48F9" w:rsidRPr="00F16530" w:rsidRDefault="00DD48F9" w:rsidP="00DD48F9">
      <w:pPr>
        <w:spacing w:before="120" w:after="0"/>
        <w:ind w:hanging="6"/>
      </w:pPr>
      <w:r w:rsidRPr="00F16530">
        <w:t>Národný projekt sa realizuje od 1.</w:t>
      </w:r>
      <w:r w:rsidR="001E440D" w:rsidRPr="00F16530">
        <w:t xml:space="preserve"> </w:t>
      </w:r>
      <w:r w:rsidRPr="00F16530">
        <w:t>1.</w:t>
      </w:r>
      <w:r w:rsidR="001E440D" w:rsidRPr="00F16530">
        <w:t xml:space="preserve"> </w:t>
      </w:r>
      <w:r w:rsidRPr="00F16530">
        <w:t>2024 prostredníctvom ústredia a 46 úradov/poradcov v rámci SR, v rámci dvoch hlavných aktivít, aktivity č. 1 - Poradcovia pre zamestnávateľov a aktivity č. 2 - Zabezpečenie poradcov EURES, s cieľom zabezpečenia dostupnosti poradenských služieb pre zamestnávateľov na každom úrade a zabezpečenia dostupnosti poradenstva o príležitostiach európskeho trhu práce prostredníctvom siete EURES, poskytovaním informačného servisu zamestnávateľom a komplexného prehľadu o výhodách a možnostiach podpory pri zamestnávaní UoZ na udržateľných pracovných miestach a zvýšením dostupnosti a kvality odborných služieb poskytovaných v oblasti mobility pracovnej sily v rámci EÚ/EHP a Švajčiarska prostredníctvom siete EURES.</w:t>
      </w:r>
    </w:p>
    <w:p w14:paraId="4A77FF32" w14:textId="77777777" w:rsidR="00DD48F9" w:rsidRPr="00F16530" w:rsidRDefault="00DD48F9" w:rsidP="00DD48F9">
      <w:pPr>
        <w:spacing w:before="120" w:after="0"/>
        <w:ind w:hanging="6"/>
      </w:pPr>
      <w:r w:rsidRPr="00F16530">
        <w:t>Skvalitnenie a modernizácia poskytovaných služieb prispeje k celkovému zlepšeniu verejných služieb zamestnanosti, k lepšej informovanosti, k zlepšeniu postavenia UoZ na slovenskom trhu práce, ako aj na európskom pracovnom trhu a k zvýšeniu ich zamestnanosti. Realizáciou NP sa prispeje k zlepšeniu možností na uplatnenie práva na voľný pohyb pracovnej sily v rámci EÚ/EHP a Švajčiarska.</w:t>
      </w:r>
    </w:p>
    <w:p w14:paraId="48B01361" w14:textId="77777777" w:rsidR="00DD48F9" w:rsidRPr="00F16530" w:rsidRDefault="00DD48F9" w:rsidP="00DD48F9">
      <w:pPr>
        <w:spacing w:before="120" w:after="0"/>
        <w:ind w:hanging="6"/>
      </w:pPr>
      <w:r w:rsidRPr="00F16530">
        <w:t xml:space="preserve">Financovanie siete EURES sa realizuje v rámci NP Spoločne hľadáme prácu III. vďaka podpore z Európskeho sociálneho fondu v rámci Programu Slovensko. </w:t>
      </w:r>
    </w:p>
    <w:p w14:paraId="25E43D31" w14:textId="77777777" w:rsidR="00DD48F9" w:rsidRPr="00F16530" w:rsidRDefault="00DD48F9" w:rsidP="00DD48F9">
      <w:pPr>
        <w:spacing w:before="120" w:after="0"/>
        <w:ind w:hanging="6"/>
      </w:pPr>
      <w:r w:rsidRPr="00F16530">
        <w:t xml:space="preserve">Hlavným koordinátorom všetkých aktivít bola EURES Národná koordinačná kancelária (ďalej len „NKK“) na ústredí v Bratislave a jednotlivé aktivity realizovali vyškolení EURES poradcovia pôsobiaci na úradoch. </w:t>
      </w:r>
    </w:p>
    <w:p w14:paraId="400C492F" w14:textId="77777777" w:rsidR="00DD48F9" w:rsidRPr="00F16530" w:rsidRDefault="00DD48F9" w:rsidP="00DD48F9">
      <w:pPr>
        <w:spacing w:before="120" w:after="0"/>
        <w:ind w:hanging="6"/>
      </w:pPr>
      <w:r w:rsidRPr="00F16530">
        <w:t>Sieť EURES od roku 1994 uľahčuje pracovnú mobilitu v Európe, spája uchádzačov so zamestnávateľmi a poskytuje komplexné informácie o životných a pracovných podmienkach v Európe. Riadi sa myšlienkou, že dynamický a integrovaný trh práce zlepšuje vyhliadky na individuálnu kariéru a zároveň prispieva k harmonickému rozvoju európskeho hospodárstva vytvorením skutočnej európskej pracovnej sily, ktorá prináša inovácie do podnikov.</w:t>
      </w:r>
    </w:p>
    <w:p w14:paraId="7BDD0CC9" w14:textId="77777777" w:rsidR="00DD48F9" w:rsidRPr="00DD48F9" w:rsidRDefault="00CB73DD" w:rsidP="00DD48F9">
      <w:pPr>
        <w:pStyle w:val="Nadpis2"/>
      </w:pPr>
      <w:bookmarkStart w:id="124" w:name="_Toc199230842"/>
      <w:bookmarkStart w:id="125" w:name="_Toc515876453"/>
      <w:bookmarkStart w:id="126" w:name="_Toc37094646"/>
      <w:bookmarkStart w:id="127" w:name="_Toc44073779"/>
      <w:bookmarkStart w:id="128" w:name="_Hlk103538933"/>
      <w:bookmarkEnd w:id="122"/>
      <w:bookmarkEnd w:id="123"/>
      <w:r w:rsidRPr="00DD48F9">
        <w:t xml:space="preserve">Národný projekt </w:t>
      </w:r>
      <w:r w:rsidR="00DD48F9" w:rsidRPr="00DD48F9">
        <w:t>„Poradenstvom k zamestnaniu“</w:t>
      </w:r>
      <w:bookmarkEnd w:id="124"/>
    </w:p>
    <w:p w14:paraId="6A407214" w14:textId="77777777" w:rsidR="00DD48F9" w:rsidRPr="00DD48F9" w:rsidRDefault="00DD48F9" w:rsidP="00DD48F9">
      <w:pPr>
        <w:spacing w:before="120"/>
        <w:ind w:hanging="6"/>
        <w:rPr>
          <w:color w:val="000000" w:themeColor="text1"/>
        </w:rPr>
      </w:pPr>
      <w:r w:rsidRPr="00DD48F9">
        <w:t xml:space="preserve">OPS poskytované v zmysle § 54 sú poskytované v rámci projektov, resp. národných projektov a sú zabezpečované prevažne prostredníctvom odborných poradcov, ktorí sú projektovými zamestnancami úradov (sú zamestnaní na obdobie realizácie konkrétneho projektu), ale v prípade potreby aj kmeňovými zamestnancami úradov. Charakter takýchto OPS vo väzbe k príslušnému poradenskému </w:t>
      </w:r>
      <w:r w:rsidRPr="00DD48F9">
        <w:rPr>
          <w:color w:val="000000" w:themeColor="text1"/>
        </w:rPr>
        <w:t>projektu je jednotný vo forme, obsahu aj rozsahu. Poradenské projekty a v ich rámci poskytované OPS poskytujú klientom systematickú podporu, ktorá je zvyčajne dlhodobejšieho charakteru.</w:t>
      </w:r>
    </w:p>
    <w:p w14:paraId="45655B3B" w14:textId="77777777" w:rsidR="00DD48F9" w:rsidRPr="00DD48F9" w:rsidRDefault="00DD48F9" w:rsidP="00DD48F9">
      <w:pPr>
        <w:spacing w:before="120"/>
        <w:ind w:hanging="6"/>
      </w:pPr>
      <w:r w:rsidRPr="00DD48F9">
        <w:t>NP Poradenstvom k zamestnaniu je  poradenský projekt realizovaný projektovými odbornými poradcami, ktorý je zameraný na zvýšenie šancí na zamestnanie pre ZUoZ a MUoZ vo veku do 30 rokov, ktorí sú v situácii NEET (not in employment, education or training – nie sú zamestnaní, nepokračujú v procese vzdelávania, ani sa nezúčastňujú odbornej prípravy. Jeho cieľom je zabezpečiť dostupnosť individualizovaného prístupu a poradenskej činnosti, vrátane profesijného poradenstva pre UoZ. Realizácia tohto NP začala od 01.01.2024.</w:t>
      </w:r>
    </w:p>
    <w:p w14:paraId="5C69CAD6" w14:textId="77777777" w:rsidR="00DD48F9" w:rsidRPr="00DD48F9" w:rsidRDefault="00DD48F9" w:rsidP="00DD48F9">
      <w:pPr>
        <w:spacing w:before="120"/>
        <w:ind w:hanging="6"/>
      </w:pPr>
      <w:r w:rsidRPr="00DD48F9">
        <w:t xml:space="preserve">V roku 2024 bolo do tohto projektu zaradených celkovo 12 650 UoZ, ktorým bol v súvislosti s ich účasťou v projekte vyplatený paušálny príspevok v celkovej výške 444 619,1 eur. </w:t>
      </w:r>
    </w:p>
    <w:p w14:paraId="61975CDD" w14:textId="77777777" w:rsidR="00DD48F9" w:rsidRPr="00DD48F9" w:rsidRDefault="00DD48F9" w:rsidP="00DD48F9">
      <w:pPr>
        <w:spacing w:before="120"/>
        <w:ind w:left="6" w:hanging="6"/>
      </w:pPr>
      <w:r w:rsidRPr="00DD48F9">
        <w:t>Projekt sa realizuje prostredníctvom troch hlavných akcií:</w:t>
      </w:r>
    </w:p>
    <w:p w14:paraId="06D2846C" w14:textId="77777777" w:rsidR="00DD48F9" w:rsidRPr="00DD48F9" w:rsidRDefault="00DD48F9" w:rsidP="00DD48F9">
      <w:pPr>
        <w:spacing w:before="120"/>
        <w:ind w:left="6" w:hanging="6"/>
      </w:pPr>
      <w:r w:rsidRPr="00DD48F9">
        <w:rPr>
          <w:b/>
        </w:rPr>
        <w:t>Akcia č. 1 – Individualizované poradenstvo pre ZUoZ</w:t>
      </w:r>
      <w:r w:rsidRPr="00DD48F9">
        <w:t xml:space="preserve"> </w:t>
      </w:r>
    </w:p>
    <w:p w14:paraId="552ED98E" w14:textId="77777777" w:rsidR="00DD48F9" w:rsidRPr="00DD48F9" w:rsidRDefault="00DD48F9" w:rsidP="00DD48F9">
      <w:pPr>
        <w:spacing w:before="120"/>
        <w:ind w:firstLine="0"/>
      </w:pPr>
      <w:r w:rsidRPr="00DD48F9">
        <w:t xml:space="preserve">Cieľom je zabezpečiť dostupnosť individualizovaného poradenstva pre ZUoZ vo väzbe na ich individuálne potreby a konkrétnu situáciu a tým zvýšiť ich šance na zamestnanie. Táto akcia je </w:t>
      </w:r>
      <w:r w:rsidRPr="00DD48F9">
        <w:lastRenderedPageBreak/>
        <w:t>realizovaná formou individuálnych, skupinových a individualizovaných poradenských aktivít. Od 15.02.02024, kedy sa táto akcia začala realizovať, do 31.12.2024 bolo poradenstvo v rámci tejto akcie poskytnuté 5 331 ZUoZ.</w:t>
      </w:r>
    </w:p>
    <w:p w14:paraId="015D10E1" w14:textId="77777777" w:rsidR="00DD48F9" w:rsidRPr="00DD48F9" w:rsidRDefault="00DD48F9" w:rsidP="00DD48F9">
      <w:pPr>
        <w:spacing w:before="120"/>
        <w:ind w:firstLine="0"/>
      </w:pPr>
      <w:r w:rsidRPr="00DD48F9">
        <w:t>Po splnení stanovených podmienok mohol ZUoZ získať paušálny príspevok na úhradu časti výdavkov súvisiacich s jeho účasťou v rámci tejto akcie vo výške 6,70 eur za každý deň účasti. Za rok 2024 bol ZUoZ v rámci realizácie akcie č. 1 vyplatený  paušálny príspevok v celkovej výške 235 216,3 eur.</w:t>
      </w:r>
    </w:p>
    <w:p w14:paraId="6A5D379D" w14:textId="77777777" w:rsidR="00DD48F9" w:rsidRPr="00DD48F9" w:rsidRDefault="00DD48F9" w:rsidP="00DD48F9">
      <w:pPr>
        <w:spacing w:before="120" w:after="0"/>
      </w:pPr>
      <w:r w:rsidRPr="00DD48F9">
        <w:t xml:space="preserve">Z celkového počtu 5 331 ZUoZ, ktorým boli v roku 2024 poskytnuté poradenské aktivity v rámci tejto akcie, bolo 3 537 žien (66,35 %) a 1 794 mužov (33,65 %). Najpočetnejšou skupinou z  pohľadu veku bola skupina ZUoZ vo veku od 30 do 49 rokov v celkovom počte 3 082 ZUoZ (57,81 %). Druhou najpočetnejšou skupinou ZUoZ z pohľadu veku, ktorým boli poskytnuté poradenské aktivity, boli ZUoZ vo veku 50 a viac rokov – 2 028 klientov (38,04 %). Medzi najviac zastúpených ZUoZ patrila skupina DNO (4 221 ZUoZ, t. j. 79,18 %), za nimi nasledovali občania, ktorí nemali pravidelne platené zamestnanie (3 403 ZUoZ, t. j. 63,83 %), a občania starší ako 50 rokov (2 024 ZUoZ, t. j. 37,97 %). </w:t>
      </w:r>
    </w:p>
    <w:p w14:paraId="152B84DD" w14:textId="77777777" w:rsidR="00DD48F9" w:rsidRPr="00DD48F9" w:rsidRDefault="00DD48F9" w:rsidP="00DD48F9">
      <w:pPr>
        <w:spacing w:before="120" w:after="0"/>
      </w:pPr>
      <w:r w:rsidRPr="00DD48F9">
        <w:t xml:space="preserve">Štruktúra znevýhodnení je uvedená v nasledujúcom grafe. </w:t>
      </w:r>
    </w:p>
    <w:p w14:paraId="4194D6C5" w14:textId="77777777" w:rsidR="00DD48F9" w:rsidRPr="00DD48F9" w:rsidRDefault="00DD48F9" w:rsidP="00DD48F9">
      <w:pPr>
        <w:spacing w:before="120" w:after="0"/>
        <w:rPr>
          <w:highlight w:val="yellow"/>
        </w:rPr>
      </w:pPr>
      <w:r w:rsidRPr="00DD48F9">
        <w:rPr>
          <w:noProof/>
          <w:highlight w:val="yellow"/>
        </w:rPr>
        <w:drawing>
          <wp:inline distT="0" distB="0" distL="0" distR="0" wp14:anchorId="4F91E8F2" wp14:editId="1F6B0166">
            <wp:extent cx="5760720" cy="2981739"/>
            <wp:effectExtent l="0" t="0" r="11430" b="9525"/>
            <wp:docPr id="511" name="Graf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001E29" w14:textId="77777777" w:rsidR="00DD48F9" w:rsidRPr="00DD48F9" w:rsidRDefault="00DD48F9" w:rsidP="00DD48F9">
      <w:pPr>
        <w:spacing w:before="240" w:after="120"/>
        <w:ind w:hanging="6"/>
      </w:pPr>
      <w:r w:rsidRPr="00DD48F9">
        <w:t xml:space="preserve">Celková úspešnosť poradenských aktivít v rámci akcie č. 1 v roku 2024 bola 13,47 % (z 5 331 ZUoZ, ktorým boli poskytnuté poradenské aktivity, bolo 718 ZUoZ umiestnených na TP do šesť mesiacov po skončení účasti UoZ v OPS). </w:t>
      </w:r>
      <w:r w:rsidRPr="00DD48F9">
        <w:rPr>
          <w:rFonts w:eastAsia="Calibri"/>
        </w:rPr>
        <w:t>Vzhľadom na skutočnosť, že cieľovou skupinou projektu boli iba ZUoZ, považujeme výsledok za dostatočný.</w:t>
      </w:r>
    </w:p>
    <w:p w14:paraId="4D91AF29" w14:textId="77777777" w:rsidR="00DD48F9" w:rsidRPr="00DD48F9" w:rsidRDefault="00DD48F9" w:rsidP="00DD48F9">
      <w:pPr>
        <w:rPr>
          <w:b/>
        </w:rPr>
      </w:pPr>
      <w:r w:rsidRPr="00DD48F9">
        <w:rPr>
          <w:b/>
        </w:rPr>
        <w:t xml:space="preserve">Akcia č. 2 – Profesijné poradenstvo pre UoZ </w:t>
      </w:r>
    </w:p>
    <w:p w14:paraId="68F98E6F" w14:textId="77777777" w:rsidR="00DD48F9" w:rsidRPr="00DD48F9" w:rsidRDefault="00DD48F9" w:rsidP="00DD48F9">
      <w:r w:rsidRPr="00DD48F9">
        <w:t>Cieľom je poskytnúť UoZ informácie súvisiace so začatím vykonávania samostatnej zárobkovej činnosti a podporiť rozvoj s tým súvisiacich zručností. Táto akcia je prevažne realizovaná formou skupinových stretnutí. Od 01.05.2024, kedy sa táto akcia začala realizovať, do 31.12.2024 bolo profesijné poradenstvo poskytnuté 3 686 UoZ.</w:t>
      </w:r>
    </w:p>
    <w:p w14:paraId="48DA30A9" w14:textId="77777777" w:rsidR="00DD48F9" w:rsidRPr="00DD48F9" w:rsidRDefault="00DD48F9" w:rsidP="00DD48F9">
      <w:pPr>
        <w:spacing w:before="120"/>
        <w:ind w:hanging="6"/>
      </w:pPr>
      <w:r w:rsidRPr="00DD48F9">
        <w:t>Po splnení stanovených podmienok mohol UoZ získať paušálny príspevok na úhradu časti výdavkov súvisiacich s jeho účasťou v rámci tejto akcie vo výške 6,70 eur za každý deň účasti. Za rok 2024 bol UoZ v rámci realizácie akcie č. 2 vyplatený  paušálny príspevok v celkovej výške 67 415,4 eur.</w:t>
      </w:r>
    </w:p>
    <w:p w14:paraId="7589924B" w14:textId="53845EF5" w:rsidR="00DD48F9" w:rsidRPr="00DD48F9" w:rsidRDefault="00DD48F9" w:rsidP="00DD48F9">
      <w:pPr>
        <w:spacing w:before="120" w:after="120"/>
        <w:ind w:hanging="6"/>
      </w:pPr>
      <w:r w:rsidRPr="00DD48F9">
        <w:t xml:space="preserve">Z celkového počtu 3 686 UoZ, ktorým boli v roku 2024 poskytnuté poradenské aktivity v rámci tejto akcie, bolo 1 926 žien (52,25 %) a 1 760 mužov (47,75 %). Najpočetnejšou skupinou z  pohľadu veku bola skupina UoZ vo veku od 30 do 49 rokov v celkovom počte 1 951 UoZ </w:t>
      </w:r>
      <w:r w:rsidRPr="00DD48F9">
        <w:lastRenderedPageBreak/>
        <w:t>(52,93 %). Druhou najpočetnejšou skupinou UoZ z pohľadu veku, ktorým boli poskytnuté poradenské aktivity, boli UoZ vo veku 50 a viac rokov – 537 klientov (14,57 %). Z celkového počtu 3 686 UoZ až 91,51 % bolo znevýhodnených (3 373 UoZ). Z nich boli najviac zastúpení DNO (1 897 ZUoZ, t. j. 56,24 %), za nimi nasledovali občania, ktorí nemali pravidelne platené zamestnanie (1 808 ZUoZ, t. j. 53,60 %), a občania starší</w:t>
      </w:r>
      <w:r>
        <w:t xml:space="preserve"> ako 50 rokov (537 ZUoZ, t. j.              1</w:t>
      </w:r>
      <w:r w:rsidRPr="00DD48F9">
        <w:t xml:space="preserve">5,92 %). Štruktúra znevýhodnení je uvedená v nasledujúcom grafe. </w:t>
      </w:r>
    </w:p>
    <w:p w14:paraId="3D390A58" w14:textId="2DAE427A" w:rsidR="00DD48F9" w:rsidRDefault="00DD48F9" w:rsidP="00DD48F9">
      <w:pPr>
        <w:rPr>
          <w:highlight w:val="yellow"/>
        </w:rPr>
      </w:pPr>
      <w:r>
        <w:rPr>
          <w:noProof/>
          <w:highlight w:val="yellow"/>
        </w:rPr>
        <w:drawing>
          <wp:inline distT="0" distB="0" distL="0" distR="0" wp14:anchorId="11391246" wp14:editId="5CDB8F24">
            <wp:extent cx="5819775" cy="3013075"/>
            <wp:effectExtent l="0" t="0" r="9525" b="15875"/>
            <wp:docPr id="96" name="Graf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CCBD56" w14:textId="77777777" w:rsidR="00DD48F9" w:rsidRPr="00DD48F9" w:rsidRDefault="00DD48F9" w:rsidP="009B7512">
      <w:pPr>
        <w:spacing w:before="120" w:after="120"/>
        <w:ind w:hanging="6"/>
      </w:pPr>
      <w:r w:rsidRPr="00DD48F9">
        <w:t>Celková úspešnosť poradenských aktivít v rámci akcie č. 2 v roku 2024 bola 69,53 % (z 3 686 UoZ, ktorým boli poskytnuté poradenské aktivity, bolo 2 563 UoZ umiestnených na TP do šesť mesiacov po skončení účasti UoZ v OPS). Vysoká úspešnosť tejto projektovej akcie  bezprostredne súvisí s možnosťou získania príspevku na začatie vykonávania SZČ, o ktorý mohli UoZ po absolvovaní tejto aktivity požiadať. Až 1 871 UoZ, čo predstavuje 73,00 %  z celkového počtu 2 563 UoZ umiestnených na trh práce, bolo takých, ktorí začali vykonávať SZČ.</w:t>
      </w:r>
    </w:p>
    <w:p w14:paraId="4D887238" w14:textId="77777777" w:rsidR="00DD48F9" w:rsidRPr="00DD48F9" w:rsidRDefault="00DD48F9" w:rsidP="00DD48F9">
      <w:r w:rsidRPr="00DD48F9">
        <w:rPr>
          <w:b/>
        </w:rPr>
        <w:t xml:space="preserve">Akcia č. 3 – Individualizované poradenstvo pre mladých UoZ </w:t>
      </w:r>
      <w:r w:rsidRPr="00DD48F9">
        <w:t xml:space="preserve"> </w:t>
      </w:r>
    </w:p>
    <w:p w14:paraId="0692B05B" w14:textId="77777777" w:rsidR="00DD48F9" w:rsidRPr="00DD48F9" w:rsidRDefault="00DD48F9" w:rsidP="00DD48F9">
      <w:r w:rsidRPr="00DD48F9">
        <w:t>Cieľom je poskytnúť informácie o fungovaní trhu práce, o možnostiach zamestnať sa, zlepšiť zručnosti potrebné pre komunikáciu so zamestnávateľmi, ako aj zručnosti pre riadenie vlastnej kariéry. Poradenský proces je realizovaný formou individuálnych, skupinových a individualizovaných aktivít. Od 01.02.2024, kedy sa táto akcia začala realizovať, do 31.12.2024 bolo poradenstvo v rámci tejto akcie poskytnuté 3 633 MUoZ.</w:t>
      </w:r>
    </w:p>
    <w:p w14:paraId="448436A6" w14:textId="3CE1BAEF" w:rsidR="00DD48F9" w:rsidRPr="00DD48F9" w:rsidRDefault="00DD48F9" w:rsidP="00DD48F9">
      <w:pPr>
        <w:spacing w:before="120"/>
        <w:ind w:hanging="6"/>
      </w:pPr>
      <w:r w:rsidRPr="00DD48F9">
        <w:t xml:space="preserve">Po splnení stanovených podmienok mohol MUoZ získať paušálny príspevok na úhradu časti výdavkov súvisiacich s jeho účasťou v rámci tejto akcie vo výške 6,70 </w:t>
      </w:r>
      <w:r w:rsidR="00790522">
        <w:t>eur</w:t>
      </w:r>
      <w:r w:rsidRPr="00DD48F9">
        <w:t xml:space="preserve"> za každý deň účasti. Za rok 2024 bol MUoZ v rámci realizácie akcie č. 3 vyplatený  paušálny príspevok v celkovej výške 141 987,4 eur.</w:t>
      </w:r>
    </w:p>
    <w:p w14:paraId="1F3162DC" w14:textId="77777777" w:rsidR="00DD48F9" w:rsidRPr="00DD48F9" w:rsidRDefault="00DD48F9" w:rsidP="00DD48F9">
      <w:pPr>
        <w:spacing w:before="120" w:after="0"/>
      </w:pPr>
      <w:r w:rsidRPr="00DD48F9">
        <w:t>Z celkového počtu 3 633 MUoZ, ktorým boli v roku 2024 poradenské aktivity v rámci akcie č. 3, bolo 1 854 žien (51,03 %) a 1 779 mužov (48,97 %). Z celkového počtu 3 633 MUoZ bolo až 86,90 % znevýhodnených (3 157 UoZ). Medzi najviac zastúpených znevýhodnených MUoZ patrili občania, ktorí nemali pravidelne platené zamestnanie (2 882 ZUoZ, t. j. 91,29 %), za nimi nasledovala skupina DNO (1 203 ZUoZ, t. j. 38,11 %) a občania s nižším vzdelaním ako stredné odborné (1 192 ZUoZ, t. j. 37,76 %). Štruktúra znevýhodnení je uvedená v nasledujúcom grafe.</w:t>
      </w:r>
    </w:p>
    <w:p w14:paraId="44AA629F" w14:textId="77777777" w:rsidR="00DD48F9" w:rsidRPr="00DD48F9" w:rsidRDefault="00DD48F9" w:rsidP="00DD48F9">
      <w:pPr>
        <w:spacing w:before="120" w:after="0"/>
        <w:rPr>
          <w:highlight w:val="yellow"/>
        </w:rPr>
      </w:pPr>
    </w:p>
    <w:p w14:paraId="5796394A" w14:textId="77777777" w:rsidR="00DD48F9" w:rsidRPr="00DD48F9" w:rsidRDefault="00DD48F9" w:rsidP="00DD48F9">
      <w:pPr>
        <w:spacing w:before="120" w:after="0"/>
        <w:rPr>
          <w:highlight w:val="yellow"/>
        </w:rPr>
      </w:pPr>
      <w:r w:rsidRPr="00DD48F9">
        <w:rPr>
          <w:noProof/>
          <w:highlight w:val="yellow"/>
        </w:rPr>
        <w:lastRenderedPageBreak/>
        <w:drawing>
          <wp:inline distT="0" distB="0" distL="0" distR="0" wp14:anchorId="084A5953" wp14:editId="44233147">
            <wp:extent cx="5760720" cy="2743200"/>
            <wp:effectExtent l="0" t="0" r="11430" b="0"/>
            <wp:docPr id="97" name="Graf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0C75AC" w14:textId="52E6F051" w:rsidR="00DD48F9" w:rsidRPr="00DD48F9" w:rsidRDefault="00DD48F9" w:rsidP="00DD48F9">
      <w:pPr>
        <w:spacing w:before="240" w:after="120"/>
        <w:ind w:hanging="6"/>
        <w:rPr>
          <w:rFonts w:eastAsia="Calibri"/>
        </w:rPr>
      </w:pPr>
      <w:r w:rsidRPr="00DD48F9">
        <w:t xml:space="preserve">Celková úspešnosť poradenských aktivít v rámci akcie č. 3 v roku 2024 bola 65,37 % (z 3 633 MUoZ, ktorým boli poskytnuté poradenské aktivity, bolo 2 375 UoZ umiestnených na TP do šesť mesiacov po skončení účasti MUoZ). </w:t>
      </w:r>
      <w:r w:rsidRPr="00DD48F9">
        <w:rPr>
          <w:rFonts w:eastAsia="Calibri"/>
        </w:rPr>
        <w:t>Vzhľadom na skutočnosť, že cieľovou skupinou tejto akcie boli iba MUoZ, považujeme výsledok za primeraný.</w:t>
      </w:r>
    </w:p>
    <w:p w14:paraId="3A0B1AE1" w14:textId="77777777" w:rsidR="00DD48F9" w:rsidRPr="00DD48F9" w:rsidRDefault="00DD48F9" w:rsidP="004F1F7B">
      <w:pPr>
        <w:spacing w:after="0"/>
        <w:ind w:hanging="6"/>
        <w:rPr>
          <w:b/>
          <w:bCs/>
        </w:rPr>
      </w:pPr>
      <w:r w:rsidRPr="00DD48F9">
        <w:rPr>
          <w:b/>
          <w:bCs/>
        </w:rPr>
        <w:t xml:space="preserve">Kvalitatívne aspekty OPS </w:t>
      </w:r>
    </w:p>
    <w:p w14:paraId="571309F2" w14:textId="77777777" w:rsidR="00DD48F9" w:rsidRPr="00DD48F9" w:rsidRDefault="00DD48F9" w:rsidP="009B7512">
      <w:pPr>
        <w:spacing w:before="120" w:after="120"/>
        <w:ind w:hanging="6"/>
        <w:rPr>
          <w:bCs/>
        </w:rPr>
      </w:pPr>
      <w:r w:rsidRPr="00DD48F9">
        <w:rPr>
          <w:bCs/>
        </w:rPr>
        <w:t xml:space="preserve">Na účely hodnotenia kvality poskytovania OPS sa monitoruje úroveň 16 špecifických zručností pre riadenie vlastnej kariéry pri vstupe UoZ do OPS a následne pri jeho riadnom ukončení. Monitorovaním týchto údajov prostredníctvom formulára Analýza situácie UoZ sa sleduje , či sa úroveň zručností UoZ pre riadenie vlastnej kariéry (ďalej aj „RVK“) darí za pomoci OPS rozvíjať, a to nielen vo všeobecnosti, ale aj špecificky, t. j. práve v tých konkrétnych zručnostiach, ktoré boli na začiatku OPS posúdené ako najmenej rozvinuté. </w:t>
      </w:r>
    </w:p>
    <w:p w14:paraId="10716B73" w14:textId="77777777" w:rsidR="00DD48F9" w:rsidRPr="00DD48F9" w:rsidRDefault="00DD48F9" w:rsidP="009B7512">
      <w:pPr>
        <w:spacing w:before="120" w:after="120"/>
        <w:ind w:hanging="6"/>
      </w:pPr>
      <w:r w:rsidRPr="00DD48F9">
        <w:rPr>
          <w:bCs/>
        </w:rPr>
        <w:t>V roku 2024 bola kompletná analýza situácie UoZ, t. j. obsahujúca vstupné aj výstupné údaje,</w:t>
      </w:r>
      <w:r w:rsidRPr="00DD48F9">
        <w:rPr>
          <w:b/>
          <w:bCs/>
        </w:rPr>
        <w:t xml:space="preserve"> </w:t>
      </w:r>
      <w:r w:rsidRPr="00DD48F9">
        <w:rPr>
          <w:bCs/>
        </w:rPr>
        <w:t xml:space="preserve">vypracovaná pre 10 963  UoZ. </w:t>
      </w:r>
      <w:r w:rsidRPr="00DD48F9">
        <w:t xml:space="preserve"> Úroveň zručností pre RVK všetkých 10 963 UoZ na začiatku poradenských služieb (vstup) dosahovala celkovú priemernú hodnotu 43,3 %. Po skončení poskytovania poradenských služieb (výstup) bola celková priemerná hodnota zručností pre RVK na úrovni 65,36 %, čo predstavuje zvýšenie úrovne v priemere o 20,06 %. Na základe toho možno konštatovať, že poskytované OPS splnili svoj cieľ, nakoľko sa zručnosti pre RVK v poradenskom procese darilo rozvíjať vo všeobecnosti a posunúť ich na vyššiu úroveň. </w:t>
      </w:r>
    </w:p>
    <w:p w14:paraId="6A33C8C8" w14:textId="77777777" w:rsidR="00DD48F9" w:rsidRPr="00DD48F9" w:rsidRDefault="00DD48F9" w:rsidP="009B7512">
      <w:pPr>
        <w:spacing w:before="120" w:after="120"/>
        <w:ind w:hanging="6"/>
      </w:pPr>
      <w:r w:rsidRPr="00DD48F9">
        <w:t xml:space="preserve">Z celkového počtu </w:t>
      </w:r>
      <w:r w:rsidRPr="00DD48F9">
        <w:rPr>
          <w:bCs/>
        </w:rPr>
        <w:t>10 963, ktorým bola vypracovaná Analýza situácie UoZ, bolo 3 946 UoZ vo veku do 30 rokov (MUoZ) a 7 017 UoZ vo veku nad 30 rokov (ostatní UoZ).</w:t>
      </w:r>
    </w:p>
    <w:p w14:paraId="5FAA8EB9" w14:textId="77777777" w:rsidR="00DD48F9" w:rsidRPr="00DD48F9" w:rsidRDefault="00DD48F9" w:rsidP="00DD48F9">
      <w:pPr>
        <w:spacing w:before="240" w:after="120"/>
        <w:ind w:hanging="6"/>
        <w:rPr>
          <w:b/>
        </w:rPr>
      </w:pPr>
      <w:r w:rsidRPr="00DD48F9">
        <w:rPr>
          <w:b/>
        </w:rPr>
        <w:t>Vyhodnotenie rozvoja zručností pre RVK u MUoZ</w:t>
      </w:r>
    </w:p>
    <w:p w14:paraId="2D3248E4" w14:textId="77777777" w:rsidR="00DD48F9" w:rsidRPr="00DD48F9" w:rsidRDefault="00DD48F9" w:rsidP="009B7512">
      <w:pPr>
        <w:spacing w:before="120" w:after="120"/>
        <w:ind w:hanging="6"/>
        <w:rPr>
          <w:bCs/>
        </w:rPr>
      </w:pPr>
      <w:r w:rsidRPr="00DD48F9">
        <w:t xml:space="preserve">Celková úroveň zručností pre riadenie vlastnej kariéry u sledovaných 3 946 MUoZ bola na začiatku poradenského procesu na úrovni v priemere 45,72 %. Po skončení poradenského procesu sa celková úroveň zručností pre riadenie vlastnej kariéry u sledovaných MUoZ vzrástla o 20,56 % – na úroveň v priemere 66,28 %. </w:t>
      </w:r>
    </w:p>
    <w:p w14:paraId="19A888D8" w14:textId="7CF38FA4" w:rsidR="004F1F7B" w:rsidRPr="00DD48F9" w:rsidRDefault="00DD48F9" w:rsidP="009B7512">
      <w:pPr>
        <w:spacing w:before="120" w:after="120"/>
        <w:ind w:hanging="6"/>
      </w:pPr>
      <w:r w:rsidRPr="00DD48F9">
        <w:t>Z jednotlivých zručností pre RVK u MUoZ bolo na začiatku poradenského procesu identifikovaných týchto 5 zručností, u ktorých bola nameraná najnižšia úroveň:</w:t>
      </w:r>
    </w:p>
    <w:tbl>
      <w:tblPr>
        <w:tblStyle w:val="tltabsprava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7"/>
        <w:gridCol w:w="1867"/>
      </w:tblGrid>
      <w:tr w:rsidR="00DD48F9" w:rsidRPr="00DD48F9" w14:paraId="7D56F10E" w14:textId="77777777" w:rsidTr="004A1000">
        <w:trPr>
          <w:cnfStyle w:val="100000000000" w:firstRow="1" w:lastRow="0" w:firstColumn="0" w:lastColumn="0" w:oddVBand="0" w:evenVBand="0" w:oddHBand="0" w:evenHBand="0" w:firstRowFirstColumn="0" w:firstRowLastColumn="0" w:lastRowFirstColumn="0" w:lastRowLastColumn="0"/>
          <w:trHeight w:val="29"/>
        </w:trPr>
        <w:tc>
          <w:tcPr>
            <w:tcW w:w="3986" w:type="pct"/>
            <w:shd w:val="clear" w:color="auto" w:fill="auto"/>
            <w:noWrap/>
          </w:tcPr>
          <w:p w14:paraId="495E6ED4" w14:textId="77777777" w:rsidR="00DD48F9" w:rsidRPr="004A1000" w:rsidRDefault="00DD48F9" w:rsidP="004F1F7B">
            <w:pPr>
              <w:spacing w:after="0"/>
              <w:ind w:right="16" w:hanging="6"/>
              <w:jc w:val="center"/>
              <w:rPr>
                <w:rFonts w:asciiTheme="minorHAnsi" w:hAnsiTheme="minorHAnsi" w:cstheme="minorHAnsi"/>
                <w:bCs/>
                <w:color w:val="auto"/>
                <w:sz w:val="20"/>
                <w:szCs w:val="20"/>
                <w:lang w:val="sk-SK"/>
              </w:rPr>
            </w:pPr>
            <w:r w:rsidRPr="004A1000">
              <w:rPr>
                <w:rFonts w:asciiTheme="minorHAnsi" w:hAnsiTheme="minorHAnsi" w:cstheme="minorHAnsi"/>
                <w:bCs/>
                <w:color w:val="auto"/>
                <w:sz w:val="20"/>
                <w:szCs w:val="20"/>
                <w:lang w:val="sk-SK"/>
              </w:rPr>
              <w:t>Zručnosť pre riadenie vlastnej kariéry</w:t>
            </w:r>
          </w:p>
        </w:tc>
        <w:tc>
          <w:tcPr>
            <w:tcW w:w="1014" w:type="pct"/>
            <w:shd w:val="clear" w:color="auto" w:fill="auto"/>
            <w:noWrap/>
          </w:tcPr>
          <w:p w14:paraId="46CE8F29" w14:textId="77777777" w:rsidR="00DD48F9" w:rsidRPr="004A1000" w:rsidRDefault="00DD48F9" w:rsidP="004F1F7B">
            <w:pPr>
              <w:spacing w:after="0"/>
              <w:ind w:right="16" w:hanging="6"/>
              <w:jc w:val="center"/>
              <w:rPr>
                <w:rFonts w:asciiTheme="minorHAnsi" w:hAnsiTheme="minorHAnsi" w:cstheme="minorHAnsi"/>
                <w:bCs/>
                <w:color w:val="auto"/>
                <w:sz w:val="20"/>
                <w:szCs w:val="20"/>
                <w:lang w:val="sk-SK"/>
              </w:rPr>
            </w:pPr>
            <w:r w:rsidRPr="004A1000">
              <w:rPr>
                <w:rFonts w:asciiTheme="minorHAnsi" w:hAnsiTheme="minorHAnsi" w:cstheme="minorHAnsi"/>
                <w:bCs/>
                <w:color w:val="auto"/>
                <w:sz w:val="20"/>
                <w:szCs w:val="20"/>
                <w:lang w:val="sk-SK"/>
              </w:rPr>
              <w:t>Vstupná úroveň (%)</w:t>
            </w:r>
          </w:p>
        </w:tc>
      </w:tr>
      <w:tr w:rsidR="00DD48F9" w:rsidRPr="00DD48F9" w14:paraId="2602E252" w14:textId="77777777" w:rsidTr="004A100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0B6AAC23" w14:textId="77777777" w:rsidR="00DD48F9" w:rsidRPr="00DD48F9" w:rsidRDefault="00DD48F9" w:rsidP="004F1F7B">
            <w:pPr>
              <w:spacing w:after="0"/>
              <w:ind w:hanging="6"/>
              <w:jc w:val="left"/>
              <w:rPr>
                <w:rFonts w:asciiTheme="minorHAnsi" w:hAnsiTheme="minorHAnsi" w:cstheme="minorHAnsi"/>
                <w:strike/>
                <w:sz w:val="20"/>
                <w:szCs w:val="20"/>
                <w:lang w:val="sk-SK"/>
              </w:rPr>
            </w:pPr>
            <w:r w:rsidRPr="00DD48F9">
              <w:rPr>
                <w:rFonts w:asciiTheme="minorHAnsi" w:hAnsiTheme="minorHAnsi" w:cstheme="minorHAnsi"/>
                <w:sz w:val="20"/>
                <w:szCs w:val="20"/>
                <w:lang w:val="sk-SK"/>
              </w:rPr>
              <w:t>B3 Dokáže rozpoznať a pomenovať vzdelávacie príležitosti</w:t>
            </w:r>
          </w:p>
        </w:tc>
        <w:tc>
          <w:tcPr>
            <w:tcW w:w="1014" w:type="pct"/>
            <w:noWrap/>
            <w:vAlign w:val="top"/>
          </w:tcPr>
          <w:p w14:paraId="165A6C8C" w14:textId="77777777" w:rsidR="00DD48F9" w:rsidRPr="00DD48F9" w:rsidRDefault="00DD48F9" w:rsidP="004F1F7B">
            <w:pPr>
              <w:spacing w:after="0"/>
              <w:ind w:hanging="6"/>
              <w:jc w:val="center"/>
              <w:rPr>
                <w:rFonts w:asciiTheme="minorHAnsi" w:hAnsiTheme="minorHAnsi" w:cstheme="minorHAnsi"/>
                <w:strike/>
                <w:sz w:val="20"/>
                <w:szCs w:val="20"/>
                <w:lang w:val="sk-SK"/>
              </w:rPr>
            </w:pPr>
            <w:r w:rsidRPr="00DD48F9">
              <w:rPr>
                <w:rFonts w:asciiTheme="minorHAnsi" w:hAnsiTheme="minorHAnsi" w:cstheme="minorHAnsi"/>
                <w:sz w:val="20"/>
                <w:szCs w:val="20"/>
                <w:lang w:val="sk-SK"/>
              </w:rPr>
              <w:t>38,34</w:t>
            </w:r>
          </w:p>
        </w:tc>
      </w:tr>
      <w:tr w:rsidR="00DD48F9" w:rsidRPr="00DD48F9" w14:paraId="274B7996" w14:textId="77777777" w:rsidTr="004A1000">
        <w:trPr>
          <w:trHeight w:val="29"/>
        </w:trPr>
        <w:tc>
          <w:tcPr>
            <w:tcW w:w="3986" w:type="pct"/>
            <w:noWrap/>
            <w:vAlign w:val="top"/>
          </w:tcPr>
          <w:p w14:paraId="57B124C0" w14:textId="77777777" w:rsidR="00DD48F9" w:rsidRPr="00DD48F9" w:rsidRDefault="00DD48F9" w:rsidP="004F1F7B">
            <w:pPr>
              <w:spacing w:after="0"/>
              <w:ind w:hanging="6"/>
              <w:jc w:val="left"/>
              <w:rPr>
                <w:rFonts w:asciiTheme="minorHAnsi" w:hAnsiTheme="minorHAnsi" w:cstheme="minorHAnsi"/>
                <w:strike/>
                <w:sz w:val="20"/>
                <w:szCs w:val="20"/>
                <w:lang w:val="sk-SK"/>
              </w:rPr>
            </w:pPr>
            <w:r w:rsidRPr="00DD48F9">
              <w:rPr>
                <w:rFonts w:asciiTheme="minorHAnsi" w:hAnsiTheme="minorHAnsi" w:cstheme="minorHAnsi"/>
                <w:sz w:val="20"/>
                <w:szCs w:val="20"/>
                <w:lang w:val="sk-SK"/>
              </w:rPr>
              <w:t>D4 Kontaktoval osobne za posledný mesiac zamestnávateľov v regióne</w:t>
            </w:r>
          </w:p>
        </w:tc>
        <w:tc>
          <w:tcPr>
            <w:tcW w:w="1014" w:type="pct"/>
            <w:noWrap/>
            <w:vAlign w:val="top"/>
          </w:tcPr>
          <w:p w14:paraId="41DBC619" w14:textId="77777777" w:rsidR="00DD48F9" w:rsidRPr="00DD48F9" w:rsidRDefault="00DD48F9" w:rsidP="004F1F7B">
            <w:pPr>
              <w:spacing w:after="0"/>
              <w:ind w:hanging="6"/>
              <w:jc w:val="center"/>
              <w:rPr>
                <w:rFonts w:asciiTheme="minorHAnsi" w:hAnsiTheme="minorHAnsi" w:cstheme="minorHAnsi"/>
                <w:strike/>
                <w:sz w:val="20"/>
                <w:szCs w:val="20"/>
                <w:lang w:val="sk-SK"/>
              </w:rPr>
            </w:pPr>
            <w:r w:rsidRPr="00DD48F9">
              <w:rPr>
                <w:rFonts w:asciiTheme="minorHAnsi" w:hAnsiTheme="minorHAnsi" w:cstheme="minorHAnsi"/>
                <w:sz w:val="20"/>
                <w:szCs w:val="20"/>
                <w:lang w:val="sk-SK"/>
              </w:rPr>
              <w:t>39,95</w:t>
            </w:r>
          </w:p>
        </w:tc>
      </w:tr>
      <w:tr w:rsidR="00DD48F9" w:rsidRPr="00DD48F9" w14:paraId="15837A1F" w14:textId="77777777" w:rsidTr="004A100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1584346E" w14:textId="77777777" w:rsidR="00DD48F9" w:rsidRPr="00DD48F9" w:rsidRDefault="00DD48F9" w:rsidP="004F1F7B">
            <w:pPr>
              <w:spacing w:after="0"/>
              <w:ind w:hanging="6"/>
              <w:jc w:val="left"/>
              <w:rPr>
                <w:rFonts w:asciiTheme="minorHAnsi" w:hAnsiTheme="minorHAnsi" w:cstheme="minorHAnsi"/>
                <w:strike/>
                <w:sz w:val="20"/>
                <w:szCs w:val="20"/>
                <w:lang w:val="sk-SK"/>
              </w:rPr>
            </w:pPr>
            <w:r w:rsidRPr="00DD48F9">
              <w:rPr>
                <w:rFonts w:asciiTheme="minorHAnsi" w:hAnsiTheme="minorHAnsi" w:cstheme="minorHAnsi"/>
                <w:sz w:val="20"/>
                <w:szCs w:val="20"/>
                <w:lang w:val="sk-SK"/>
              </w:rPr>
              <w:t>D1 Dokáže efektívne absolvovať pracovný pohovor</w:t>
            </w:r>
          </w:p>
        </w:tc>
        <w:tc>
          <w:tcPr>
            <w:tcW w:w="1014" w:type="pct"/>
            <w:noWrap/>
            <w:vAlign w:val="top"/>
          </w:tcPr>
          <w:p w14:paraId="0BDC17A3" w14:textId="77777777" w:rsidR="00DD48F9" w:rsidRPr="00DD48F9" w:rsidRDefault="00DD48F9" w:rsidP="004F1F7B">
            <w:pPr>
              <w:spacing w:after="0"/>
              <w:ind w:hanging="6"/>
              <w:jc w:val="center"/>
              <w:rPr>
                <w:rFonts w:asciiTheme="minorHAnsi" w:hAnsiTheme="minorHAnsi" w:cstheme="minorHAnsi"/>
                <w:strike/>
                <w:sz w:val="20"/>
                <w:szCs w:val="20"/>
                <w:lang w:val="sk-SK"/>
              </w:rPr>
            </w:pPr>
            <w:r w:rsidRPr="00DD48F9">
              <w:rPr>
                <w:rFonts w:asciiTheme="minorHAnsi" w:hAnsiTheme="minorHAnsi" w:cstheme="minorHAnsi"/>
                <w:sz w:val="20"/>
                <w:szCs w:val="20"/>
                <w:lang w:val="sk-SK"/>
              </w:rPr>
              <w:t>40,53</w:t>
            </w:r>
          </w:p>
        </w:tc>
      </w:tr>
      <w:tr w:rsidR="00DD48F9" w:rsidRPr="00DD48F9" w14:paraId="740159CC" w14:textId="77777777" w:rsidTr="004A1000">
        <w:trPr>
          <w:trHeight w:val="29"/>
        </w:trPr>
        <w:tc>
          <w:tcPr>
            <w:tcW w:w="3986" w:type="pct"/>
            <w:noWrap/>
            <w:vAlign w:val="top"/>
          </w:tcPr>
          <w:p w14:paraId="6FF0A9B0" w14:textId="77777777" w:rsidR="00DD48F9" w:rsidRPr="00DD48F9" w:rsidRDefault="00DD48F9" w:rsidP="004F1F7B">
            <w:pPr>
              <w:spacing w:after="0"/>
              <w:ind w:hanging="6"/>
              <w:jc w:val="left"/>
              <w:rPr>
                <w:rFonts w:asciiTheme="minorHAnsi" w:hAnsiTheme="minorHAnsi" w:cstheme="minorHAnsi"/>
                <w:strike/>
                <w:sz w:val="20"/>
                <w:szCs w:val="20"/>
                <w:lang w:val="sk-SK"/>
              </w:rPr>
            </w:pPr>
            <w:r w:rsidRPr="00DD48F9">
              <w:rPr>
                <w:rFonts w:asciiTheme="minorHAnsi" w:hAnsiTheme="minorHAnsi" w:cstheme="minorHAnsi"/>
                <w:sz w:val="20"/>
                <w:szCs w:val="20"/>
                <w:lang w:val="sk-SK"/>
              </w:rPr>
              <w:t>B1 Dokáže popísať vlastné silné stránky</w:t>
            </w:r>
          </w:p>
        </w:tc>
        <w:tc>
          <w:tcPr>
            <w:tcW w:w="1014" w:type="pct"/>
            <w:noWrap/>
            <w:vAlign w:val="top"/>
          </w:tcPr>
          <w:p w14:paraId="7EAAA824" w14:textId="77777777" w:rsidR="00DD48F9" w:rsidRPr="00DD48F9" w:rsidRDefault="00DD48F9" w:rsidP="004F1F7B">
            <w:pPr>
              <w:spacing w:after="0"/>
              <w:ind w:hanging="6"/>
              <w:jc w:val="center"/>
              <w:rPr>
                <w:rFonts w:asciiTheme="minorHAnsi" w:hAnsiTheme="minorHAnsi" w:cstheme="minorHAnsi"/>
                <w:strike/>
                <w:sz w:val="20"/>
                <w:szCs w:val="20"/>
                <w:lang w:val="sk-SK"/>
              </w:rPr>
            </w:pPr>
            <w:r w:rsidRPr="00DD48F9">
              <w:rPr>
                <w:rFonts w:asciiTheme="minorHAnsi" w:hAnsiTheme="minorHAnsi" w:cstheme="minorHAnsi"/>
                <w:sz w:val="20"/>
                <w:szCs w:val="20"/>
                <w:lang w:val="sk-SK"/>
              </w:rPr>
              <w:t>41,71</w:t>
            </w:r>
          </w:p>
        </w:tc>
      </w:tr>
      <w:tr w:rsidR="00DD48F9" w:rsidRPr="00DD48F9" w14:paraId="3EB47320" w14:textId="77777777" w:rsidTr="004A100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72DED686" w14:textId="77777777" w:rsidR="00DD48F9" w:rsidRPr="00DD48F9" w:rsidRDefault="00DD48F9" w:rsidP="004F1F7B">
            <w:pPr>
              <w:spacing w:after="0"/>
              <w:ind w:hanging="6"/>
              <w:jc w:val="left"/>
              <w:rPr>
                <w:rFonts w:asciiTheme="minorHAnsi" w:hAnsiTheme="minorHAnsi" w:cstheme="minorHAnsi"/>
                <w:strike/>
                <w:sz w:val="20"/>
                <w:szCs w:val="20"/>
                <w:lang w:val="sk-SK"/>
              </w:rPr>
            </w:pPr>
            <w:r w:rsidRPr="00DD48F9">
              <w:rPr>
                <w:rFonts w:asciiTheme="minorHAnsi" w:hAnsiTheme="minorHAnsi" w:cstheme="minorHAnsi"/>
                <w:sz w:val="20"/>
                <w:szCs w:val="20"/>
                <w:lang w:val="sk-SK"/>
              </w:rPr>
              <w:t>C1 Vie, čo musí urobiť pre to, aby sa zamestnal (akčný plán)</w:t>
            </w:r>
          </w:p>
        </w:tc>
        <w:tc>
          <w:tcPr>
            <w:tcW w:w="1014" w:type="pct"/>
            <w:noWrap/>
            <w:vAlign w:val="top"/>
          </w:tcPr>
          <w:p w14:paraId="69D8D6C7" w14:textId="77777777" w:rsidR="00DD48F9" w:rsidRPr="00DD48F9" w:rsidRDefault="00DD48F9" w:rsidP="004F1F7B">
            <w:pPr>
              <w:spacing w:after="0"/>
              <w:ind w:hanging="6"/>
              <w:jc w:val="center"/>
              <w:rPr>
                <w:rFonts w:asciiTheme="minorHAnsi" w:hAnsiTheme="minorHAnsi" w:cstheme="minorHAnsi"/>
                <w:strike/>
                <w:sz w:val="20"/>
                <w:szCs w:val="20"/>
                <w:lang w:val="sk-SK"/>
              </w:rPr>
            </w:pPr>
            <w:r w:rsidRPr="00DD48F9">
              <w:rPr>
                <w:rFonts w:asciiTheme="minorHAnsi" w:hAnsiTheme="minorHAnsi" w:cstheme="minorHAnsi"/>
                <w:sz w:val="20"/>
                <w:szCs w:val="20"/>
                <w:lang w:val="sk-SK"/>
              </w:rPr>
              <w:t>43,51</w:t>
            </w:r>
          </w:p>
        </w:tc>
      </w:tr>
    </w:tbl>
    <w:p w14:paraId="2BB15C82" w14:textId="77777777" w:rsidR="00DD48F9" w:rsidRPr="00DD48F9" w:rsidRDefault="00DD48F9" w:rsidP="00DD48F9">
      <w:pPr>
        <w:spacing w:before="240" w:after="120"/>
        <w:ind w:hanging="6"/>
        <w:rPr>
          <w:bCs/>
        </w:rPr>
      </w:pPr>
      <w:r w:rsidRPr="00DD48F9">
        <w:rPr>
          <w:bCs/>
        </w:rPr>
        <w:lastRenderedPageBreak/>
        <w:t>Po  skončení poradenského procesu a vyhodnotení údajov bol zistený  najväčší posun úrovne v týchto konkrétnych položkách zručností MUoZ:</w:t>
      </w:r>
    </w:p>
    <w:tbl>
      <w:tblPr>
        <w:tblStyle w:val="tltabsprava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7"/>
        <w:gridCol w:w="1867"/>
      </w:tblGrid>
      <w:tr w:rsidR="004A1000" w:rsidRPr="004A1000" w14:paraId="08F796BD" w14:textId="77777777" w:rsidTr="004A1000">
        <w:trPr>
          <w:cnfStyle w:val="100000000000" w:firstRow="1" w:lastRow="0" w:firstColumn="0" w:lastColumn="0" w:oddVBand="0" w:evenVBand="0" w:oddHBand="0" w:evenHBand="0" w:firstRowFirstColumn="0" w:firstRowLastColumn="0" w:lastRowFirstColumn="0" w:lastRowLastColumn="0"/>
          <w:trHeight w:val="306"/>
        </w:trPr>
        <w:tc>
          <w:tcPr>
            <w:tcW w:w="3986" w:type="pct"/>
            <w:shd w:val="clear" w:color="auto" w:fill="auto"/>
            <w:noWrap/>
          </w:tcPr>
          <w:p w14:paraId="4E369E73" w14:textId="77777777" w:rsidR="00DD48F9" w:rsidRPr="004A1000" w:rsidRDefault="00DD48F9" w:rsidP="004F1F7B">
            <w:pPr>
              <w:spacing w:after="0"/>
              <w:ind w:right="16" w:hanging="6"/>
              <w:jc w:val="center"/>
              <w:rPr>
                <w:rFonts w:asciiTheme="minorHAnsi" w:hAnsiTheme="minorHAnsi" w:cstheme="minorHAnsi"/>
                <w:b w:val="0"/>
                <w:color w:val="auto"/>
                <w:sz w:val="20"/>
                <w:szCs w:val="20"/>
                <w:lang w:val="sk-SK"/>
              </w:rPr>
            </w:pPr>
            <w:r w:rsidRPr="004A1000">
              <w:rPr>
                <w:rFonts w:asciiTheme="minorHAnsi" w:hAnsiTheme="minorHAnsi" w:cstheme="minorHAnsi"/>
                <w:bCs/>
                <w:color w:val="auto"/>
                <w:sz w:val="20"/>
                <w:szCs w:val="20"/>
                <w:lang w:val="sk-SK"/>
              </w:rPr>
              <w:t>Zručnosť pre riadenie vlastnej kariéry</w:t>
            </w:r>
          </w:p>
        </w:tc>
        <w:tc>
          <w:tcPr>
            <w:tcW w:w="1014" w:type="pct"/>
            <w:shd w:val="clear" w:color="auto" w:fill="auto"/>
            <w:noWrap/>
          </w:tcPr>
          <w:p w14:paraId="20697699" w14:textId="77777777" w:rsidR="00DD48F9" w:rsidRPr="004A1000" w:rsidRDefault="00DD48F9" w:rsidP="004F1F7B">
            <w:pPr>
              <w:spacing w:after="0"/>
              <w:ind w:right="16" w:hanging="6"/>
              <w:jc w:val="center"/>
              <w:rPr>
                <w:rFonts w:asciiTheme="minorHAnsi" w:hAnsiTheme="minorHAnsi" w:cstheme="minorHAnsi"/>
                <w:color w:val="auto"/>
                <w:sz w:val="20"/>
                <w:szCs w:val="20"/>
                <w:lang w:val="sk-SK"/>
              </w:rPr>
            </w:pPr>
            <w:r w:rsidRPr="004A1000">
              <w:rPr>
                <w:rFonts w:asciiTheme="minorHAnsi" w:hAnsiTheme="minorHAnsi" w:cstheme="minorHAnsi"/>
                <w:bCs/>
                <w:color w:val="auto"/>
                <w:sz w:val="20"/>
                <w:szCs w:val="20"/>
                <w:lang w:val="sk-SK"/>
              </w:rPr>
              <w:t>Posun úrovne o (%)</w:t>
            </w:r>
          </w:p>
        </w:tc>
      </w:tr>
      <w:tr w:rsidR="004A1000" w:rsidRPr="004A1000" w14:paraId="5DD66EF7" w14:textId="77777777" w:rsidTr="004A100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1D5E8B42" w14:textId="77777777" w:rsidR="00DD48F9" w:rsidRPr="004A1000" w:rsidRDefault="00DD48F9" w:rsidP="004F1F7B">
            <w:pPr>
              <w:spacing w:after="0"/>
              <w:ind w:firstLine="0"/>
              <w:jc w:val="left"/>
              <w:rPr>
                <w:rFonts w:asciiTheme="minorHAnsi" w:hAnsiTheme="minorHAnsi" w:cstheme="minorHAnsi"/>
                <w:strike/>
                <w:sz w:val="20"/>
                <w:szCs w:val="20"/>
                <w:lang w:val="sk-SK"/>
              </w:rPr>
            </w:pPr>
            <w:r w:rsidRPr="004A1000">
              <w:rPr>
                <w:rFonts w:asciiTheme="minorHAnsi" w:hAnsiTheme="minorHAnsi" w:cstheme="minorHAnsi"/>
                <w:sz w:val="20"/>
                <w:szCs w:val="20"/>
                <w:lang w:val="sk-SK"/>
              </w:rPr>
              <w:t>B1 Dokáže popísať vlastné silné stránky</w:t>
            </w:r>
          </w:p>
        </w:tc>
        <w:tc>
          <w:tcPr>
            <w:tcW w:w="1014" w:type="pct"/>
            <w:noWrap/>
          </w:tcPr>
          <w:p w14:paraId="4F11181A" w14:textId="77777777" w:rsidR="00DD48F9" w:rsidRPr="004A1000" w:rsidRDefault="00DD48F9" w:rsidP="004F1F7B">
            <w:pPr>
              <w:spacing w:after="0"/>
              <w:ind w:hanging="6"/>
              <w:jc w:val="center"/>
              <w:rPr>
                <w:rFonts w:asciiTheme="minorHAnsi" w:hAnsiTheme="minorHAnsi" w:cstheme="minorHAnsi"/>
                <w:strike/>
                <w:sz w:val="20"/>
                <w:szCs w:val="20"/>
                <w:lang w:val="sk-SK"/>
              </w:rPr>
            </w:pPr>
            <w:r w:rsidRPr="004A1000">
              <w:rPr>
                <w:rFonts w:asciiTheme="minorHAnsi" w:hAnsiTheme="minorHAnsi" w:cstheme="minorHAnsi"/>
                <w:sz w:val="20"/>
                <w:szCs w:val="20"/>
                <w:lang w:val="sk-SK"/>
              </w:rPr>
              <w:t>25,40</w:t>
            </w:r>
          </w:p>
        </w:tc>
      </w:tr>
      <w:tr w:rsidR="004A1000" w:rsidRPr="004A1000" w14:paraId="07A2D186" w14:textId="77777777" w:rsidTr="004A1000">
        <w:trPr>
          <w:trHeight w:val="29"/>
        </w:trPr>
        <w:tc>
          <w:tcPr>
            <w:tcW w:w="3986" w:type="pct"/>
            <w:noWrap/>
            <w:vAlign w:val="top"/>
          </w:tcPr>
          <w:p w14:paraId="066BEB8D" w14:textId="77777777" w:rsidR="00DD48F9" w:rsidRPr="004A1000" w:rsidRDefault="00DD48F9" w:rsidP="004F1F7B">
            <w:pPr>
              <w:spacing w:after="0"/>
              <w:ind w:hanging="6"/>
              <w:jc w:val="left"/>
              <w:rPr>
                <w:rFonts w:asciiTheme="minorHAnsi" w:hAnsiTheme="minorHAnsi" w:cstheme="minorHAnsi"/>
                <w:strike/>
                <w:sz w:val="20"/>
                <w:szCs w:val="20"/>
                <w:lang w:val="sk-SK"/>
              </w:rPr>
            </w:pPr>
            <w:r w:rsidRPr="004A1000">
              <w:rPr>
                <w:rFonts w:asciiTheme="minorHAnsi" w:hAnsiTheme="minorHAnsi" w:cstheme="minorHAnsi"/>
                <w:sz w:val="20"/>
                <w:szCs w:val="20"/>
                <w:lang w:val="sk-SK"/>
              </w:rPr>
              <w:t>C1 Vie, čo musí urobiť pre to, aby sa zamestnal (akčný plán)</w:t>
            </w:r>
          </w:p>
        </w:tc>
        <w:tc>
          <w:tcPr>
            <w:tcW w:w="1014" w:type="pct"/>
            <w:noWrap/>
          </w:tcPr>
          <w:p w14:paraId="75383053" w14:textId="77777777" w:rsidR="00DD48F9" w:rsidRPr="004A1000" w:rsidRDefault="00DD48F9" w:rsidP="004F1F7B">
            <w:pPr>
              <w:spacing w:after="0"/>
              <w:ind w:hanging="6"/>
              <w:jc w:val="center"/>
              <w:rPr>
                <w:rFonts w:asciiTheme="minorHAnsi" w:hAnsiTheme="minorHAnsi" w:cstheme="minorHAnsi"/>
                <w:strike/>
                <w:sz w:val="20"/>
                <w:szCs w:val="20"/>
                <w:lang w:val="sk-SK"/>
              </w:rPr>
            </w:pPr>
            <w:r w:rsidRPr="004A1000">
              <w:rPr>
                <w:rFonts w:asciiTheme="minorHAnsi" w:hAnsiTheme="minorHAnsi" w:cstheme="minorHAnsi"/>
                <w:sz w:val="20"/>
                <w:szCs w:val="20"/>
                <w:lang w:val="sk-SK"/>
              </w:rPr>
              <w:t>24,73</w:t>
            </w:r>
          </w:p>
        </w:tc>
      </w:tr>
      <w:tr w:rsidR="004A1000" w:rsidRPr="004A1000" w14:paraId="4BE4171F" w14:textId="77777777" w:rsidTr="004A100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0C4CAE6A" w14:textId="77777777" w:rsidR="00DD48F9" w:rsidRPr="004A1000" w:rsidRDefault="00DD48F9" w:rsidP="004F1F7B">
            <w:pPr>
              <w:spacing w:after="0"/>
              <w:ind w:hanging="6"/>
              <w:jc w:val="left"/>
              <w:rPr>
                <w:rFonts w:asciiTheme="minorHAnsi" w:hAnsiTheme="minorHAnsi" w:cstheme="minorHAnsi"/>
                <w:strike/>
                <w:sz w:val="20"/>
                <w:szCs w:val="20"/>
                <w:lang w:val="sk-SK"/>
              </w:rPr>
            </w:pPr>
            <w:r w:rsidRPr="004A1000">
              <w:rPr>
                <w:rFonts w:asciiTheme="minorHAnsi" w:hAnsiTheme="minorHAnsi" w:cstheme="minorHAnsi"/>
                <w:sz w:val="20"/>
                <w:szCs w:val="20"/>
                <w:lang w:val="sk-SK"/>
              </w:rPr>
              <w:t>D4 Kontaktoval osobne za posledný mesiac zamestnávateľov v regióne</w:t>
            </w:r>
          </w:p>
        </w:tc>
        <w:tc>
          <w:tcPr>
            <w:tcW w:w="1014" w:type="pct"/>
            <w:noWrap/>
          </w:tcPr>
          <w:p w14:paraId="74CBDCD7" w14:textId="77777777" w:rsidR="00DD48F9" w:rsidRPr="004A1000" w:rsidRDefault="00DD48F9" w:rsidP="004F1F7B">
            <w:pPr>
              <w:spacing w:after="0"/>
              <w:ind w:hanging="6"/>
              <w:jc w:val="center"/>
              <w:rPr>
                <w:rFonts w:asciiTheme="minorHAnsi" w:hAnsiTheme="minorHAnsi" w:cstheme="minorHAnsi"/>
                <w:strike/>
                <w:sz w:val="20"/>
                <w:szCs w:val="20"/>
                <w:lang w:val="sk-SK"/>
              </w:rPr>
            </w:pPr>
            <w:r w:rsidRPr="004A1000">
              <w:rPr>
                <w:rFonts w:asciiTheme="minorHAnsi" w:hAnsiTheme="minorHAnsi" w:cstheme="minorHAnsi"/>
                <w:sz w:val="20"/>
                <w:szCs w:val="20"/>
                <w:lang w:val="sk-SK"/>
              </w:rPr>
              <w:t>23,89</w:t>
            </w:r>
          </w:p>
        </w:tc>
      </w:tr>
      <w:tr w:rsidR="004A1000" w:rsidRPr="004A1000" w14:paraId="58EBEF58" w14:textId="77777777" w:rsidTr="004A1000">
        <w:trPr>
          <w:trHeight w:val="29"/>
        </w:trPr>
        <w:tc>
          <w:tcPr>
            <w:tcW w:w="3986" w:type="pct"/>
            <w:noWrap/>
            <w:vAlign w:val="top"/>
          </w:tcPr>
          <w:p w14:paraId="0857D336" w14:textId="77777777" w:rsidR="00DD48F9" w:rsidRPr="004A1000" w:rsidRDefault="00DD48F9" w:rsidP="004F1F7B">
            <w:pPr>
              <w:spacing w:after="0"/>
              <w:ind w:hanging="6"/>
              <w:jc w:val="left"/>
              <w:rPr>
                <w:rFonts w:asciiTheme="minorHAnsi" w:hAnsiTheme="minorHAnsi" w:cstheme="minorHAnsi"/>
                <w:strike/>
                <w:sz w:val="20"/>
                <w:szCs w:val="20"/>
                <w:lang w:val="sk-SK"/>
              </w:rPr>
            </w:pPr>
            <w:r w:rsidRPr="004A1000">
              <w:rPr>
                <w:rFonts w:asciiTheme="minorHAnsi" w:hAnsiTheme="minorHAnsi" w:cstheme="minorHAnsi"/>
                <w:sz w:val="20"/>
                <w:szCs w:val="20"/>
                <w:lang w:val="sk-SK"/>
              </w:rPr>
              <w:t>B2 Dokáže pripraviť relevantné písomnosti pre hľadanie zamestnania</w:t>
            </w:r>
          </w:p>
        </w:tc>
        <w:tc>
          <w:tcPr>
            <w:tcW w:w="1014" w:type="pct"/>
            <w:noWrap/>
          </w:tcPr>
          <w:p w14:paraId="2C4E7504" w14:textId="77777777" w:rsidR="00DD48F9" w:rsidRPr="004A1000" w:rsidRDefault="00DD48F9" w:rsidP="004F1F7B">
            <w:pPr>
              <w:spacing w:after="0"/>
              <w:ind w:hanging="6"/>
              <w:jc w:val="center"/>
              <w:rPr>
                <w:rFonts w:asciiTheme="minorHAnsi" w:hAnsiTheme="minorHAnsi" w:cstheme="minorHAnsi"/>
                <w:strike/>
                <w:sz w:val="20"/>
                <w:szCs w:val="20"/>
                <w:lang w:val="sk-SK"/>
              </w:rPr>
            </w:pPr>
            <w:r w:rsidRPr="004A1000">
              <w:rPr>
                <w:rFonts w:asciiTheme="minorHAnsi" w:hAnsiTheme="minorHAnsi" w:cstheme="minorHAnsi"/>
                <w:sz w:val="20"/>
                <w:szCs w:val="20"/>
                <w:lang w:val="sk-SK"/>
              </w:rPr>
              <w:t>23,55</w:t>
            </w:r>
          </w:p>
        </w:tc>
      </w:tr>
      <w:tr w:rsidR="004A1000" w:rsidRPr="004A1000" w14:paraId="6DC7EBC1" w14:textId="77777777" w:rsidTr="004A100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6E49FB73" w14:textId="77777777" w:rsidR="00DD48F9" w:rsidRPr="004A1000" w:rsidRDefault="00DD48F9" w:rsidP="004F1F7B">
            <w:pPr>
              <w:spacing w:after="0"/>
              <w:ind w:firstLine="0"/>
              <w:jc w:val="left"/>
              <w:rPr>
                <w:rFonts w:asciiTheme="minorHAnsi" w:hAnsiTheme="minorHAnsi" w:cstheme="minorHAnsi"/>
                <w:strike/>
                <w:sz w:val="20"/>
                <w:szCs w:val="20"/>
                <w:lang w:val="sk-SK"/>
              </w:rPr>
            </w:pPr>
            <w:r w:rsidRPr="004A1000">
              <w:rPr>
                <w:rFonts w:asciiTheme="minorHAnsi" w:hAnsiTheme="minorHAnsi" w:cstheme="minorHAnsi"/>
                <w:sz w:val="20"/>
                <w:szCs w:val="20"/>
                <w:lang w:val="sk-SK"/>
              </w:rPr>
              <w:t>D1 Dokáže efektívne absolvovať pracovný pohovor</w:t>
            </w:r>
          </w:p>
        </w:tc>
        <w:tc>
          <w:tcPr>
            <w:tcW w:w="1014" w:type="pct"/>
            <w:noWrap/>
          </w:tcPr>
          <w:p w14:paraId="27406DFB" w14:textId="77777777" w:rsidR="00DD48F9" w:rsidRPr="004A1000" w:rsidRDefault="00DD48F9" w:rsidP="004F1F7B">
            <w:pPr>
              <w:spacing w:after="0"/>
              <w:ind w:hanging="6"/>
              <w:jc w:val="center"/>
              <w:rPr>
                <w:rFonts w:asciiTheme="minorHAnsi" w:hAnsiTheme="minorHAnsi" w:cstheme="minorHAnsi"/>
                <w:strike/>
                <w:sz w:val="20"/>
                <w:szCs w:val="20"/>
                <w:lang w:val="sk-SK"/>
              </w:rPr>
            </w:pPr>
            <w:r w:rsidRPr="004A1000">
              <w:rPr>
                <w:rFonts w:asciiTheme="minorHAnsi" w:hAnsiTheme="minorHAnsi" w:cstheme="minorHAnsi"/>
                <w:sz w:val="20"/>
                <w:szCs w:val="20"/>
                <w:lang w:val="sk-SK"/>
              </w:rPr>
              <w:t>23,18</w:t>
            </w:r>
          </w:p>
        </w:tc>
      </w:tr>
    </w:tbl>
    <w:p w14:paraId="29AC4672" w14:textId="77777777" w:rsidR="00DD48F9" w:rsidRPr="00DD48F9" w:rsidRDefault="00DD48F9" w:rsidP="00DD48F9">
      <w:pPr>
        <w:spacing w:before="240" w:after="120"/>
        <w:ind w:hanging="6"/>
      </w:pPr>
      <w:r w:rsidRPr="00DD48F9">
        <w:rPr>
          <w:bCs/>
        </w:rPr>
        <w:t>Z porovnania vyplýva, že poradenský proces pre MUoZ cielene rozvíja a podporuje najviac práve tie zručnosti pre RVK, ktoré sú na začiatku identifikované ako najmenej rozvinuté, pretože až u 4 z 5 najmenej rozvinutých zručností pre RVK u MUoZ bol na konci poradenského procesu zaznamenaný najväčší posun.</w:t>
      </w:r>
    </w:p>
    <w:p w14:paraId="51175CA7" w14:textId="6D1D95E7" w:rsidR="00DD48F9" w:rsidRPr="00DD48F9" w:rsidRDefault="00DD48F9" w:rsidP="004F1F7B">
      <w:pPr>
        <w:spacing w:before="120" w:after="120"/>
        <w:ind w:hanging="6"/>
        <w:rPr>
          <w:bCs/>
        </w:rPr>
      </w:pPr>
      <w:r w:rsidRPr="00DD48F9">
        <w:rPr>
          <w:bCs/>
        </w:rPr>
        <w:t xml:space="preserve">V nasledujúcom grafe sú zobrazené percentuálne posuny v týchto 4 </w:t>
      </w:r>
      <w:r w:rsidR="009B7512">
        <w:rPr>
          <w:bCs/>
        </w:rPr>
        <w:t>konkrétnych  zručnostiach MUoZ.</w:t>
      </w:r>
    </w:p>
    <w:p w14:paraId="029C510D" w14:textId="63607755" w:rsidR="00DD48F9" w:rsidRPr="00DD48F9" w:rsidRDefault="004F1F7B" w:rsidP="00DD48F9">
      <w:r>
        <w:rPr>
          <w:noProof/>
          <w:highlight w:val="yellow"/>
        </w:rPr>
        <w:drawing>
          <wp:inline distT="0" distB="0" distL="0" distR="0" wp14:anchorId="06CEF22A" wp14:editId="4C2CF984">
            <wp:extent cx="5760720" cy="2989779"/>
            <wp:effectExtent l="0" t="0" r="11430" b="1270"/>
            <wp:docPr id="100" name="Graf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CB9BC8" w14:textId="77777777" w:rsidR="004F1F7B" w:rsidRPr="004F1F7B" w:rsidRDefault="004F1F7B" w:rsidP="004F1F7B">
      <w:pPr>
        <w:spacing w:before="240" w:after="120"/>
        <w:ind w:hanging="6"/>
        <w:rPr>
          <w:b/>
        </w:rPr>
      </w:pPr>
      <w:r w:rsidRPr="004F1F7B">
        <w:rPr>
          <w:b/>
        </w:rPr>
        <w:t>Vyhodnotenie rozvoja zručností pre RVK u ostatných UoZ</w:t>
      </w:r>
    </w:p>
    <w:p w14:paraId="1E23F118" w14:textId="77777777" w:rsidR="004F1F7B" w:rsidRPr="004F1F7B" w:rsidRDefault="004F1F7B" w:rsidP="004F1F7B">
      <w:pPr>
        <w:spacing w:before="240" w:after="120"/>
        <w:ind w:hanging="6"/>
      </w:pPr>
      <w:r w:rsidRPr="004F1F7B">
        <w:t xml:space="preserve">Celková úroveň zručností pre riadenie vlastnej kariéry u sledovaných 7 017 UoZ nad 30 rokov bola na začiatku poradenského procesu na úrovni v priemere 44,99 %. Po skončení poradenského procesu sa celková úroveň zručností pre riadenie vlastnej kariéry u sledovaných UoZ vzrástla o 19,83 % – na úroveň v priemere 64,82 %. </w:t>
      </w:r>
    </w:p>
    <w:p w14:paraId="63E4EA5A" w14:textId="77777777" w:rsidR="004F1F7B" w:rsidRPr="004F1F7B" w:rsidRDefault="004F1F7B" w:rsidP="004F1F7B">
      <w:pPr>
        <w:spacing w:before="120" w:after="120"/>
        <w:ind w:hanging="6"/>
      </w:pPr>
      <w:r w:rsidRPr="004F1F7B">
        <w:t>Z jednotlivých zručností pre RVK u UoZ nad 30 rokov bolo na začiatku poradenského procesu identifikovaných týchto 5 zručností, u ktorých bola nameraná najnižšia úroveň:</w:t>
      </w:r>
    </w:p>
    <w:tbl>
      <w:tblPr>
        <w:tblStyle w:val="tltabsprava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7"/>
        <w:gridCol w:w="1867"/>
      </w:tblGrid>
      <w:tr w:rsidR="004A1000" w:rsidRPr="004A1000" w14:paraId="0208362B" w14:textId="77777777" w:rsidTr="00467540">
        <w:trPr>
          <w:cnfStyle w:val="100000000000" w:firstRow="1" w:lastRow="0" w:firstColumn="0" w:lastColumn="0" w:oddVBand="0" w:evenVBand="0" w:oddHBand="0" w:evenHBand="0" w:firstRowFirstColumn="0" w:firstRowLastColumn="0" w:lastRowFirstColumn="0" w:lastRowLastColumn="0"/>
          <w:trHeight w:val="304"/>
        </w:trPr>
        <w:tc>
          <w:tcPr>
            <w:tcW w:w="3986" w:type="pct"/>
            <w:shd w:val="clear" w:color="auto" w:fill="auto"/>
            <w:noWrap/>
          </w:tcPr>
          <w:p w14:paraId="5FFF72B8" w14:textId="77777777" w:rsidR="004F1F7B" w:rsidRPr="004A1000" w:rsidRDefault="004F1F7B" w:rsidP="004F1F7B">
            <w:pPr>
              <w:spacing w:after="0"/>
              <w:ind w:right="16" w:hanging="6"/>
              <w:jc w:val="center"/>
              <w:rPr>
                <w:rFonts w:asciiTheme="minorHAnsi" w:hAnsiTheme="minorHAnsi" w:cstheme="minorHAnsi"/>
                <w:b w:val="0"/>
                <w:color w:val="auto"/>
                <w:sz w:val="20"/>
                <w:szCs w:val="20"/>
                <w:lang w:val="sk-SK"/>
              </w:rPr>
            </w:pPr>
            <w:r w:rsidRPr="004A1000">
              <w:rPr>
                <w:rFonts w:asciiTheme="minorHAnsi" w:hAnsiTheme="minorHAnsi" w:cstheme="minorHAnsi"/>
                <w:bCs/>
                <w:color w:val="auto"/>
                <w:sz w:val="20"/>
                <w:szCs w:val="20"/>
                <w:lang w:val="sk-SK"/>
              </w:rPr>
              <w:t>Zručnosť pre riadenie vlastnej kariéry</w:t>
            </w:r>
          </w:p>
        </w:tc>
        <w:tc>
          <w:tcPr>
            <w:tcW w:w="1014" w:type="pct"/>
            <w:shd w:val="clear" w:color="auto" w:fill="auto"/>
            <w:noWrap/>
          </w:tcPr>
          <w:p w14:paraId="65E0F447" w14:textId="77777777" w:rsidR="004F1F7B" w:rsidRPr="004A1000" w:rsidRDefault="004F1F7B" w:rsidP="004F1F7B">
            <w:pPr>
              <w:spacing w:after="0"/>
              <w:ind w:right="16" w:hanging="6"/>
              <w:jc w:val="center"/>
              <w:rPr>
                <w:rFonts w:asciiTheme="minorHAnsi" w:hAnsiTheme="minorHAnsi" w:cstheme="minorHAnsi"/>
                <w:color w:val="auto"/>
                <w:sz w:val="20"/>
                <w:szCs w:val="20"/>
                <w:lang w:val="sk-SK"/>
              </w:rPr>
            </w:pPr>
            <w:r w:rsidRPr="004A1000">
              <w:rPr>
                <w:rFonts w:asciiTheme="minorHAnsi" w:hAnsiTheme="minorHAnsi" w:cstheme="minorHAnsi"/>
                <w:bCs/>
                <w:color w:val="auto"/>
                <w:sz w:val="20"/>
                <w:szCs w:val="20"/>
                <w:lang w:val="sk-SK"/>
              </w:rPr>
              <w:t>Vstupná úroveň (%)</w:t>
            </w:r>
          </w:p>
        </w:tc>
      </w:tr>
      <w:tr w:rsidR="004A1000" w:rsidRPr="004A1000" w14:paraId="12D06254" w14:textId="77777777" w:rsidTr="0046754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1012B217" w14:textId="77777777" w:rsidR="004F1F7B" w:rsidRPr="004A1000" w:rsidRDefault="004F1F7B" w:rsidP="004F1F7B">
            <w:pPr>
              <w:spacing w:after="0"/>
              <w:ind w:left="310" w:hanging="310"/>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B3 Dokáže rozpoznať a pomenovať vzdelávacie príležitosti, ktoré by zvýšili jeho šance uplatniť sa na trhu práce.</w:t>
            </w:r>
          </w:p>
        </w:tc>
        <w:tc>
          <w:tcPr>
            <w:tcW w:w="1014" w:type="pct"/>
            <w:noWrap/>
          </w:tcPr>
          <w:p w14:paraId="3846E51D"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34,40</w:t>
            </w:r>
          </w:p>
        </w:tc>
      </w:tr>
      <w:tr w:rsidR="004A1000" w:rsidRPr="004A1000" w14:paraId="3BD5C9A3" w14:textId="77777777" w:rsidTr="00467540">
        <w:trPr>
          <w:trHeight w:val="29"/>
        </w:trPr>
        <w:tc>
          <w:tcPr>
            <w:tcW w:w="3986" w:type="pct"/>
            <w:noWrap/>
            <w:vAlign w:val="top"/>
          </w:tcPr>
          <w:p w14:paraId="5F58ED5B" w14:textId="77777777" w:rsidR="004F1F7B" w:rsidRPr="004A1000" w:rsidRDefault="004F1F7B" w:rsidP="004F1F7B">
            <w:pPr>
              <w:spacing w:after="0"/>
              <w:ind w:hanging="6"/>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D4 Kontaktoval osobne za posledný mesiac zamestnávateľov v regióne</w:t>
            </w:r>
          </w:p>
        </w:tc>
        <w:tc>
          <w:tcPr>
            <w:tcW w:w="1014" w:type="pct"/>
            <w:noWrap/>
          </w:tcPr>
          <w:p w14:paraId="7196A8C7"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37,56</w:t>
            </w:r>
          </w:p>
        </w:tc>
      </w:tr>
      <w:tr w:rsidR="004A1000" w:rsidRPr="004A1000" w14:paraId="15350E3E" w14:textId="77777777" w:rsidTr="0046754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13A5490F" w14:textId="77777777" w:rsidR="004F1F7B" w:rsidRPr="004A1000" w:rsidRDefault="004F1F7B" w:rsidP="004F1F7B">
            <w:pPr>
              <w:spacing w:after="0"/>
              <w:ind w:left="310" w:hanging="310"/>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B2 Dokáže pripraviť relevantné písomnosti pre hľadanie zamestnania (motivačný list, životopis)</w:t>
            </w:r>
          </w:p>
        </w:tc>
        <w:tc>
          <w:tcPr>
            <w:tcW w:w="1014" w:type="pct"/>
            <w:noWrap/>
          </w:tcPr>
          <w:p w14:paraId="46F08BEE"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41,16</w:t>
            </w:r>
          </w:p>
        </w:tc>
      </w:tr>
      <w:tr w:rsidR="004A1000" w:rsidRPr="004A1000" w14:paraId="60C731B5" w14:textId="77777777" w:rsidTr="00467540">
        <w:trPr>
          <w:trHeight w:val="29"/>
        </w:trPr>
        <w:tc>
          <w:tcPr>
            <w:tcW w:w="3986" w:type="pct"/>
            <w:noWrap/>
            <w:vAlign w:val="top"/>
          </w:tcPr>
          <w:p w14:paraId="2F701FC4" w14:textId="77777777" w:rsidR="004F1F7B" w:rsidRPr="004A1000" w:rsidRDefault="004F1F7B" w:rsidP="004F1F7B">
            <w:pPr>
              <w:spacing w:after="0"/>
              <w:ind w:left="310" w:hanging="310"/>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B4 Dokáže využívať pracovné portály (www.sluzbyzamestnanosti.gov.sk, www.profesia.sk a i.)</w:t>
            </w:r>
          </w:p>
        </w:tc>
        <w:tc>
          <w:tcPr>
            <w:tcW w:w="1014" w:type="pct"/>
            <w:noWrap/>
          </w:tcPr>
          <w:p w14:paraId="7B7F615D"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41,39</w:t>
            </w:r>
          </w:p>
        </w:tc>
      </w:tr>
      <w:tr w:rsidR="004A1000" w:rsidRPr="004A1000" w14:paraId="72125518" w14:textId="77777777" w:rsidTr="0046754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54CACF95" w14:textId="77777777" w:rsidR="004F1F7B" w:rsidRPr="004A1000" w:rsidRDefault="004F1F7B" w:rsidP="004F1F7B">
            <w:pPr>
              <w:spacing w:after="0"/>
              <w:ind w:hanging="6"/>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B1 Dokáže popísať vlastné silné stránky</w:t>
            </w:r>
          </w:p>
        </w:tc>
        <w:tc>
          <w:tcPr>
            <w:tcW w:w="1014" w:type="pct"/>
            <w:noWrap/>
          </w:tcPr>
          <w:p w14:paraId="038A7760"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41,58</w:t>
            </w:r>
          </w:p>
        </w:tc>
      </w:tr>
    </w:tbl>
    <w:p w14:paraId="445774E7" w14:textId="77777777" w:rsidR="004F1F7B" w:rsidRPr="004F1F7B" w:rsidRDefault="004F1F7B" w:rsidP="004F1F7B">
      <w:pPr>
        <w:spacing w:before="240" w:after="120"/>
        <w:ind w:hanging="6"/>
        <w:rPr>
          <w:bCs/>
        </w:rPr>
      </w:pPr>
      <w:r w:rsidRPr="004F1F7B">
        <w:rPr>
          <w:bCs/>
        </w:rPr>
        <w:lastRenderedPageBreak/>
        <w:t>Po skončení poradenského procesu a vyhodnotení údajov bol zistený  najväčší posun úrovne v týchto konkrétnych položkách zručností UoZ nad 30 rokov:</w:t>
      </w:r>
    </w:p>
    <w:tbl>
      <w:tblPr>
        <w:tblStyle w:val="tltabsprava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7"/>
        <w:gridCol w:w="1867"/>
      </w:tblGrid>
      <w:tr w:rsidR="004A1000" w:rsidRPr="004A1000" w14:paraId="33ADFFA0" w14:textId="77777777" w:rsidTr="00467540">
        <w:trPr>
          <w:cnfStyle w:val="100000000000" w:firstRow="1" w:lastRow="0" w:firstColumn="0" w:lastColumn="0" w:oddVBand="0" w:evenVBand="0" w:oddHBand="0" w:evenHBand="0" w:firstRowFirstColumn="0" w:firstRowLastColumn="0" w:lastRowFirstColumn="0" w:lastRowLastColumn="0"/>
          <w:trHeight w:val="330"/>
        </w:trPr>
        <w:tc>
          <w:tcPr>
            <w:tcW w:w="3986" w:type="pct"/>
            <w:shd w:val="clear" w:color="auto" w:fill="auto"/>
            <w:noWrap/>
          </w:tcPr>
          <w:p w14:paraId="6A2C8D12" w14:textId="77777777" w:rsidR="004F1F7B" w:rsidRPr="004A1000" w:rsidRDefault="004F1F7B" w:rsidP="004F1F7B">
            <w:pPr>
              <w:spacing w:after="0"/>
              <w:ind w:right="16" w:hanging="6"/>
              <w:jc w:val="center"/>
              <w:rPr>
                <w:rFonts w:asciiTheme="minorHAnsi" w:hAnsiTheme="minorHAnsi" w:cstheme="minorHAnsi"/>
                <w:b w:val="0"/>
                <w:color w:val="auto"/>
                <w:sz w:val="20"/>
                <w:szCs w:val="20"/>
                <w:lang w:val="sk-SK"/>
              </w:rPr>
            </w:pPr>
            <w:r w:rsidRPr="004A1000">
              <w:rPr>
                <w:rFonts w:asciiTheme="minorHAnsi" w:hAnsiTheme="minorHAnsi" w:cstheme="minorHAnsi"/>
                <w:bCs/>
                <w:color w:val="auto"/>
                <w:sz w:val="20"/>
                <w:szCs w:val="20"/>
                <w:lang w:val="sk-SK"/>
              </w:rPr>
              <w:t>Zručnosť pre riadenie vlastnej kariéry</w:t>
            </w:r>
          </w:p>
        </w:tc>
        <w:tc>
          <w:tcPr>
            <w:tcW w:w="1014" w:type="pct"/>
            <w:shd w:val="clear" w:color="auto" w:fill="auto"/>
            <w:noWrap/>
          </w:tcPr>
          <w:p w14:paraId="4A2CCC7F" w14:textId="77777777" w:rsidR="004F1F7B" w:rsidRPr="004A1000" w:rsidRDefault="004F1F7B" w:rsidP="004F1F7B">
            <w:pPr>
              <w:spacing w:after="0"/>
              <w:ind w:right="16" w:hanging="6"/>
              <w:jc w:val="center"/>
              <w:rPr>
                <w:rFonts w:asciiTheme="minorHAnsi" w:hAnsiTheme="minorHAnsi" w:cstheme="minorHAnsi"/>
                <w:color w:val="auto"/>
                <w:sz w:val="20"/>
                <w:szCs w:val="20"/>
                <w:lang w:val="sk-SK"/>
              </w:rPr>
            </w:pPr>
            <w:r w:rsidRPr="004A1000">
              <w:rPr>
                <w:rFonts w:asciiTheme="minorHAnsi" w:hAnsiTheme="minorHAnsi" w:cstheme="minorHAnsi"/>
                <w:bCs/>
                <w:color w:val="auto"/>
                <w:sz w:val="20"/>
                <w:szCs w:val="20"/>
                <w:lang w:val="sk-SK"/>
              </w:rPr>
              <w:t>Posun úrovne o (%)</w:t>
            </w:r>
          </w:p>
        </w:tc>
      </w:tr>
      <w:tr w:rsidR="004A1000" w:rsidRPr="004A1000" w14:paraId="1C9B65F2" w14:textId="77777777" w:rsidTr="0046754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35346EA6" w14:textId="77777777" w:rsidR="004F1F7B" w:rsidRPr="004A1000" w:rsidRDefault="004F1F7B" w:rsidP="004F1F7B">
            <w:pPr>
              <w:spacing w:after="0"/>
              <w:ind w:firstLine="0"/>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D4 Kontaktoval osobne za posledný mesiac zamestnávateľov v regióne</w:t>
            </w:r>
          </w:p>
        </w:tc>
        <w:tc>
          <w:tcPr>
            <w:tcW w:w="1014" w:type="pct"/>
            <w:noWrap/>
          </w:tcPr>
          <w:p w14:paraId="3785A1C2"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26,42</w:t>
            </w:r>
          </w:p>
        </w:tc>
      </w:tr>
      <w:tr w:rsidR="004A1000" w:rsidRPr="004A1000" w14:paraId="54D6790F" w14:textId="77777777" w:rsidTr="00467540">
        <w:trPr>
          <w:trHeight w:val="29"/>
        </w:trPr>
        <w:tc>
          <w:tcPr>
            <w:tcW w:w="3986" w:type="pct"/>
            <w:noWrap/>
            <w:vAlign w:val="top"/>
          </w:tcPr>
          <w:p w14:paraId="10A2BFEC" w14:textId="77777777" w:rsidR="004F1F7B" w:rsidRPr="004A1000" w:rsidRDefault="004F1F7B" w:rsidP="004F1F7B">
            <w:pPr>
              <w:spacing w:after="0"/>
              <w:ind w:hanging="6"/>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B1 Dokáže popísať vlastné silné stránky</w:t>
            </w:r>
          </w:p>
        </w:tc>
        <w:tc>
          <w:tcPr>
            <w:tcW w:w="1014" w:type="pct"/>
            <w:noWrap/>
          </w:tcPr>
          <w:p w14:paraId="4EA96D64"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25,27</w:t>
            </w:r>
          </w:p>
        </w:tc>
      </w:tr>
      <w:tr w:rsidR="004A1000" w:rsidRPr="004A1000" w14:paraId="5D015A34" w14:textId="77777777" w:rsidTr="0046754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42EF0539" w14:textId="77777777" w:rsidR="004F1F7B" w:rsidRPr="004A1000" w:rsidRDefault="004F1F7B" w:rsidP="004F1F7B">
            <w:pPr>
              <w:spacing w:after="0"/>
              <w:ind w:hanging="6"/>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C1 Vie, čo musí urobiť pre to, aby sa zamestnal (akčný plán)</w:t>
            </w:r>
          </w:p>
        </w:tc>
        <w:tc>
          <w:tcPr>
            <w:tcW w:w="1014" w:type="pct"/>
            <w:noWrap/>
          </w:tcPr>
          <w:p w14:paraId="66A82E33"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24,59</w:t>
            </w:r>
          </w:p>
        </w:tc>
      </w:tr>
      <w:tr w:rsidR="004A1000" w:rsidRPr="004A1000" w14:paraId="2B20E7D6" w14:textId="77777777" w:rsidTr="00467540">
        <w:trPr>
          <w:trHeight w:val="29"/>
        </w:trPr>
        <w:tc>
          <w:tcPr>
            <w:tcW w:w="3986" w:type="pct"/>
            <w:noWrap/>
            <w:vAlign w:val="top"/>
          </w:tcPr>
          <w:p w14:paraId="17EE6A83" w14:textId="77777777" w:rsidR="004F1F7B" w:rsidRPr="004A1000" w:rsidRDefault="004F1F7B" w:rsidP="004F1F7B">
            <w:pPr>
              <w:spacing w:after="0"/>
              <w:ind w:left="310" w:hanging="310"/>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B2 Dokáže pripraviť relevantné písomnosti pre hľadanie zamestnania (motivačný list, životopis)</w:t>
            </w:r>
          </w:p>
        </w:tc>
        <w:tc>
          <w:tcPr>
            <w:tcW w:w="1014" w:type="pct"/>
            <w:noWrap/>
          </w:tcPr>
          <w:p w14:paraId="3078F377"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23,15</w:t>
            </w:r>
          </w:p>
        </w:tc>
      </w:tr>
      <w:tr w:rsidR="004A1000" w:rsidRPr="004A1000" w14:paraId="2442936E" w14:textId="77777777" w:rsidTr="00467540">
        <w:trPr>
          <w:cnfStyle w:val="000000100000" w:firstRow="0" w:lastRow="0" w:firstColumn="0" w:lastColumn="0" w:oddVBand="0" w:evenVBand="0" w:oddHBand="1" w:evenHBand="0" w:firstRowFirstColumn="0" w:firstRowLastColumn="0" w:lastRowFirstColumn="0" w:lastRowLastColumn="0"/>
          <w:trHeight w:val="29"/>
        </w:trPr>
        <w:tc>
          <w:tcPr>
            <w:tcW w:w="3986" w:type="pct"/>
            <w:noWrap/>
            <w:vAlign w:val="top"/>
          </w:tcPr>
          <w:p w14:paraId="286ABAC9" w14:textId="77777777" w:rsidR="004F1F7B" w:rsidRPr="004A1000" w:rsidRDefault="004F1F7B" w:rsidP="004F1F7B">
            <w:pPr>
              <w:spacing w:after="0"/>
              <w:ind w:firstLine="0"/>
              <w:jc w:val="left"/>
              <w:rPr>
                <w:rFonts w:asciiTheme="minorHAnsi" w:hAnsiTheme="minorHAnsi" w:cstheme="minorHAnsi"/>
                <w:sz w:val="20"/>
                <w:szCs w:val="20"/>
                <w:lang w:val="sk-SK"/>
              </w:rPr>
            </w:pPr>
            <w:r w:rsidRPr="004A1000">
              <w:rPr>
                <w:rFonts w:asciiTheme="minorHAnsi" w:hAnsiTheme="minorHAnsi" w:cstheme="minorHAnsi"/>
                <w:sz w:val="20"/>
                <w:szCs w:val="20"/>
                <w:lang w:val="sk-SK"/>
              </w:rPr>
              <w:t>D1 Dokáže efektívne absolvovať pracovný pohovor</w:t>
            </w:r>
          </w:p>
        </w:tc>
        <w:tc>
          <w:tcPr>
            <w:tcW w:w="1014" w:type="pct"/>
            <w:noWrap/>
          </w:tcPr>
          <w:p w14:paraId="218C73C8" w14:textId="77777777" w:rsidR="004F1F7B" w:rsidRPr="004A1000" w:rsidRDefault="004F1F7B" w:rsidP="004F1F7B">
            <w:pPr>
              <w:spacing w:after="0"/>
              <w:ind w:hanging="6"/>
              <w:jc w:val="center"/>
              <w:rPr>
                <w:rFonts w:asciiTheme="minorHAnsi" w:hAnsiTheme="minorHAnsi" w:cstheme="minorHAnsi"/>
                <w:sz w:val="20"/>
                <w:szCs w:val="20"/>
                <w:lang w:val="sk-SK"/>
              </w:rPr>
            </w:pPr>
            <w:r w:rsidRPr="004A1000">
              <w:rPr>
                <w:rFonts w:asciiTheme="minorHAnsi" w:hAnsiTheme="minorHAnsi" w:cstheme="minorHAnsi"/>
                <w:sz w:val="20"/>
                <w:szCs w:val="20"/>
                <w:lang w:val="sk-SK"/>
              </w:rPr>
              <w:t>21,47</w:t>
            </w:r>
          </w:p>
        </w:tc>
      </w:tr>
    </w:tbl>
    <w:p w14:paraId="291E9949" w14:textId="77777777" w:rsidR="004F1F7B" w:rsidRPr="004F1F7B" w:rsidRDefault="004F1F7B" w:rsidP="004F1F7B">
      <w:pPr>
        <w:spacing w:before="120" w:after="120"/>
        <w:ind w:hanging="6"/>
        <w:rPr>
          <w:bCs/>
        </w:rPr>
      </w:pPr>
      <w:r w:rsidRPr="004F1F7B">
        <w:rPr>
          <w:bCs/>
        </w:rPr>
        <w:t>Z porovnania vyplýva, že poradenský proces pre UoZ nad 30 rokov cielene rozvíja a podporuje prevažne tie konkrétne zručnosti pre RVK, ktoré sú na začiatku identifikované ako najmenej rozvinuté, pretože u 3 z 5 najmenej rozvinutých zručností pre RVK u UoZ nad 30 rokov bol na konci poradenského procesu zaznamenaný najväčší posun.</w:t>
      </w:r>
    </w:p>
    <w:p w14:paraId="15EB5373" w14:textId="0BBF4704" w:rsidR="004F1F7B" w:rsidRPr="004F1F7B" w:rsidRDefault="004F1F7B" w:rsidP="009B7512">
      <w:pPr>
        <w:spacing w:after="120"/>
        <w:ind w:hanging="6"/>
        <w:rPr>
          <w:bCs/>
        </w:rPr>
      </w:pPr>
      <w:r w:rsidRPr="004F1F7B">
        <w:rPr>
          <w:bCs/>
        </w:rPr>
        <w:t>V nasledujúcom grafe sú zobrazené percentuálne posuny v týchto 3 konkrétnyc</w:t>
      </w:r>
      <w:r w:rsidR="009B7512">
        <w:rPr>
          <w:bCs/>
        </w:rPr>
        <w:t>h zručnostiach UoZ nad 30 rokov.</w:t>
      </w:r>
      <w:r w:rsidRPr="004F1F7B">
        <w:rPr>
          <w:bCs/>
        </w:rPr>
        <w:t xml:space="preserve"> </w:t>
      </w:r>
    </w:p>
    <w:p w14:paraId="7FED12A7" w14:textId="77777777" w:rsidR="004F1F7B" w:rsidRPr="004F1F7B" w:rsidRDefault="004F1F7B" w:rsidP="009B7512">
      <w:pPr>
        <w:spacing w:after="0"/>
        <w:ind w:hanging="6"/>
        <w:rPr>
          <w:bCs/>
          <w:highlight w:val="yellow"/>
        </w:rPr>
      </w:pPr>
      <w:r w:rsidRPr="004F1F7B">
        <w:rPr>
          <w:noProof/>
          <w:highlight w:val="yellow"/>
        </w:rPr>
        <w:drawing>
          <wp:inline distT="0" distB="0" distL="0" distR="0" wp14:anchorId="547B28E1" wp14:editId="13DC12D7">
            <wp:extent cx="5760720" cy="2876764"/>
            <wp:effectExtent l="0" t="0" r="11430" b="0"/>
            <wp:docPr id="101" name="Graf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F1937E" w14:textId="77777777" w:rsidR="004F1F7B" w:rsidRPr="004F1F7B" w:rsidRDefault="004F1F7B" w:rsidP="009B7512">
      <w:pPr>
        <w:spacing w:before="120" w:after="0"/>
        <w:ind w:hanging="6"/>
      </w:pPr>
      <w:r w:rsidRPr="004F1F7B">
        <w:t xml:space="preserve">Porovnaním výsledkov boli identifikované dve zručnosti, ktoré je potrebné rozvíjať rovnako u mladých UoZ, ako aj ostatných UoZ (nad 30 rokov), pretože u oboch skupín patrili schopnosť popísať svoje silné stránky (B1) a schopnosť aktívneho kontaktovania zamestnávateľov (D4) do skupiny zručností, ktoré boli na začiatku poradenského procesu identifikované ako najmenej rozvinuté zo všetkých 16 zručností pre RVK. Skutočnosť, že pri oboch skupinách UoZ sa skupina najmenej rozvinutých zručností pre RVK pri vstupe do poradenského procesu výrazne prekrýva so skupinou zručností s najväčším posunom pri výstupe z poradenského procesu, preukazuje, že odborným poradcom sa darí vo vysokej miere poskytovať individualizované poradenstvo skutočne v závislosti od individuálnych potrieb jednotlivých UoZ. Diferencovaný prístup a dôsledné prispôsobenie sa poradenských intervencií špecifickým potrebám konkrétnych UoZ sú preto nevyhnutnou podmienkou pre zabezpečenie kvality poskytovaných OPS. </w:t>
      </w:r>
    </w:p>
    <w:p w14:paraId="02B42850" w14:textId="6173C430" w:rsidR="004F1F7B" w:rsidRPr="004F1F7B" w:rsidRDefault="004F1F7B" w:rsidP="004F1F7B">
      <w:pPr>
        <w:spacing w:before="120" w:after="120"/>
        <w:ind w:hanging="6"/>
      </w:pPr>
      <w:r w:rsidRPr="004F1F7B">
        <w:t xml:space="preserve">Výsledky preukazujú, že poradenský proces prispel k celkovému rozvoju zručností UoZ pre RVK a súčasne bol najväčší rozvoj zaznamenaný práve u tých zručností, ktoré boli na začiatku poradenského procesu identifikované ako najmenej rozvinuté. Na základe toho možno konštatovať, že poradenský proces splnil svoj cieľ, pretože napomohol k  zvýšeniu celkovej úrovne zručností pre RVK, ktoré sú pre UoZ potrebné  k aktívnemu hľadaniu zamestnania </w:t>
      </w:r>
      <w:r>
        <w:t xml:space="preserve">              </w:t>
      </w:r>
      <w:r w:rsidRPr="004F1F7B">
        <w:t>a úspešnému uplatneniu sa na trhu práce.</w:t>
      </w:r>
    </w:p>
    <w:p w14:paraId="74F31DAC" w14:textId="4FDDFBFF" w:rsidR="00EC01F0" w:rsidRPr="00264159" w:rsidRDefault="004F1F7B" w:rsidP="00C7322F">
      <w:pPr>
        <w:pStyle w:val="Nadpis2"/>
        <w:jc w:val="both"/>
      </w:pPr>
      <w:bookmarkStart w:id="129" w:name="_Toc199230843"/>
      <w:r w:rsidRPr="004F1F7B">
        <w:lastRenderedPageBreak/>
        <w:t xml:space="preserve">Národný projektu Zručnosti pre trh práce podľa § 54 ods. 1 písm. d)  zákona </w:t>
      </w:r>
      <w:r w:rsidR="00C7322F">
        <w:t xml:space="preserve">                    </w:t>
      </w:r>
      <w:r w:rsidRPr="004F1F7B">
        <w:t>o službách zamestnanosti</w:t>
      </w:r>
      <w:bookmarkEnd w:id="129"/>
    </w:p>
    <w:p w14:paraId="326D3C30" w14:textId="48308833" w:rsidR="004F1F7B" w:rsidRPr="004F1F7B" w:rsidRDefault="004F1F7B" w:rsidP="004F1F7B">
      <w:pPr>
        <w:spacing w:after="0"/>
        <w:ind w:hanging="6"/>
        <w:rPr>
          <w:rFonts w:eastAsia="Calibri"/>
        </w:rPr>
      </w:pPr>
      <w:bookmarkStart w:id="130" w:name="_Toc515876455"/>
      <w:bookmarkStart w:id="131" w:name="_Toc37094650"/>
      <w:bookmarkEnd w:id="125"/>
      <w:bookmarkEnd w:id="126"/>
      <w:bookmarkEnd w:id="127"/>
      <w:bookmarkEnd w:id="128"/>
      <w:r w:rsidRPr="004F1F7B">
        <w:rPr>
          <w:rFonts w:eastAsia="Calibri"/>
        </w:rPr>
        <w:t>Tento n</w:t>
      </w:r>
      <w:r>
        <w:rPr>
          <w:rFonts w:eastAsia="Calibri"/>
        </w:rPr>
        <w:t xml:space="preserve">árodný projekt sa realizuje od 8. </w:t>
      </w:r>
      <w:r w:rsidRPr="004F1F7B">
        <w:rPr>
          <w:rFonts w:eastAsia="Calibri"/>
        </w:rPr>
        <w:t>4.</w:t>
      </w:r>
      <w:r>
        <w:rPr>
          <w:rFonts w:eastAsia="Calibri"/>
        </w:rPr>
        <w:t xml:space="preserve"> </w:t>
      </w:r>
      <w:r w:rsidRPr="004F1F7B">
        <w:rPr>
          <w:rFonts w:eastAsia="Calibri"/>
        </w:rPr>
        <w:t>2024 prostredníctvom troch aktivít:</w:t>
      </w:r>
    </w:p>
    <w:p w14:paraId="23AABBA1" w14:textId="7D840480" w:rsidR="004F1F7B" w:rsidRPr="004F1F7B" w:rsidRDefault="004F1F7B" w:rsidP="004F1F7B">
      <w:pPr>
        <w:numPr>
          <w:ilvl w:val="0"/>
          <w:numId w:val="44"/>
        </w:numPr>
        <w:spacing w:after="0"/>
        <w:ind w:left="357" w:hanging="357"/>
        <w:rPr>
          <w:rFonts w:eastAsia="Calibri"/>
        </w:rPr>
      </w:pPr>
      <w:r w:rsidRPr="004F1F7B">
        <w:rPr>
          <w:rFonts w:eastAsia="Calibri"/>
        </w:rPr>
        <w:t>Podpora rekvalifikácie UoZ</w:t>
      </w:r>
      <w:r>
        <w:rPr>
          <w:rFonts w:eastAsia="Calibri"/>
        </w:rPr>
        <w:t>,</w:t>
      </w:r>
    </w:p>
    <w:p w14:paraId="67ECE02F" w14:textId="7F975D38" w:rsidR="004F1F7B" w:rsidRPr="004F1F7B" w:rsidRDefault="004F1F7B" w:rsidP="004F1F7B">
      <w:pPr>
        <w:numPr>
          <w:ilvl w:val="0"/>
          <w:numId w:val="44"/>
        </w:numPr>
        <w:spacing w:after="0"/>
        <w:rPr>
          <w:rFonts w:eastAsia="Calibri"/>
        </w:rPr>
      </w:pPr>
      <w:r w:rsidRPr="004F1F7B">
        <w:rPr>
          <w:rFonts w:eastAsia="Calibri"/>
        </w:rPr>
        <w:t>Podpora nadobúdania a zmeny zručností MUoZ, ktorí sú v situácii NEET</w:t>
      </w:r>
      <w:r>
        <w:rPr>
          <w:rFonts w:eastAsia="Calibri"/>
        </w:rPr>
        <w:t>,</w:t>
      </w:r>
    </w:p>
    <w:p w14:paraId="05615CF8" w14:textId="1C420BAE" w:rsidR="004F1F7B" w:rsidRPr="004F1F7B" w:rsidRDefault="004F1F7B" w:rsidP="004F1F7B">
      <w:pPr>
        <w:numPr>
          <w:ilvl w:val="0"/>
          <w:numId w:val="44"/>
        </w:numPr>
        <w:spacing w:after="0"/>
        <w:ind w:left="357" w:hanging="357"/>
        <w:rPr>
          <w:rFonts w:eastAsia="Calibri"/>
        </w:rPr>
      </w:pPr>
      <w:r w:rsidRPr="004F1F7B">
        <w:rPr>
          <w:rFonts w:eastAsia="Calibri"/>
        </w:rPr>
        <w:t>Podpora vzdelávania ZoZ</w:t>
      </w:r>
      <w:r>
        <w:rPr>
          <w:rFonts w:eastAsia="Calibri"/>
        </w:rPr>
        <w:t>.</w:t>
      </w:r>
    </w:p>
    <w:p w14:paraId="03384D2C" w14:textId="77777777" w:rsidR="004F1F7B" w:rsidRPr="004F1F7B" w:rsidRDefault="004F1F7B" w:rsidP="004F1F7B">
      <w:pPr>
        <w:spacing w:before="120" w:after="120"/>
        <w:ind w:hanging="6"/>
        <w:rPr>
          <w:rFonts w:eastAsia="Calibri"/>
        </w:rPr>
      </w:pPr>
      <w:r w:rsidRPr="004F1F7B">
        <w:rPr>
          <w:rFonts w:eastAsia="Calibri"/>
        </w:rPr>
        <w:t xml:space="preserve">Cieľom projektu je podporiť zamestnateľnosť a adaptabilitu cieľových skupín prostredníctvom podpory rekvalifikácie a vzdelávania formou poskytovania príspevkov v súlade s § 54 ods. 1 písm. d) zákona o službách zamestnanosti. Filozofia poskytovania príspevkov na podporu rekvalifikácie a vzdelávania je nastavená tak, že UoZ alebo ZoZ, ktorý je evidovaný na úrade, a ktorý má záujem o vzdelávanie, si sám z verejne dostupných zdrojov vyberie vzdelávací program, ako aj poskytovateľa, ktorý ho zrealizuje. Následne predloží úradu žiadosť o poskytnutie príspevku. Na príspevok na podporu rekvalifikácie alebo vzdelávania nie je právny nárok, preto úrady každú predloženú žiadosť individuálne posudzujú. V prípade jej schválenia uzatvoria so žiadateľom dohodu a následne žiadateľ nastúpi na vzdelávací kurz. Po jeho  skončení splnení stanovených podmienok úrad poskytne žiadateľovi príspevok na podporu rekvalifikácie alebo vzdelávania. </w:t>
      </w:r>
    </w:p>
    <w:p w14:paraId="21F53181" w14:textId="77777777" w:rsidR="004F1F7B" w:rsidRPr="004F1F7B" w:rsidRDefault="004F1F7B" w:rsidP="004F1F7B">
      <w:pPr>
        <w:spacing w:before="120" w:after="120"/>
        <w:ind w:hanging="6"/>
        <w:rPr>
          <w:rFonts w:eastAsia="Calibri"/>
        </w:rPr>
      </w:pPr>
      <w:r w:rsidRPr="004F1F7B">
        <w:rPr>
          <w:rFonts w:eastAsia="Calibri"/>
        </w:rPr>
        <w:t>V roku 2024 bolo na rekvalifikáciu a vzdelávanie v rámci tohto projektu prijatých celkovo 27 141 žiadostí, pričom žiadané príspevky boli vo výške 25 686 341 eur. Uzatvorených bolo 14 291 dohôd na dohodnutú sumu 12 210 252 eur. Do národného projektu Zručnosti pre trh práce bolo v roku 2024 zaradených celkovo 12 689 klientov. Z nich bolo 9 376 podporených, na ktorých bola vynaložená  suma finančných príspevkov 7 829 407 eur.</w:t>
      </w:r>
    </w:p>
    <w:p w14:paraId="5678F543" w14:textId="77777777" w:rsidR="004F1F7B" w:rsidRPr="004F1F7B" w:rsidRDefault="004F1F7B" w:rsidP="004F1F7B">
      <w:pPr>
        <w:spacing w:before="120" w:after="0"/>
        <w:ind w:hanging="6"/>
        <w:rPr>
          <w:rFonts w:eastAsia="Calibri"/>
        </w:rPr>
      </w:pPr>
      <w:r w:rsidRPr="004F1F7B">
        <w:rPr>
          <w:rFonts w:eastAsia="Calibri"/>
          <w:b/>
          <w:bCs/>
        </w:rPr>
        <w:t>Podpora rekvalifikácie UoZ a mladých UoZ</w:t>
      </w:r>
      <w:r w:rsidRPr="004F1F7B">
        <w:rPr>
          <w:rFonts w:eastAsia="Calibri"/>
        </w:rPr>
        <w:t xml:space="preserve"> </w:t>
      </w:r>
    </w:p>
    <w:p w14:paraId="7965DC2F" w14:textId="77777777" w:rsidR="004F1F7B" w:rsidRPr="004F1F7B" w:rsidRDefault="004F1F7B" w:rsidP="004F1F7B">
      <w:pPr>
        <w:spacing w:before="120" w:after="120"/>
        <w:ind w:hanging="6"/>
        <w:rPr>
          <w:rFonts w:eastAsia="Calibri"/>
        </w:rPr>
      </w:pPr>
      <w:r w:rsidRPr="004F1F7B">
        <w:rPr>
          <w:rFonts w:eastAsia="Calibri"/>
        </w:rPr>
        <w:t xml:space="preserve">V rámci NP Zručnosti pre trh práce sa za rekvalifikáciu sa považuje odborná príprava UoZ alebo príprava UoZ zameraná na rozvoj komunikačných, počítačových, manažérskych, sociálnych podnikateľských alebo jazykových vedomostí, zručností alebo schopností určených na zabezpečenie jeho adaptability a uplatnenia sa v zamestnaní alebo v pracovných činnostiach, ktoré má UoZ vykonávať po absolvovaní ním vybratého vzdelávacieho programu u ním vybratého poskytovateľa vzdelávacieho programu. Po skončení rekvalifikácie a splnení stanovených podmienok úrad poskytne príspevok na podporu rekvalifikácie UoZ vo výške 100 % oprávnených nákladov súvisiacich s rekvalifikáciou na úhradu kurzovného a paušálny príspevok na pokrytie časti výdavkov súvisiacich s účasťou znevýhodneného UoZ na prezenčnej forme rekvalifikácie, a to vo výške 0,95 eur za 1 vyučovaciu hodinu, najviac vo výške 190,00 eur. </w:t>
      </w:r>
    </w:p>
    <w:p w14:paraId="53BCF6E7" w14:textId="77777777" w:rsidR="004F1F7B" w:rsidRPr="004F1F7B" w:rsidRDefault="004F1F7B" w:rsidP="004F1F7B">
      <w:pPr>
        <w:spacing w:before="120" w:after="120"/>
        <w:ind w:hanging="6"/>
        <w:rPr>
          <w:rFonts w:eastAsia="Calibri"/>
        </w:rPr>
      </w:pPr>
      <w:r w:rsidRPr="004F1F7B">
        <w:rPr>
          <w:rFonts w:eastAsia="Calibri"/>
        </w:rPr>
        <w:t xml:space="preserve">V roku 2024 bolo na podporu rekvalifikácie UoZ v rámci tohto NP prijatých celkom </w:t>
      </w:r>
      <w:r w:rsidRPr="004F1F7B">
        <w:rPr>
          <w:rFonts w:eastAsia="Calibri"/>
        </w:rPr>
        <w:br/>
        <w:t xml:space="preserve">10 962 žiadostí, pričom žiadané príspevky boli vo výške 9 682 743 eur (z toho 2 831 žiadostí (25,83 %) predložili MUoZ v situácií NEET, pričom žiadané príspevky boli vo výške 2 763 991 eur). Uzatvorených bolo 6 761 dohôd na dohodnutú sumu 5 734 957 eur (z toho bolo 1 728 dohôd (25,56 %) pre MUoZ v situácií NEET na dohodnutú sumu 1 644 018 eur). </w:t>
      </w:r>
    </w:p>
    <w:p w14:paraId="1358D144" w14:textId="77777777" w:rsidR="004F1F7B" w:rsidRPr="004F1F7B" w:rsidRDefault="004F1F7B" w:rsidP="004F1F7B">
      <w:pPr>
        <w:spacing w:before="120" w:after="120"/>
        <w:ind w:hanging="6"/>
        <w:rPr>
          <w:rFonts w:eastAsia="Calibri"/>
        </w:rPr>
      </w:pPr>
      <w:r w:rsidRPr="004F1F7B">
        <w:rPr>
          <w:rFonts w:eastAsia="Calibri"/>
        </w:rPr>
        <w:t xml:space="preserve">Na rekvalifikáciu bolo zaradených 5 904 UoZ, z toho bolo 2 752 mužov (46,61 %) a 3 152 žien (53,39 %). Z celkového počtu zaradených UoZ  bolo 1 499 MUoZ (25,39 %)  v situácii NEET, z nich bolo 931 mužov a 568 žien. </w:t>
      </w:r>
    </w:p>
    <w:p w14:paraId="5160CCE8" w14:textId="77777777" w:rsidR="004F1F7B" w:rsidRPr="004F1F7B" w:rsidRDefault="004F1F7B" w:rsidP="004F1F7B">
      <w:pPr>
        <w:spacing w:before="120" w:after="120"/>
        <w:ind w:hanging="6"/>
        <w:rPr>
          <w:rFonts w:eastAsia="Calibri"/>
        </w:rPr>
      </w:pPr>
      <w:r w:rsidRPr="004F1F7B">
        <w:rPr>
          <w:rFonts w:eastAsia="Calibri"/>
        </w:rPr>
        <w:t>V roku 2024 boli príspevky na podporu rekvalifikácie uhradené pre 4 435 UoZ v celkovej sume 3 645 429 eur, z toho 3 392 000 eur na kurzovné a 253 430 eur na paušálny príspevok. Z toho bolo 1 068 (24,08 %) MUoZ v situácii NEET, ktorým boli uhradené príspevky v celkovej sume 988 133 eur (928 230 eur na kurzovné a 59 903 eur na paušálny príspevok).</w:t>
      </w:r>
    </w:p>
    <w:p w14:paraId="09A1CAC2" w14:textId="77777777" w:rsidR="004F1F7B" w:rsidRPr="004F1F7B" w:rsidRDefault="004F1F7B" w:rsidP="004F1F7B">
      <w:pPr>
        <w:spacing w:before="120" w:after="120"/>
        <w:ind w:hanging="6"/>
        <w:rPr>
          <w:rFonts w:eastAsia="Calibri"/>
        </w:rPr>
      </w:pPr>
      <w:r w:rsidRPr="004F1F7B">
        <w:rPr>
          <w:rFonts w:eastAsia="Calibri"/>
        </w:rPr>
        <w:t xml:space="preserve">Z celkového počtu 4 435 podporených UoZ bolo umiestnených na trhu práce do 6 mesiacov po ukončení rekvalifikácie 2 502 UoZ (56,41 %). Z celkového počtu 1 068 podporených MUoZ </w:t>
      </w:r>
      <w:r w:rsidRPr="004F1F7B">
        <w:rPr>
          <w:rFonts w:eastAsia="Calibri"/>
        </w:rPr>
        <w:lastRenderedPageBreak/>
        <w:t>v situácii NEET bolo umiestnených na trhu práce do 6 mesiacov po ukončení rekvalifikácie 573 MUoZ (53,65 %).</w:t>
      </w:r>
    </w:p>
    <w:p w14:paraId="1EEC2C3A" w14:textId="77777777" w:rsidR="004F1F7B" w:rsidRPr="004F1F7B" w:rsidRDefault="004F1F7B" w:rsidP="004F1F7B">
      <w:pPr>
        <w:spacing w:before="120" w:after="120"/>
        <w:ind w:hanging="6"/>
      </w:pPr>
      <w:r w:rsidRPr="004F1F7B">
        <w:rPr>
          <w:rFonts w:eastAsia="Calibri"/>
        </w:rPr>
        <w:t>V roku 2024 bol najväčší počet UoZ zaradených na rekvalifikáciu na úrade Bratislava, kde nastúpilo na rekvalifikačný kurz 508 UoZ, čo prestavuje 8,60 % z celkového počtu zaradených UoZ. Za ním nasledovali úrady Košice (328 UoZ; 5,56 %) a  Bardejov (266 UoZ; 4,51 %). Prehľad UoZ zaradených na rekvalifikáciu v roku 2024 v štruktúre podľa jednotlivých úradov  je v nasledujúcom grafe.</w:t>
      </w:r>
    </w:p>
    <w:p w14:paraId="656965F0" w14:textId="77777777" w:rsidR="004F1F7B" w:rsidRPr="004F1F7B" w:rsidRDefault="004F1F7B" w:rsidP="004F1F7B">
      <w:pPr>
        <w:spacing w:before="120" w:after="120"/>
      </w:pPr>
      <w:r w:rsidRPr="004F1F7B">
        <w:rPr>
          <w:noProof/>
        </w:rPr>
        <w:drawing>
          <wp:inline distT="0" distB="0" distL="0" distR="0" wp14:anchorId="2ABBF7E1" wp14:editId="59B0E3F9">
            <wp:extent cx="5796280" cy="5287617"/>
            <wp:effectExtent l="0" t="0" r="13970" b="8890"/>
            <wp:docPr id="480" name="Graf 48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1A7EED" w14:textId="77777777" w:rsidR="004F1F7B" w:rsidRPr="004F1F7B" w:rsidRDefault="004F1F7B" w:rsidP="004F1F7B">
      <w:pPr>
        <w:spacing w:before="120" w:after="120"/>
        <w:ind w:hanging="6"/>
        <w:rPr>
          <w:rFonts w:eastAsia="Calibri"/>
        </w:rPr>
      </w:pPr>
      <w:r w:rsidRPr="004F1F7B">
        <w:rPr>
          <w:rFonts w:eastAsia="Calibri"/>
        </w:rPr>
        <w:t>Z celkového počtu 5 904 UoZ zaradených na rekvalifikáciu v roku 2024, bolo 3 762 UoZ znevýhodnených (63,72 %). Najväčšiu skupinu tvorili UoZ, ktorí najmenej 12 po sebe nasledujúcich kalendárnych mesiacov pred zaradením do evidencie UoZ nemali pravidelne platené zamestnanie (2 338; 39,60 % zo všetkých UoZ zaradených na rekvalifikáciu) a dlhodobo nezamestnaní UoZ (1 203; 20,38 % zo všetkých UoZ zaradených na rekvalifikáciu). Pomerne početnú skupinu UoZ tvorili aj UoZ nad 50 rokov (1 115; 18,89 % zo všetkých UoZ zaradených na rekvalifikáciu).</w:t>
      </w:r>
    </w:p>
    <w:p w14:paraId="25F10790" w14:textId="77777777" w:rsidR="004F1F7B" w:rsidRPr="004F1F7B" w:rsidRDefault="004F1F7B" w:rsidP="004F1F7B">
      <w:pPr>
        <w:spacing w:before="120" w:after="120"/>
        <w:ind w:hanging="6"/>
        <w:rPr>
          <w:rFonts w:eastAsia="Calibri"/>
        </w:rPr>
      </w:pPr>
      <w:r w:rsidRPr="004F1F7B">
        <w:rPr>
          <w:rFonts w:eastAsia="Calibri"/>
        </w:rPr>
        <w:t>Prehľad UoZ zaradených v roku 2024 na rekvalifikáciu v štruktúre podľa znevýhodnenia je znázornený v grafe nižšie.</w:t>
      </w:r>
    </w:p>
    <w:p w14:paraId="52222C1A" w14:textId="3D83C3CE" w:rsidR="00264159" w:rsidRDefault="00264159" w:rsidP="00264159">
      <w:pPr>
        <w:spacing w:before="120" w:after="0"/>
        <w:ind w:hanging="6"/>
      </w:pPr>
    </w:p>
    <w:p w14:paraId="02FB912D" w14:textId="2854EE77" w:rsidR="004F1F7B" w:rsidRDefault="009B7512" w:rsidP="00264159">
      <w:pPr>
        <w:spacing w:before="120" w:after="0"/>
        <w:ind w:hanging="6"/>
      </w:pPr>
      <w:r>
        <w:rPr>
          <w:noProof/>
        </w:rPr>
        <w:lastRenderedPageBreak/>
        <w:drawing>
          <wp:inline distT="0" distB="0" distL="0" distR="0" wp14:anchorId="5D4D1B67" wp14:editId="03E95033">
            <wp:extent cx="5850890" cy="3350907"/>
            <wp:effectExtent l="0" t="0" r="16510" b="1905"/>
            <wp:docPr id="481" name="Graf 48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394AE8" w14:textId="77777777" w:rsidR="009B7512" w:rsidRPr="009B7512" w:rsidRDefault="009B7512" w:rsidP="009B7512">
      <w:pPr>
        <w:spacing w:before="120" w:after="120"/>
        <w:ind w:hanging="6"/>
        <w:rPr>
          <w:rFonts w:eastAsia="Calibri"/>
        </w:rPr>
      </w:pPr>
      <w:r w:rsidRPr="009B7512">
        <w:rPr>
          <w:rFonts w:eastAsia="Calibri"/>
        </w:rPr>
        <w:t>Z hľadiska veku tvorili v roku 2024 najvyšší podiel zaradených na rekvalifikáciu UoZ vo veku od 30 do 49 rokov (3 273 UoZ; 55,44 %). Druhou najpočetnejšou skupinou boli UoZ nad 50 rokov (1 121 UoZ; 18,99 %).</w:t>
      </w:r>
    </w:p>
    <w:p w14:paraId="41FB8C7C" w14:textId="7B780A7B" w:rsidR="009B7512" w:rsidRPr="009B7512" w:rsidRDefault="009B7512" w:rsidP="009B7512">
      <w:pPr>
        <w:spacing w:before="120" w:after="120"/>
        <w:ind w:hanging="6"/>
        <w:rPr>
          <w:rFonts w:eastAsia="Calibri"/>
        </w:rPr>
      </w:pPr>
      <w:r w:rsidRPr="009B7512">
        <w:rPr>
          <w:rFonts w:eastAsia="Calibri"/>
        </w:rPr>
        <w:t xml:space="preserve">Prehľad UoZ zaradených na rekvalifikáciu v roku 2024 v štruktúre podľa vekových kategórií </w:t>
      </w:r>
      <w:r w:rsidR="00C7322F">
        <w:rPr>
          <w:rFonts w:eastAsia="Calibri"/>
        </w:rPr>
        <w:t xml:space="preserve">        </w:t>
      </w:r>
      <w:r w:rsidRPr="009B7512">
        <w:rPr>
          <w:rFonts w:eastAsia="Calibri"/>
        </w:rPr>
        <w:t>je znázornený v grafe nižšie.</w:t>
      </w:r>
    </w:p>
    <w:p w14:paraId="1766482D" w14:textId="77777777" w:rsidR="009B7512" w:rsidRPr="009B7512" w:rsidRDefault="009B7512" w:rsidP="009B7512">
      <w:pPr>
        <w:spacing w:before="120" w:after="120"/>
        <w:rPr>
          <w:rFonts w:eastAsia="Calibri"/>
        </w:rPr>
      </w:pPr>
      <w:r w:rsidRPr="009B7512">
        <w:rPr>
          <w:noProof/>
        </w:rPr>
        <w:drawing>
          <wp:inline distT="0" distB="0" distL="0" distR="0" wp14:anchorId="47B960B4" wp14:editId="268003DD">
            <wp:extent cx="5772150" cy="2949934"/>
            <wp:effectExtent l="0" t="0" r="0" b="3175"/>
            <wp:docPr id="482" name="Graf 482">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EBA5A9" w14:textId="77777777" w:rsidR="009B7512" w:rsidRPr="009B7512" w:rsidRDefault="009B7512" w:rsidP="009B7512">
      <w:pPr>
        <w:spacing w:before="120" w:after="120"/>
        <w:ind w:left="-5" w:hanging="6"/>
        <w:rPr>
          <w:rFonts w:eastAsia="Calibri"/>
        </w:rPr>
      </w:pPr>
      <w:r w:rsidRPr="009B7512">
        <w:rPr>
          <w:rFonts w:eastAsia="Calibri"/>
        </w:rPr>
        <w:t xml:space="preserve">Z hľadiska vzdelania bolo v roku 2024 zaradených na rekvalifikáciu najviac UoZ s úplným stredným odborným vzdelaním (2 309 UoZ; 39,11 %) a stredným odborným vzdelaním (993 UoZ; 16,82 %). </w:t>
      </w:r>
    </w:p>
    <w:p w14:paraId="703F30E3" w14:textId="77777777" w:rsidR="009B7512" w:rsidRPr="009B7512" w:rsidRDefault="009B7512" w:rsidP="009B7512">
      <w:pPr>
        <w:spacing w:before="120" w:after="120"/>
        <w:ind w:left="-5" w:hanging="6"/>
        <w:rPr>
          <w:rFonts w:eastAsia="Calibri"/>
        </w:rPr>
      </w:pPr>
      <w:r w:rsidRPr="009B7512">
        <w:rPr>
          <w:rFonts w:eastAsia="Calibri"/>
        </w:rPr>
        <w:t>Prehľad UoZ zaradených na rekvalifikáciu v roku 2024 v štruktúre podľa vzdelania je znázornený v nasledujúcom grafe.</w:t>
      </w:r>
    </w:p>
    <w:p w14:paraId="43437544" w14:textId="77777777" w:rsidR="009B7512" w:rsidRPr="009B7512" w:rsidRDefault="009B7512" w:rsidP="009B7512">
      <w:pPr>
        <w:spacing w:before="120" w:after="120"/>
        <w:rPr>
          <w:rFonts w:eastAsia="Calibri"/>
          <w:noProof/>
        </w:rPr>
      </w:pPr>
      <w:r w:rsidRPr="009B7512">
        <w:rPr>
          <w:noProof/>
        </w:rPr>
        <w:lastRenderedPageBreak/>
        <w:drawing>
          <wp:inline distT="0" distB="0" distL="0" distR="0" wp14:anchorId="30F21196" wp14:editId="1EE157DD">
            <wp:extent cx="5760720" cy="3339548"/>
            <wp:effectExtent l="0" t="0" r="11430" b="13335"/>
            <wp:docPr id="483" name="Graf 48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7B89522" w14:textId="77777777" w:rsidR="009B7512" w:rsidRPr="009B7512" w:rsidRDefault="009B7512" w:rsidP="009B7512">
      <w:pPr>
        <w:spacing w:before="120" w:after="120"/>
        <w:ind w:hanging="6"/>
        <w:rPr>
          <w:rFonts w:eastAsia="Calibri"/>
        </w:rPr>
      </w:pPr>
      <w:r w:rsidRPr="009B7512">
        <w:rPr>
          <w:rFonts w:eastAsia="Calibri"/>
        </w:rPr>
        <w:t>V roku 2024 UoZ najviac nastúpili na kurzy zamerané na výpočtovú techniku (983 UoZ; 16,65 %), kurzy zamerané na manažment, ekonomiku, financie a ľudské zdroje (969 UoZ; 16,41 %), ďalej aj na opatrovateľské kurzy (777 UoZ; 13,16 %), ako aj na kurzy zamerané na profesiu vodiča motorových vozidiel (655 UoZ; 11,09 %).</w:t>
      </w:r>
    </w:p>
    <w:p w14:paraId="0F3E0675" w14:textId="77777777" w:rsidR="009B7512" w:rsidRPr="009B7512" w:rsidRDefault="009B7512" w:rsidP="009B7512">
      <w:pPr>
        <w:spacing w:before="120" w:after="120"/>
        <w:ind w:hanging="6"/>
        <w:rPr>
          <w:rFonts w:eastAsia="Calibri"/>
        </w:rPr>
      </w:pPr>
      <w:r w:rsidRPr="009B7512">
        <w:rPr>
          <w:rFonts w:eastAsia="Calibri"/>
        </w:rPr>
        <w:t>Prehľad UoZ zaradených na rekvalifikáciu v roku 2024 v štruktúre podľa jednotlivých vzdelávacích kategórií je znázornený v nasledujúcom grafe.</w:t>
      </w:r>
    </w:p>
    <w:p w14:paraId="598A6675" w14:textId="77777777" w:rsidR="009B7512" w:rsidRPr="009B7512" w:rsidRDefault="009B7512" w:rsidP="009B7512">
      <w:pPr>
        <w:spacing w:before="120" w:after="120"/>
        <w:rPr>
          <w:rFonts w:eastAsia="Calibri"/>
          <w:color w:val="FF0000"/>
        </w:rPr>
      </w:pPr>
      <w:r w:rsidRPr="009B7512">
        <w:rPr>
          <w:noProof/>
        </w:rPr>
        <w:drawing>
          <wp:inline distT="0" distB="0" distL="0" distR="0" wp14:anchorId="06ECC39C" wp14:editId="40EB5AAC">
            <wp:extent cx="5760720" cy="3093058"/>
            <wp:effectExtent l="0" t="0" r="11430" b="12700"/>
            <wp:docPr id="484" name="Graf 484">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17A117" w14:textId="77777777" w:rsidR="009B7512" w:rsidRPr="009B7512" w:rsidRDefault="009B7512" w:rsidP="009B7512">
      <w:pPr>
        <w:spacing w:before="120" w:after="120"/>
        <w:ind w:hanging="6"/>
        <w:rPr>
          <w:rFonts w:eastAsia="Calibri"/>
        </w:rPr>
      </w:pPr>
      <w:r w:rsidRPr="009B7512">
        <w:rPr>
          <w:rFonts w:eastAsia="Calibri"/>
          <w:b/>
          <w:bCs/>
        </w:rPr>
        <w:t>Podpora vzdelávania záujemcov o zamestnanie</w:t>
      </w:r>
    </w:p>
    <w:p w14:paraId="3B8BABF9" w14:textId="77777777" w:rsidR="009B7512" w:rsidRPr="009B7512" w:rsidRDefault="009B7512" w:rsidP="009B7512">
      <w:pPr>
        <w:spacing w:before="120" w:after="120"/>
        <w:ind w:hanging="6"/>
        <w:rPr>
          <w:rFonts w:eastAsia="Calibri"/>
        </w:rPr>
      </w:pPr>
      <w:r w:rsidRPr="009B7512">
        <w:rPr>
          <w:rFonts w:eastAsia="Calibri"/>
        </w:rPr>
        <w:t xml:space="preserve">V rámci NP Zručnosti pre trh práce sa za vzdelávanie považuje odborná príprava ZoZ alebo príprava ZoZ zameraná na rozvoj komunikačných, počítačových, manažérskych, sociálnych, podnikateľských alebo jazykových vedomostí, zručností alebo schopností určených na zabezpečenie jeho adaptability a uplatnenia sa v zamestnaní alebo v pracovných činnostiach, ktoré má ZoZ vykonávať po absolvovaní ním vybraného vzdelávacieho programu u ním vybraného poskytovateľa vzdelávacieho programu. Po úspešnom absolvovaní vzdelávania a splnení stanovených podmienok úrad poskytne ZoZ príspevok na podporu vzdelávania vo výške </w:t>
      </w:r>
      <w:r w:rsidRPr="009B7512">
        <w:rPr>
          <w:rFonts w:eastAsia="Calibri"/>
        </w:rPr>
        <w:lastRenderedPageBreak/>
        <w:t>100 % oprávnených nákladov súvisiacich s akreditovaným vzdelávaním alebo 80 % oprávnených nákladov súvisiacich s neakreditovaným vzdelávaním, na úhradu kurzovného.</w:t>
      </w:r>
    </w:p>
    <w:p w14:paraId="78514745" w14:textId="77777777" w:rsidR="009B7512" w:rsidRPr="009B7512" w:rsidRDefault="009B7512" w:rsidP="009B7512">
      <w:pPr>
        <w:spacing w:before="120" w:after="120"/>
        <w:ind w:hanging="6"/>
        <w:rPr>
          <w:rFonts w:eastAsia="Calibri"/>
        </w:rPr>
      </w:pPr>
      <w:r w:rsidRPr="009B7512">
        <w:rPr>
          <w:rFonts w:eastAsia="Calibri"/>
        </w:rPr>
        <w:t xml:space="preserve">V roku 2024 bolo na podporu vzdelávania ZoZ v rámci tohto projektu prijatých 16 179 žiadostí, pričom žiadané príspevky boli vo výške 16 003 597 eur. Uzatvorených bolo 7 530 dohôd na dohodnutú sumu 6 475 296 eur.  </w:t>
      </w:r>
    </w:p>
    <w:p w14:paraId="61281DC5" w14:textId="77777777" w:rsidR="009B7512" w:rsidRPr="009B7512" w:rsidRDefault="009B7512" w:rsidP="009B7512">
      <w:pPr>
        <w:spacing w:before="120" w:after="120"/>
        <w:ind w:hanging="6"/>
        <w:rPr>
          <w:rFonts w:eastAsia="Calibri"/>
        </w:rPr>
      </w:pPr>
      <w:r w:rsidRPr="009B7512">
        <w:rPr>
          <w:rFonts w:eastAsia="Calibri"/>
        </w:rPr>
        <w:t xml:space="preserve">Na vzdelávanie bolo v roku 2024 zaradených 6 785 ZoZ, z toho bolo 3 825 mužov (56,37 %) a 2 960 žien (43,63 %). </w:t>
      </w:r>
    </w:p>
    <w:p w14:paraId="5B0B0A92" w14:textId="77777777" w:rsidR="009B7512" w:rsidRPr="009B7512" w:rsidRDefault="009B7512" w:rsidP="009B7512">
      <w:pPr>
        <w:spacing w:before="120" w:after="120"/>
        <w:ind w:hanging="6"/>
        <w:rPr>
          <w:rFonts w:eastAsia="Calibri"/>
        </w:rPr>
      </w:pPr>
      <w:r w:rsidRPr="009B7512">
        <w:rPr>
          <w:rFonts w:eastAsia="Calibri"/>
        </w:rPr>
        <w:t>V roku 2024 bolo podporených 4 941 ZoZ, na ktorých boli uhradené príspevky na podporu vzdelávania v sume 4 183 978 eur, z toho vo výške 100 % oprávnených nákladov spojených so vzdelávaním bolo uhradených 3 218 910 eur pre 3 698 ZoZ a 640 773 eur vo výške  80% oprávnených nákladov spojených so vzdelávaním pre 862 ZoZ.</w:t>
      </w:r>
    </w:p>
    <w:p w14:paraId="51A1747B" w14:textId="77777777" w:rsidR="009B7512" w:rsidRPr="009B7512" w:rsidRDefault="009B7512" w:rsidP="009B7512">
      <w:pPr>
        <w:spacing w:before="120" w:after="120"/>
        <w:ind w:hanging="6"/>
        <w:rPr>
          <w:rFonts w:eastAsia="Calibri"/>
        </w:rPr>
      </w:pPr>
      <w:r w:rsidRPr="009B7512">
        <w:rPr>
          <w:rFonts w:eastAsia="Calibri"/>
        </w:rPr>
        <w:t xml:space="preserve">V roku 2024 bol najväčší počet ZoZ zaradených na vzdelávanie na úrade Bratislava, kde nastúpilo na vzdelávanie 668 ZoZ, čo predstavuje 9,85 % z celkového počtu zaradených ZoZ. Za ním nasledovali úrady Námestovo (362 ZoZ; 5,34 %) a úrad Košice (349 ZoZ; 5,14 %). </w:t>
      </w:r>
    </w:p>
    <w:p w14:paraId="39FE6CAC" w14:textId="77777777" w:rsidR="009B7512" w:rsidRPr="009B7512" w:rsidRDefault="009B7512" w:rsidP="009B7512">
      <w:pPr>
        <w:spacing w:before="120" w:after="120"/>
        <w:ind w:hanging="6"/>
        <w:rPr>
          <w:rFonts w:eastAsia="Calibri"/>
        </w:rPr>
      </w:pPr>
      <w:r w:rsidRPr="009B7512">
        <w:rPr>
          <w:rFonts w:eastAsia="Calibri"/>
        </w:rPr>
        <w:t xml:space="preserve">Prehľad ZoZ zaradených na vzdelávanie v roku 2024 v štruktúre podľa jednotlivých úradov je znázornený v grafe nižšie. </w:t>
      </w:r>
    </w:p>
    <w:p w14:paraId="709BE217" w14:textId="77777777" w:rsidR="009B7512" w:rsidRPr="009B7512" w:rsidRDefault="009B7512" w:rsidP="009B7512">
      <w:pPr>
        <w:spacing w:before="120" w:after="120"/>
        <w:rPr>
          <w:rFonts w:eastAsia="Calibri"/>
          <w:noProof/>
        </w:rPr>
      </w:pPr>
      <w:r w:rsidRPr="009B7512">
        <w:rPr>
          <w:noProof/>
        </w:rPr>
        <w:drawing>
          <wp:inline distT="0" distB="0" distL="0" distR="0" wp14:anchorId="0AD3E48D" wp14:editId="76DDF118">
            <wp:extent cx="5899785" cy="5406887"/>
            <wp:effectExtent l="0" t="0" r="5715" b="3810"/>
            <wp:docPr id="485" name="Graf 48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F8AAB2" w14:textId="77777777" w:rsidR="009B7512" w:rsidRPr="009B7512" w:rsidRDefault="009B7512" w:rsidP="009B7512">
      <w:pPr>
        <w:spacing w:before="120" w:after="0"/>
        <w:rPr>
          <w:rFonts w:eastAsia="Calibri"/>
        </w:rPr>
      </w:pPr>
      <w:r w:rsidRPr="009B7512">
        <w:rPr>
          <w:rFonts w:eastAsia="Calibri"/>
        </w:rPr>
        <w:t xml:space="preserve">Z hľadiska veku tvorili v roku 2024 najvyšší podiel zaradených na vzdelávanie ZoZ vo veku od 30 do 49 rokov (4 275 ZoZ; 63,01 %). Druhou najpočetnejšou skupinou boli ZoZ vo veku od 25 </w:t>
      </w:r>
      <w:r w:rsidRPr="009B7512">
        <w:rPr>
          <w:rFonts w:eastAsia="Calibri"/>
        </w:rPr>
        <w:lastRenderedPageBreak/>
        <w:t>do 29 rokov (1 032 ZoZ; 15,21 %). Prehľad ZoZ zaradených na vzdelávanie v roku 2024 v štruktúre podľa vekových kategórií je znázornený v ďalšom grafe.</w:t>
      </w:r>
    </w:p>
    <w:p w14:paraId="35CFA191" w14:textId="49504373" w:rsidR="004F1F7B" w:rsidRDefault="009B7512" w:rsidP="00264159">
      <w:pPr>
        <w:spacing w:before="120" w:after="0"/>
        <w:ind w:hanging="6"/>
      </w:pPr>
      <w:r>
        <w:rPr>
          <w:noProof/>
        </w:rPr>
        <w:drawing>
          <wp:inline distT="0" distB="0" distL="0" distR="0" wp14:anchorId="27387D67" wp14:editId="3E62FAFB">
            <wp:extent cx="5819775" cy="3171825"/>
            <wp:effectExtent l="0" t="0" r="9525" b="9525"/>
            <wp:docPr id="486" name="Graf 486">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03C713" w14:textId="77777777" w:rsidR="009B7512" w:rsidRPr="009B7512" w:rsidRDefault="009B7512" w:rsidP="009B7512">
      <w:pPr>
        <w:spacing w:before="120" w:after="120"/>
        <w:ind w:left="-5" w:hanging="6"/>
        <w:rPr>
          <w:rFonts w:eastAsia="Calibri"/>
        </w:rPr>
      </w:pPr>
      <w:r w:rsidRPr="009B7512">
        <w:rPr>
          <w:rFonts w:eastAsia="Calibri"/>
        </w:rPr>
        <w:t xml:space="preserve">Z hľadiska vzdelania bolo v roku 2024 zaradených na vzdelávanie najviac ZoZ s úplným stredným odborným vzdelaním (2 517 ZoZ; 37,10  %) a vysokoškolským vzdelaním druhého stupňa (1 927 ZoZ; 28,40 %). </w:t>
      </w:r>
    </w:p>
    <w:p w14:paraId="02F8EB63" w14:textId="77777777" w:rsidR="009B7512" w:rsidRPr="009B7512" w:rsidRDefault="009B7512" w:rsidP="009B7512">
      <w:pPr>
        <w:spacing w:before="120" w:after="120"/>
        <w:ind w:left="-5" w:hanging="6"/>
        <w:rPr>
          <w:rFonts w:eastAsia="Calibri"/>
        </w:rPr>
      </w:pPr>
      <w:r w:rsidRPr="009B7512">
        <w:rPr>
          <w:rFonts w:eastAsia="Calibri"/>
        </w:rPr>
        <w:t>Prehľad ZoZ zaradených na vzdelávanie v roku 2024 v štruktúre podľa vzdelania je znázornený v grafe dole.</w:t>
      </w:r>
    </w:p>
    <w:p w14:paraId="7C07B5D7" w14:textId="77777777" w:rsidR="009B7512" w:rsidRPr="009B7512" w:rsidRDefault="009B7512" w:rsidP="009B7512">
      <w:pPr>
        <w:spacing w:before="120" w:after="120"/>
        <w:ind w:hanging="6"/>
        <w:rPr>
          <w:rFonts w:eastAsia="Calibri"/>
          <w:b/>
          <w:i/>
          <w:sz w:val="20"/>
          <w:szCs w:val="20"/>
          <w:highlight w:val="yellow"/>
        </w:rPr>
      </w:pPr>
      <w:r w:rsidRPr="009B7512">
        <w:rPr>
          <w:noProof/>
        </w:rPr>
        <w:drawing>
          <wp:inline distT="0" distB="0" distL="0" distR="0" wp14:anchorId="55594F34" wp14:editId="5E4068F6">
            <wp:extent cx="5760720" cy="3572510"/>
            <wp:effectExtent l="0" t="0" r="11430" b="8890"/>
            <wp:docPr id="487" name="Graf 48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F743DB" w14:textId="543B6066" w:rsidR="009B7512" w:rsidRPr="009B7512" w:rsidRDefault="009B7512" w:rsidP="009B7512">
      <w:pPr>
        <w:spacing w:before="120" w:after="120"/>
        <w:rPr>
          <w:rFonts w:ascii="Arial" w:hAnsi="Arial" w:cs="Arial"/>
          <w:sz w:val="16"/>
          <w:szCs w:val="16"/>
        </w:rPr>
      </w:pPr>
      <w:r w:rsidRPr="009B7512">
        <w:rPr>
          <w:rFonts w:eastAsia="Calibri"/>
        </w:rPr>
        <w:t>V roku 2024 ZoZ najviac nastúpili na odborné kurzy súvisiace s profesiou vodiča motorových vozidiel (1 692 ZoZ; 24,94 %), na kurzy zamerané na manažment, ekonomiku , financie a ľudské zdroje (1 271 ZoZ; 18,72 %), ďalej aj na počítačové kurzy- špecializovaného zamerania (918 ZoZ, 13,53 %) ako aj na kurzy zvárania (490 ZoZ, 7,22 %)</w:t>
      </w:r>
      <w:r w:rsidR="00E62ABB">
        <w:rPr>
          <w:rFonts w:eastAsia="Calibri"/>
        </w:rPr>
        <w:t>.</w:t>
      </w:r>
    </w:p>
    <w:p w14:paraId="06394BFE" w14:textId="16B2EA3B" w:rsidR="009B7512" w:rsidRPr="009B7512" w:rsidRDefault="009B7512" w:rsidP="009B7512">
      <w:pPr>
        <w:spacing w:before="120" w:after="120"/>
        <w:ind w:hanging="6"/>
        <w:rPr>
          <w:rFonts w:eastAsia="Calibri"/>
        </w:rPr>
      </w:pPr>
      <w:r w:rsidRPr="009B7512">
        <w:rPr>
          <w:rFonts w:eastAsia="Calibri"/>
        </w:rPr>
        <w:lastRenderedPageBreak/>
        <w:t xml:space="preserve">Prehľad ZoZ zaradených na vzdelávanie v roku 2024 v štruktúre podľa jednotlivých vzdelávacích kategórií je znázornený v nasledujúcom grafe. </w:t>
      </w:r>
    </w:p>
    <w:p w14:paraId="5F250884" w14:textId="77777777" w:rsidR="009B7512" w:rsidRPr="009B7512" w:rsidRDefault="009B7512" w:rsidP="009B7512">
      <w:pPr>
        <w:spacing w:before="120" w:after="120"/>
        <w:rPr>
          <w:rFonts w:eastAsia="Calibri"/>
        </w:rPr>
      </w:pPr>
      <w:r w:rsidRPr="009B7512">
        <w:rPr>
          <w:noProof/>
        </w:rPr>
        <w:drawing>
          <wp:inline distT="0" distB="0" distL="0" distR="0" wp14:anchorId="680794DC" wp14:editId="05A27DF9">
            <wp:extent cx="5843905" cy="3371354"/>
            <wp:effectExtent l="0" t="0" r="4445" b="635"/>
            <wp:docPr id="488" name="Graf 48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AA30A52" w14:textId="62A242F4" w:rsidR="000C6AA3" w:rsidRPr="000C6AA3" w:rsidRDefault="000C6AA3" w:rsidP="00C32B35">
      <w:pPr>
        <w:pStyle w:val="Nadpis2"/>
        <w:jc w:val="both"/>
      </w:pPr>
      <w:bookmarkStart w:id="132" w:name="_Toc199230844"/>
      <w:r w:rsidRPr="000C6AA3">
        <w:t>Národný projekt „Podpora opatrovateľskej služby“</w:t>
      </w:r>
      <w:r>
        <w:t>, a</w:t>
      </w:r>
      <w:r w:rsidRPr="000C6AA3">
        <w:t>ktivita „Poskytovanie príspevku na opatrovateľskú službu ako súčasť systémovej zmeny“</w:t>
      </w:r>
      <w:r>
        <w:t>, p</w:t>
      </w:r>
      <w:r w:rsidRPr="000C6AA3">
        <w:t>odaktivita 3 „Zachovanie podpory výkonu opatrovateľskej služby“</w:t>
      </w:r>
      <w:bookmarkEnd w:id="132"/>
      <w:r w:rsidRPr="000C6AA3">
        <w:t xml:space="preserve"> </w:t>
      </w:r>
    </w:p>
    <w:p w14:paraId="27E3071B" w14:textId="77777777" w:rsidR="000C6AA3" w:rsidRPr="000C6AA3" w:rsidRDefault="000C6AA3" w:rsidP="000C6AA3">
      <w:pPr>
        <w:spacing w:after="0"/>
        <w:ind w:firstLine="0"/>
        <w:rPr>
          <w:rFonts w:eastAsia="Calibri" w:cstheme="minorHAnsi"/>
          <w:color w:val="000000" w:themeColor="text1"/>
        </w:rPr>
      </w:pPr>
      <w:bookmarkStart w:id="133" w:name="_Toc104730027"/>
      <w:bookmarkStart w:id="134" w:name="_Hlk103530346"/>
      <w:r w:rsidRPr="000C6AA3">
        <w:rPr>
          <w:rFonts w:eastAsia="Calibri" w:cstheme="minorHAnsi"/>
          <w:color w:val="000000" w:themeColor="text1"/>
        </w:rPr>
        <w:t xml:space="preserve">Realizácia podaktivity 3 národného projektu Podpora opatrovateľskej služby (ďalej len „NP POS“) prebiehala od mesiaca 02/2024 do 08/2024 (spustenie podaktivity 3 bolo od 7. 2. 2024; ukončenie realizácie podaktivity 3 bolo do 08/2024). </w:t>
      </w:r>
    </w:p>
    <w:p w14:paraId="1878E491" w14:textId="77777777" w:rsidR="000C6AA3" w:rsidRPr="00C32B35" w:rsidRDefault="000C6AA3" w:rsidP="00C32B35">
      <w:pPr>
        <w:spacing w:before="120" w:after="120"/>
        <w:ind w:firstLine="0"/>
        <w:rPr>
          <w:rFonts w:eastAsia="Calibri" w:cstheme="minorHAnsi"/>
          <w:color w:val="000000" w:themeColor="text1"/>
        </w:rPr>
      </w:pPr>
      <w:r w:rsidRPr="00C32B35">
        <w:rPr>
          <w:rFonts w:eastAsia="Calibri" w:cstheme="minorHAnsi"/>
          <w:color w:val="000000" w:themeColor="text1"/>
        </w:rPr>
        <w:t xml:space="preserve">Cieľom NP POS bolo overiť mechanizmus poskytovania príspevku na starostlivosť prijímateľovi sociálnej služby a prispieť systémovému riešeniu v oblasti  financovania sociálnych služieb prostredníctvom hlavnej aktivity NP  “Poskytovanie príspevku na opatrovateľskú službu ako súčasť systémovej zmeny“. </w:t>
      </w:r>
    </w:p>
    <w:p w14:paraId="26F0DACA" w14:textId="77777777" w:rsidR="000C6AA3" w:rsidRPr="00C32B35" w:rsidRDefault="000C6AA3" w:rsidP="00C32B35">
      <w:pPr>
        <w:spacing w:before="120" w:after="120"/>
        <w:ind w:firstLine="0"/>
        <w:rPr>
          <w:rFonts w:eastAsia="Calibri" w:cstheme="minorHAnsi"/>
          <w:color w:val="000000" w:themeColor="text1"/>
        </w:rPr>
      </w:pPr>
      <w:r w:rsidRPr="00C32B35">
        <w:rPr>
          <w:rFonts w:eastAsia="Calibri" w:cstheme="minorHAnsi"/>
          <w:color w:val="000000" w:themeColor="text1"/>
        </w:rPr>
        <w:t xml:space="preserve">Cieľom podaktivity 3 bolo zabezpečenie personálnej udržateľnosti poskytovania domácej opatrovateľskej služby doposiaľ spolufinancovanej zo štrukturálnych fondov v rámci vyhlásenej výzvy Podpora opatrovateľskej služby II. Finančný príspevok sa poskytoval v maximálnej výške 750 Eur CCP/1 mesiac pre 1 opatrovateľa/ku pri plnom pracovnom úväzku na ustanovený týždenný pracovný čas; pri kratšom pracovnom úväzku sa výška príspevku pomerne krátila (výška príspevku nemohla prevýšiť skutočne vynaložené mzdové výdavky). </w:t>
      </w:r>
    </w:p>
    <w:p w14:paraId="6758EC8E" w14:textId="77777777" w:rsidR="000C6AA3" w:rsidRPr="00C32B35" w:rsidRDefault="000C6AA3" w:rsidP="00C32B35">
      <w:pPr>
        <w:spacing w:before="120" w:after="120"/>
        <w:ind w:firstLine="0"/>
        <w:rPr>
          <w:rFonts w:eastAsia="Calibri" w:cstheme="minorHAnsi"/>
          <w:color w:val="000000" w:themeColor="text1"/>
        </w:rPr>
      </w:pPr>
      <w:r w:rsidRPr="00C32B35">
        <w:rPr>
          <w:rFonts w:eastAsia="Calibri" w:cstheme="minorHAnsi"/>
          <w:color w:val="000000" w:themeColor="text1"/>
        </w:rPr>
        <w:t xml:space="preserve">Účelom FP bolo poskytovanie príspevku na výkon opatrovateľskej služby (v zmysle zákona č. 448/2008 Z. z. o sociálnych službách (ďalej len „zákon o sociálnych službách“) vo forme transferu na personálne výdavky opatrovateliek (za oprávnené obdobie od   1. 7. 2023 do 31. 12. 2023). Na poskytnutie finančného príspevku nebol právny nárok. </w:t>
      </w:r>
    </w:p>
    <w:p w14:paraId="67A72E06" w14:textId="77777777" w:rsidR="000C6AA3" w:rsidRPr="00C32B35" w:rsidRDefault="000C6AA3" w:rsidP="00C32B35">
      <w:pPr>
        <w:spacing w:before="120" w:after="120"/>
        <w:ind w:firstLine="0"/>
        <w:rPr>
          <w:rFonts w:eastAsia="Calibri" w:cstheme="minorHAnsi"/>
          <w:color w:val="000000" w:themeColor="text1"/>
        </w:rPr>
      </w:pPr>
      <w:r w:rsidRPr="00C32B35">
        <w:rPr>
          <w:rFonts w:eastAsia="Calibri" w:cstheme="minorHAnsi"/>
          <w:color w:val="000000" w:themeColor="text1"/>
        </w:rPr>
        <w:t>Oprávnenými žiadateľmi boli verejní a neverejní poskytovatelia sociálnych služieb v zmysle ustanovenia § 3 ods. 3 zákona o sociálnych službách.</w:t>
      </w:r>
    </w:p>
    <w:p w14:paraId="1D07357F" w14:textId="77777777" w:rsidR="000C6AA3" w:rsidRPr="00C32B35" w:rsidRDefault="000C6AA3" w:rsidP="00C32B35">
      <w:pPr>
        <w:spacing w:before="120" w:after="120"/>
        <w:ind w:firstLine="0"/>
        <w:rPr>
          <w:rFonts w:eastAsia="Calibri" w:cstheme="minorHAnsi"/>
          <w:color w:val="000000" w:themeColor="text1"/>
        </w:rPr>
      </w:pPr>
      <w:r w:rsidRPr="00C32B35">
        <w:rPr>
          <w:rFonts w:eastAsia="Calibri" w:cstheme="minorHAnsi"/>
          <w:color w:val="000000" w:themeColor="text1"/>
        </w:rPr>
        <w:t>Oprávnenou cieľovou skupinou, resp. podporenými v rámci podaktivity 3 NP POS boli zamestnanci v pracovnom pomere (opatrovateľky/opatrovatelia) u poskytovateľov sociálnych služieb, t. j. osoby vykonávajúce opatrovanie v domácom prostredí spĺňajúce kvalifikačné predpoklady v súlade so zákonom o sociálnych službách. Oprávnenou cieľovou skupinou boli osoby odkázané na pomoc inej osoby v zmysle zákona o sociálnych službách.</w:t>
      </w:r>
    </w:p>
    <w:p w14:paraId="557E6A74" w14:textId="7D5626C6" w:rsidR="000C6AA3" w:rsidRPr="00C32B35" w:rsidRDefault="000C6AA3" w:rsidP="00C32B35">
      <w:pPr>
        <w:spacing w:before="120" w:after="120"/>
        <w:ind w:firstLine="0"/>
        <w:rPr>
          <w:rFonts w:eastAsia="Calibri" w:cstheme="minorHAnsi"/>
          <w:color w:val="000000" w:themeColor="text1"/>
        </w:rPr>
      </w:pPr>
      <w:r w:rsidRPr="00C32B35">
        <w:rPr>
          <w:rFonts w:eastAsia="Calibri" w:cstheme="minorHAnsi"/>
          <w:color w:val="000000" w:themeColor="text1"/>
        </w:rPr>
        <w:lastRenderedPageBreak/>
        <w:t xml:space="preserve">V roku 2024 bolo v rámci podaktivity 3 prijatých celkom 91 žiadostí o príspevok od poskytovateľov sociálnych služieb, s počtom 958 žiadaných miest, z toho  bolo schválených 74 žiadostí, s počtom dohodnutých miest 836, s dohodnutou sumou 616 086 </w:t>
      </w:r>
      <w:r w:rsidR="00790522">
        <w:rPr>
          <w:rFonts w:eastAsia="Calibri" w:cstheme="minorHAnsi"/>
          <w:color w:val="000000" w:themeColor="text1"/>
        </w:rPr>
        <w:t>eur</w:t>
      </w:r>
      <w:r w:rsidRPr="00C32B35">
        <w:rPr>
          <w:rFonts w:eastAsia="Calibri" w:cstheme="minorHAnsi"/>
          <w:color w:val="000000" w:themeColor="text1"/>
        </w:rPr>
        <w:t xml:space="preserve">.  Čerpaná suma  v rámci podaktivity 3 k 31. 12. 2024 bola vo výške 577 168 </w:t>
      </w:r>
      <w:r w:rsidR="00790522">
        <w:rPr>
          <w:rFonts w:eastAsia="Calibri" w:cstheme="minorHAnsi"/>
          <w:color w:val="000000" w:themeColor="text1"/>
        </w:rPr>
        <w:t>eur</w:t>
      </w:r>
      <w:r w:rsidRPr="00C32B35">
        <w:rPr>
          <w:rFonts w:eastAsia="Calibri" w:cstheme="minorHAnsi"/>
          <w:color w:val="000000" w:themeColor="text1"/>
        </w:rPr>
        <w:t>.</w:t>
      </w:r>
    </w:p>
    <w:p w14:paraId="75FB7DDA" w14:textId="5FDD0ADB" w:rsidR="000C6AA3" w:rsidRPr="00C32B35" w:rsidRDefault="000C6AA3" w:rsidP="00C32B35">
      <w:pPr>
        <w:overflowPunct w:val="0"/>
        <w:autoSpaceDE w:val="0"/>
        <w:autoSpaceDN w:val="0"/>
        <w:adjustRightInd w:val="0"/>
        <w:spacing w:before="120" w:after="120"/>
        <w:ind w:firstLine="0"/>
        <w:textAlignment w:val="baseline"/>
        <w:rPr>
          <w:color w:val="000000" w:themeColor="text1"/>
        </w:rPr>
      </w:pPr>
      <w:r w:rsidRPr="00C32B35">
        <w:rPr>
          <w:color w:val="000000" w:themeColor="text1"/>
        </w:rPr>
        <w:t>V zmysle štruktúry žiadateľov – poskytovateľov sociálnych služieb z hľadiska právnej formy zamestnávateľa, najväčší záujem o príspevok v rámci podaktivity 3 na výkon opatrovateľskej služby vo forme transferu na personálne výdavky opatrovateľov / opatrovateliek, prejavili obce a mestá v počte 60 (81,08 %), za nimi nasledovali poskytovatelia sociálnych služieb s inou právnou formou v počte 9 (12,16 %). Ďalšie kategórie poskytovateľov sociálnych služieb tvorili rozpočtové organizácie v počte 3 (4,05 %), ďalej 1 poskytovateľ s právnou formou zamestnávateľa -  cirkevná organizácia  ( 1,35 %) a 1 poskytovateľ sociálnych služieb s právnou formou zamestnávateľa - združenie (1,35 %), v štruktúre podľa grafu nižšie.</w:t>
      </w:r>
    </w:p>
    <w:p w14:paraId="4C180C4E" w14:textId="77777777" w:rsidR="000C6AA3" w:rsidRPr="000C6AA3" w:rsidRDefault="000C6AA3" w:rsidP="000C6AA3">
      <w:pPr>
        <w:spacing w:after="0"/>
      </w:pPr>
      <w:r w:rsidRPr="000C6AA3">
        <w:rPr>
          <w:noProof/>
        </w:rPr>
        <w:drawing>
          <wp:inline distT="0" distB="0" distL="0" distR="0" wp14:anchorId="664D0677" wp14:editId="5ACA1BC2">
            <wp:extent cx="5760720" cy="2576223"/>
            <wp:effectExtent l="0" t="0" r="11430" b="14605"/>
            <wp:docPr id="8" name="Graf 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19CECC5" w14:textId="1B2AB030" w:rsidR="000C6AA3" w:rsidRPr="000C6AA3" w:rsidRDefault="000C6AA3" w:rsidP="00C32B35">
      <w:pPr>
        <w:pStyle w:val="Nadpis2"/>
      </w:pPr>
      <w:bookmarkStart w:id="135" w:name="_Toc199230845"/>
      <w:r w:rsidRPr="000C6AA3">
        <w:t>Národný projekt „Ľudia a hrady – krok k sociálnej ekonomike"</w:t>
      </w:r>
      <w:bookmarkEnd w:id="135"/>
    </w:p>
    <w:p w14:paraId="0C3412A4" w14:textId="77777777" w:rsidR="000C6AA3" w:rsidRPr="000C6AA3" w:rsidRDefault="000C6AA3" w:rsidP="000C6AA3">
      <w:pPr>
        <w:spacing w:after="0"/>
        <w:ind w:hanging="6"/>
      </w:pPr>
      <w:r w:rsidRPr="000C6AA3">
        <w:rPr>
          <w:bCs/>
        </w:rPr>
        <w:t>Národný projekt</w:t>
      </w:r>
      <w:r w:rsidRPr="000C6AA3">
        <w:t xml:space="preserve"> sa realizuje od 03/2024 do 12/2025 na celom území SR. Cieľom projektu je nastavenie procesov smerujúcich k trvalej udržateľnosti zamestnávania znevýhodnených a zraniteľných osôb. Hlavnou aktivitou národného projektu je podpora zamestnávania osôb prostredníctvom poskytovania finančných príspevkov na vytvorenie, resp. udržanie pracovného miesta, subjektom zapojeným do obnovy národných kultúrnych pamiatok. Národný projekt sa realizuje na základe spolupráce medzi Ministerstvom práce, sociálnych vecí a rodiny, ústredím, Ministerstvom kultúry Slovenskej republiky a Úradom splnomocnenca vlády SR pre rómske komunity. Oprávnení žiadatelia sú obce, mimovládne organizácie, cirkevné právnické osoby, iné právnické alebo fyzické osoby, ktoré budú vykonávať aktivity národného projektu. Oprávnený žiadateľ musí byť buď vlastníkom obnovovanej národnej kultúrnej pamiatky, kultúrnu pamiatku má v dlhodobom prenájme alebo má na obnovu kultúrnej pamiatky zmluvný vzťah s vlastníkom. Zároveň musí byť uvedený v Zozname oprávnených žiadateľov, ktorý pripravilo MK SR ako zoznam kultúrnych pamiatok, ako objektov vhodných na opravu. Oprávnenou cieľovou skupinou projektu je UoZ podľa § 6, ZUoZ podľa §8 ods. 1  a zamestnanci podľa §4 ods. 1 zákona o službách zamestnanosti. V rámci národného projektu sú vytvorené 4 pracovné pozície, konkrétne pomocný zamestnanec, samostatný zamestnanec koordinátor a majster.</w:t>
      </w:r>
    </w:p>
    <w:p w14:paraId="77637452" w14:textId="77727248" w:rsidR="000C6AA3" w:rsidRPr="000C6AA3" w:rsidRDefault="000C6AA3" w:rsidP="00142AFD">
      <w:pPr>
        <w:spacing w:before="120" w:after="0"/>
        <w:ind w:hanging="6"/>
      </w:pPr>
      <w:r w:rsidRPr="000C6AA3">
        <w:t xml:space="preserve">Finančný príspevok na úhradu časti mzdových nákladov je pre rok 2024 sa ma tieto pracovné miesta poskytuje nasledovne: na pozícii pomocný zamestnanec najviac vo výške 1 021,49 </w:t>
      </w:r>
      <w:r w:rsidR="00790522">
        <w:t>eur</w:t>
      </w:r>
      <w:r w:rsidRPr="000C6AA3">
        <w:t>/mesačne na jed</w:t>
      </w:r>
      <w:r w:rsidR="00142AFD">
        <w:t xml:space="preserve">no podporované pracovné miesto, </w:t>
      </w:r>
      <w:r w:rsidRPr="000C6AA3">
        <w:t xml:space="preserve">na pozícii samostatný zamestnanec najviac vo výške 1 276,86 </w:t>
      </w:r>
      <w:r w:rsidR="00790522">
        <w:t>eur</w:t>
      </w:r>
      <w:r w:rsidRPr="000C6AA3">
        <w:t xml:space="preserve">/mesačne na jedno podporované pracovné miesto, na pozícii koordinátor najviac vo výške 1 532,23 </w:t>
      </w:r>
      <w:r w:rsidR="00790522">
        <w:t>eur</w:t>
      </w:r>
      <w:r w:rsidRPr="000C6AA3">
        <w:t xml:space="preserve">/mesačne na jedno podporované pracovné miesto a na pozícii majster najviac vo výške 1 838,68 </w:t>
      </w:r>
      <w:r w:rsidR="00790522">
        <w:t>eur</w:t>
      </w:r>
      <w:r w:rsidRPr="000C6AA3">
        <w:t xml:space="preserve">/mesačne na jedno podporované pracovné miesto. Výška </w:t>
      </w:r>
      <w:r w:rsidRPr="000C6AA3">
        <w:lastRenderedPageBreak/>
        <w:t>poskytovaného finančného príspevku sa počas podporovania valorizuje. Finančný príspevok sa poskytuje na dobu maximálne 18 kalendárnych mesiacov.</w:t>
      </w:r>
    </w:p>
    <w:p w14:paraId="67631881" w14:textId="07A240BC" w:rsidR="000C6AA3" w:rsidRPr="000C6AA3" w:rsidRDefault="000C6AA3" w:rsidP="00C32B35">
      <w:pPr>
        <w:spacing w:before="120" w:after="0"/>
      </w:pPr>
      <w:r w:rsidRPr="000C6AA3">
        <w:t xml:space="preserve">V roku 2024 bolo prijatých v rámci projektu 32 žiadostí oprávnených žiadateľov, z toho ich bolo schválených 31 na vytvorenie 449 PM v celkovej dohodnutej výške 11 420 569,80 Eur. </w:t>
      </w:r>
      <w:r w:rsidRPr="000C6AA3">
        <w:br/>
        <w:t>K 31.</w:t>
      </w:r>
      <w:r w:rsidR="00C32B35">
        <w:t xml:space="preserve"> </w:t>
      </w:r>
      <w:r w:rsidRPr="000C6AA3">
        <w:t>12.</w:t>
      </w:r>
      <w:r w:rsidR="00C32B35">
        <w:t xml:space="preserve"> </w:t>
      </w:r>
      <w:r w:rsidRPr="000C6AA3">
        <w:t>2024 v rámci projektu bolo zaradených 550 osôb, s čerpaním finančných prostriedkov vo výške 5 130 673,33 Eur.</w:t>
      </w:r>
    </w:p>
    <w:p w14:paraId="7E00CD38" w14:textId="6EC6C9C0" w:rsidR="000C6AA3" w:rsidRPr="000C6AA3" w:rsidRDefault="000C6AA3" w:rsidP="00C32B35">
      <w:pPr>
        <w:spacing w:before="120" w:after="0"/>
        <w:ind w:firstLine="0"/>
        <w:rPr>
          <w:rFonts w:eastAsia="Calibri"/>
        </w:rPr>
      </w:pPr>
      <w:r w:rsidRPr="000C6AA3">
        <w:rPr>
          <w:rFonts w:eastAsia="Calibri"/>
        </w:rPr>
        <w:t xml:space="preserve">V roku 2024 bolo do národného projektu zaradených 550 osôb, z toho 510 (92,73%) mužov a 40 (7,27 %) žien. </w:t>
      </w:r>
    </w:p>
    <w:p w14:paraId="154391DB" w14:textId="62AE4D37" w:rsidR="000C6AA3" w:rsidRPr="000C6AA3" w:rsidRDefault="000C6AA3" w:rsidP="00C32B35">
      <w:pPr>
        <w:spacing w:before="120" w:after="0"/>
        <w:ind w:firstLine="0"/>
        <w:rPr>
          <w:rFonts w:eastAsia="Calibri"/>
        </w:rPr>
      </w:pPr>
      <w:r w:rsidRPr="000C6AA3">
        <w:rPr>
          <w:rFonts w:eastAsia="Calibri"/>
        </w:rPr>
        <w:t>Z hľadiska veku tvorili najvyšší podiel zaradených do národného projektu osoby vo veku 30-49 rokov v počte 272 (49,45 %). Za nimi nasledovala skupina vo veku 50 a viac rokov v počte 150 (27,27 %) a veková kategória do 24 rokov v počte 72 (13,09 %). Najmenej zastúpená kategória boli osoby vo veku 25-29 rokov v počte 56 (10,18 %)</w:t>
      </w:r>
      <w:r w:rsidRPr="000C6AA3">
        <w:t>v štruktúre podľa grafu nižšie.</w:t>
      </w:r>
    </w:p>
    <w:p w14:paraId="5C3F45D0" w14:textId="23473056" w:rsidR="000C6AA3" w:rsidRPr="000C6AA3" w:rsidRDefault="000C6AA3" w:rsidP="000C6AA3">
      <w:pPr>
        <w:autoSpaceDE w:val="0"/>
        <w:autoSpaceDN w:val="0"/>
        <w:adjustRightInd w:val="0"/>
        <w:spacing w:after="0"/>
        <w:ind w:firstLine="0"/>
        <w:rPr>
          <w:noProof/>
          <w:sz w:val="20"/>
          <w:szCs w:val="20"/>
        </w:rPr>
      </w:pPr>
      <w:r w:rsidRPr="000C6AA3">
        <w:rPr>
          <w:noProof/>
          <w:sz w:val="20"/>
          <w:szCs w:val="20"/>
        </w:rPr>
        <w:drawing>
          <wp:anchor distT="0" distB="0" distL="114300" distR="114300" simplePos="0" relativeHeight="252621312" behindDoc="0" locked="0" layoutInCell="1" allowOverlap="1" wp14:anchorId="30780649" wp14:editId="48663A79">
            <wp:simplePos x="0" y="0"/>
            <wp:positionH relativeFrom="margin">
              <wp:posOffset>-2540</wp:posOffset>
            </wp:positionH>
            <wp:positionV relativeFrom="paragraph">
              <wp:posOffset>170815</wp:posOffset>
            </wp:positionV>
            <wp:extent cx="5833745" cy="2655570"/>
            <wp:effectExtent l="0" t="0" r="14605" b="11430"/>
            <wp:wrapTopAndBottom/>
            <wp:docPr id="46" name="Graf 4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25B7AE14" w14:textId="7F39E24F" w:rsidR="000C6AA3" w:rsidRPr="000C6AA3" w:rsidRDefault="00DA5282" w:rsidP="00C32B35">
      <w:pPr>
        <w:autoSpaceDE w:val="0"/>
        <w:autoSpaceDN w:val="0"/>
        <w:adjustRightInd w:val="0"/>
        <w:spacing w:before="120" w:after="0"/>
        <w:ind w:firstLine="0"/>
      </w:pPr>
      <w:r w:rsidRPr="000C6AA3">
        <w:rPr>
          <w:noProof/>
          <w:sz w:val="20"/>
          <w:szCs w:val="20"/>
        </w:rPr>
        <w:drawing>
          <wp:anchor distT="0" distB="0" distL="114300" distR="114300" simplePos="0" relativeHeight="252627456" behindDoc="0" locked="0" layoutInCell="1" allowOverlap="1" wp14:anchorId="1131D777" wp14:editId="78B06701">
            <wp:simplePos x="0" y="0"/>
            <wp:positionH relativeFrom="margin">
              <wp:posOffset>-2540</wp:posOffset>
            </wp:positionH>
            <wp:positionV relativeFrom="page">
              <wp:posOffset>6980721</wp:posOffset>
            </wp:positionV>
            <wp:extent cx="5825490" cy="2838450"/>
            <wp:effectExtent l="0" t="0" r="3810" b="0"/>
            <wp:wrapTopAndBottom/>
            <wp:docPr id="25" name="Graf 2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0C6AA3" w:rsidRPr="000C6AA3">
        <w:t>Z hľadiska dĺžky evidencie bolo v roku 2024 najviac zaradených v počte 253 (46 %) zo skupiny UoZ v evidencii od 4 do 6 mesiacov, druhú skupinu tvorili UoZ, ktorí boli vedení v evidencii do 3 mesiacov 169 (30,73 %). Tretiu skupinu tvorili UoZ vedení v evidencii UoZ dlhšie ako 24 mesiacov, ktorých bolo 61 (11,09 %). Najmenej zastúpenými kategóriami boli evidovaní od 7 do 12 mesiacov v počte 44 (8 %) a evidovaní od 13 do24 mesiacov v počte 23 (4,18 %) v štruktúre podľa grafu nižšie.</w:t>
      </w:r>
    </w:p>
    <w:p w14:paraId="3DBE9118" w14:textId="620ABF28" w:rsidR="000C6AA3" w:rsidRPr="000C6AA3" w:rsidRDefault="000C6AA3" w:rsidP="00C32B35">
      <w:pPr>
        <w:autoSpaceDE w:val="0"/>
        <w:autoSpaceDN w:val="0"/>
        <w:adjustRightInd w:val="0"/>
        <w:spacing w:before="120" w:after="120"/>
        <w:ind w:firstLine="0"/>
        <w:rPr>
          <w:lang w:eastAsia="cs-CZ"/>
        </w:rPr>
      </w:pPr>
      <w:r w:rsidRPr="000C6AA3">
        <w:rPr>
          <w:lang w:eastAsia="cs-CZ"/>
        </w:rPr>
        <w:lastRenderedPageBreak/>
        <w:t>V roku 2024 v rámci národného projektu ukončilo účasť na AOTP 108 osôb, pričom 18 sa do evidencie vrátilo do 1 mesiaca, 25 do 3 mesiacov a 30 do 6 mesiacov.</w:t>
      </w:r>
    </w:p>
    <w:p w14:paraId="3A1F34DB" w14:textId="64D73FD1" w:rsidR="000C6AA3" w:rsidRDefault="008F6451" w:rsidP="00C32B35">
      <w:pPr>
        <w:autoSpaceDE w:val="0"/>
        <w:autoSpaceDN w:val="0"/>
        <w:adjustRightInd w:val="0"/>
        <w:spacing w:before="120" w:after="120"/>
        <w:ind w:firstLine="0"/>
      </w:pPr>
      <w:r w:rsidRPr="000C6AA3">
        <w:rPr>
          <w:noProof/>
          <w:sz w:val="20"/>
          <w:szCs w:val="20"/>
        </w:rPr>
        <w:drawing>
          <wp:anchor distT="0" distB="0" distL="114300" distR="114300" simplePos="0" relativeHeight="252635648" behindDoc="0" locked="0" layoutInCell="1" allowOverlap="1" wp14:anchorId="0291A54F" wp14:editId="6F15414A">
            <wp:simplePos x="0" y="0"/>
            <wp:positionH relativeFrom="margin">
              <wp:posOffset>-2706</wp:posOffset>
            </wp:positionH>
            <wp:positionV relativeFrom="paragraph">
              <wp:posOffset>1455447</wp:posOffset>
            </wp:positionV>
            <wp:extent cx="5862955" cy="2800985"/>
            <wp:effectExtent l="0" t="0" r="4445" b="18415"/>
            <wp:wrapNone/>
            <wp:docPr id="502" name="Graf 50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0C6AA3" w:rsidRPr="000C6AA3">
        <w:t>Celkový počet zapojených ZUoZ bol 466, pričom najpočetnejšou skupinou tvorili občania so vzdelaním nižším ako stredné odborné vzdelanie v počte 297 (40,80 %). Za nimi nasledovala skupina osôb, ktoré za 12 kalendárnych mesiacov nemali pravidelne platené zamestnanie v počte 206 (28,30 %) a osoby staršie ako 50 rokov veku v počte 136 (18,68 %). S nižším zastúpením boli dlhodobo nezamestnaní občania v počte 50 (6,87 %), občania so zdravotným postihnutím v počte 24 (3,30 %) a absolventi škôl v počte 12 (1,65 %). Najmenej zastúpenými boli osamelý občania so starostlivosťou o odkázanú osobu alebo starajúci sa o dieťa v počte 3 (0,41 %). UoZ môže zároveň spĺňať viac znevýhodnení naraz, v štruktúre podľa grafu nižšie.</w:t>
      </w:r>
    </w:p>
    <w:p w14:paraId="30B81369" w14:textId="073AB89F" w:rsidR="008F6451" w:rsidRDefault="008F6451" w:rsidP="00C32B35">
      <w:pPr>
        <w:autoSpaceDE w:val="0"/>
        <w:autoSpaceDN w:val="0"/>
        <w:adjustRightInd w:val="0"/>
        <w:spacing w:before="120" w:after="120"/>
        <w:ind w:firstLine="0"/>
      </w:pPr>
    </w:p>
    <w:p w14:paraId="72C969A6" w14:textId="77777777" w:rsidR="008F6451" w:rsidRPr="000C6AA3" w:rsidRDefault="008F6451" w:rsidP="00C32B35">
      <w:pPr>
        <w:autoSpaceDE w:val="0"/>
        <w:autoSpaceDN w:val="0"/>
        <w:adjustRightInd w:val="0"/>
        <w:spacing w:before="120" w:after="120"/>
        <w:ind w:firstLine="0"/>
      </w:pPr>
    </w:p>
    <w:p w14:paraId="5A3B9491" w14:textId="3C55D918" w:rsidR="000C6AA3" w:rsidRPr="000C6AA3" w:rsidRDefault="000C6AA3" w:rsidP="000C6AA3">
      <w:pPr>
        <w:autoSpaceDE w:val="0"/>
        <w:autoSpaceDN w:val="0"/>
        <w:adjustRightInd w:val="0"/>
        <w:spacing w:after="0"/>
        <w:ind w:firstLine="0"/>
        <w:jc w:val="left"/>
        <w:rPr>
          <w:lang w:eastAsia="cs-CZ"/>
        </w:rPr>
      </w:pPr>
    </w:p>
    <w:p w14:paraId="742AB2C9" w14:textId="733A9F00" w:rsidR="00DA5282" w:rsidRDefault="00DA5282" w:rsidP="000C6AA3">
      <w:pPr>
        <w:spacing w:after="0"/>
        <w:rPr>
          <w:bCs/>
        </w:rPr>
      </w:pPr>
    </w:p>
    <w:p w14:paraId="09C5562A" w14:textId="548DA483" w:rsidR="00DA5282" w:rsidRDefault="00DA5282" w:rsidP="000C6AA3">
      <w:pPr>
        <w:spacing w:after="0"/>
        <w:rPr>
          <w:bCs/>
        </w:rPr>
      </w:pPr>
    </w:p>
    <w:p w14:paraId="30C47F19" w14:textId="30BF6187" w:rsidR="00DA5282" w:rsidRDefault="00DA5282" w:rsidP="000C6AA3">
      <w:pPr>
        <w:spacing w:after="0"/>
        <w:rPr>
          <w:bCs/>
        </w:rPr>
      </w:pPr>
    </w:p>
    <w:p w14:paraId="76013243" w14:textId="3F3E5B17" w:rsidR="00DA5282" w:rsidRDefault="00DA5282" w:rsidP="000C6AA3">
      <w:pPr>
        <w:spacing w:after="0"/>
        <w:rPr>
          <w:bCs/>
        </w:rPr>
      </w:pPr>
    </w:p>
    <w:p w14:paraId="1641F919" w14:textId="3F77CA6C" w:rsidR="00DA5282" w:rsidRDefault="00DA5282" w:rsidP="000C6AA3">
      <w:pPr>
        <w:spacing w:after="0"/>
        <w:rPr>
          <w:bCs/>
        </w:rPr>
      </w:pPr>
    </w:p>
    <w:p w14:paraId="784FCA24" w14:textId="11AFAFD9" w:rsidR="00DA5282" w:rsidRDefault="00DA5282" w:rsidP="000C6AA3">
      <w:pPr>
        <w:spacing w:after="0"/>
        <w:rPr>
          <w:bCs/>
        </w:rPr>
      </w:pPr>
    </w:p>
    <w:p w14:paraId="3FF7579E" w14:textId="44BDD415" w:rsidR="00DA5282" w:rsidRDefault="00DA5282" w:rsidP="000C6AA3">
      <w:pPr>
        <w:spacing w:after="0"/>
        <w:rPr>
          <w:bCs/>
        </w:rPr>
      </w:pPr>
    </w:p>
    <w:p w14:paraId="0192AFF9" w14:textId="052281E9" w:rsidR="00DA5282" w:rsidRDefault="00DA5282" w:rsidP="000C6AA3">
      <w:pPr>
        <w:spacing w:after="0"/>
        <w:rPr>
          <w:bCs/>
        </w:rPr>
      </w:pPr>
    </w:p>
    <w:p w14:paraId="259A84CF" w14:textId="4297F619" w:rsidR="00DA5282" w:rsidRDefault="00DA5282" w:rsidP="000C6AA3">
      <w:pPr>
        <w:spacing w:after="0"/>
        <w:rPr>
          <w:bCs/>
        </w:rPr>
      </w:pPr>
    </w:p>
    <w:p w14:paraId="2A583F9F" w14:textId="2F17641C" w:rsidR="00DA5282" w:rsidRDefault="00DA5282" w:rsidP="000C6AA3">
      <w:pPr>
        <w:spacing w:after="0"/>
        <w:rPr>
          <w:bCs/>
        </w:rPr>
      </w:pPr>
    </w:p>
    <w:p w14:paraId="75E79993" w14:textId="77777777" w:rsidR="008F6451" w:rsidRDefault="008F6451" w:rsidP="000C6AA3">
      <w:pPr>
        <w:spacing w:after="0"/>
        <w:rPr>
          <w:bCs/>
        </w:rPr>
      </w:pPr>
    </w:p>
    <w:p w14:paraId="360398B0" w14:textId="77777777" w:rsidR="008F6451" w:rsidRDefault="008F6451" w:rsidP="000C6AA3">
      <w:pPr>
        <w:spacing w:after="0"/>
        <w:rPr>
          <w:bCs/>
        </w:rPr>
      </w:pPr>
    </w:p>
    <w:p w14:paraId="7E728FEE" w14:textId="77777777" w:rsidR="008F6451" w:rsidRDefault="008F6451" w:rsidP="000C6AA3">
      <w:pPr>
        <w:spacing w:after="0"/>
        <w:rPr>
          <w:bCs/>
        </w:rPr>
      </w:pPr>
    </w:p>
    <w:p w14:paraId="3ABF64CE" w14:textId="076EDE4A" w:rsidR="000C6AA3" w:rsidRDefault="000C6AA3" w:rsidP="000C6AA3">
      <w:pPr>
        <w:spacing w:after="0"/>
      </w:pPr>
      <w:r w:rsidRPr="000C6AA3">
        <w:rPr>
          <w:bCs/>
        </w:rPr>
        <w:t>Z hľadiska profesie</w:t>
      </w:r>
      <w:r w:rsidRPr="000C6AA3">
        <w:t xml:space="preserve"> (SK ISCO), ktorú v rámci projektu najväčšiu skupinu tvorili UoZ, ktorí pracovali ako pomocní a nekvalifikovaní pracovníci v počte 316 UoZ (57,45 %) z celkového počtu 550 zaradených. Ďalšou väčšou skupinou boli kvalifikovaní pracovníci a remeselníci v počte 164 UoZ (29,82 %). Za nimi nasledovali technici a odborní pracovníci v počte 57 UoZ (10,36 %), špecialisti v počte 8 UoZ (1,45 %) a zákonodarcovia, riadiaci pracovníci v počte 5 UoZ (0,91 %) v štruktúre podľa grafu nižšie.</w:t>
      </w:r>
    </w:p>
    <w:p w14:paraId="04012B8D" w14:textId="4549F289" w:rsidR="008F6451" w:rsidRDefault="008F6451" w:rsidP="000C6AA3">
      <w:pPr>
        <w:spacing w:after="0"/>
      </w:pPr>
      <w:r w:rsidRPr="000C6AA3">
        <w:rPr>
          <w:noProof/>
          <w:sz w:val="20"/>
          <w:szCs w:val="20"/>
        </w:rPr>
        <w:drawing>
          <wp:anchor distT="0" distB="0" distL="114300" distR="114300" simplePos="0" relativeHeight="252633600" behindDoc="0" locked="0" layoutInCell="1" allowOverlap="1" wp14:anchorId="608D3BBF" wp14:editId="18E76AB0">
            <wp:simplePos x="0" y="0"/>
            <wp:positionH relativeFrom="margin">
              <wp:posOffset>-57592</wp:posOffset>
            </wp:positionH>
            <wp:positionV relativeFrom="page">
              <wp:posOffset>6599583</wp:posOffset>
            </wp:positionV>
            <wp:extent cx="5852160" cy="2861945"/>
            <wp:effectExtent l="0" t="0" r="15240" b="14605"/>
            <wp:wrapNone/>
            <wp:docPr id="503" name="Graf 50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024468C5" w14:textId="369B86C1" w:rsidR="008F6451" w:rsidRDefault="008F6451" w:rsidP="000C6AA3">
      <w:pPr>
        <w:spacing w:after="0"/>
      </w:pPr>
    </w:p>
    <w:p w14:paraId="078D7501" w14:textId="5FCFE325" w:rsidR="008F6451" w:rsidRDefault="008F6451" w:rsidP="000C6AA3">
      <w:pPr>
        <w:spacing w:after="0"/>
      </w:pPr>
    </w:p>
    <w:p w14:paraId="461A8459" w14:textId="77777777" w:rsidR="008F6451" w:rsidRPr="000C6AA3" w:rsidRDefault="008F6451" w:rsidP="000C6AA3">
      <w:pPr>
        <w:spacing w:after="0"/>
      </w:pPr>
    </w:p>
    <w:p w14:paraId="7E025694" w14:textId="54C484AA" w:rsidR="000C6AA3" w:rsidRDefault="000C6AA3" w:rsidP="000C6AA3">
      <w:pPr>
        <w:autoSpaceDE w:val="0"/>
        <w:autoSpaceDN w:val="0"/>
        <w:adjustRightInd w:val="0"/>
        <w:spacing w:after="0"/>
        <w:ind w:firstLine="0"/>
        <w:jc w:val="left"/>
        <w:rPr>
          <w:lang w:eastAsia="cs-CZ"/>
        </w:rPr>
      </w:pPr>
    </w:p>
    <w:p w14:paraId="12225935" w14:textId="6098E840" w:rsidR="008F6451" w:rsidRDefault="008F6451" w:rsidP="000C6AA3">
      <w:pPr>
        <w:autoSpaceDE w:val="0"/>
        <w:autoSpaceDN w:val="0"/>
        <w:adjustRightInd w:val="0"/>
        <w:spacing w:after="0"/>
        <w:ind w:firstLine="0"/>
        <w:jc w:val="left"/>
        <w:rPr>
          <w:lang w:eastAsia="cs-CZ"/>
        </w:rPr>
      </w:pPr>
    </w:p>
    <w:p w14:paraId="2575D61B" w14:textId="45226405" w:rsidR="008F6451" w:rsidRDefault="008F6451" w:rsidP="000C6AA3">
      <w:pPr>
        <w:autoSpaceDE w:val="0"/>
        <w:autoSpaceDN w:val="0"/>
        <w:adjustRightInd w:val="0"/>
        <w:spacing w:after="0"/>
        <w:ind w:firstLine="0"/>
        <w:jc w:val="left"/>
        <w:rPr>
          <w:lang w:eastAsia="cs-CZ"/>
        </w:rPr>
      </w:pPr>
    </w:p>
    <w:p w14:paraId="5363F778" w14:textId="2FEA966E" w:rsidR="008F6451" w:rsidRDefault="008F6451" w:rsidP="000C6AA3">
      <w:pPr>
        <w:autoSpaceDE w:val="0"/>
        <w:autoSpaceDN w:val="0"/>
        <w:adjustRightInd w:val="0"/>
        <w:spacing w:after="0"/>
        <w:ind w:firstLine="0"/>
        <w:jc w:val="left"/>
        <w:rPr>
          <w:lang w:eastAsia="cs-CZ"/>
        </w:rPr>
      </w:pPr>
    </w:p>
    <w:p w14:paraId="5599D1A0" w14:textId="631001A7" w:rsidR="008F6451" w:rsidRDefault="008F6451" w:rsidP="000C6AA3">
      <w:pPr>
        <w:autoSpaceDE w:val="0"/>
        <w:autoSpaceDN w:val="0"/>
        <w:adjustRightInd w:val="0"/>
        <w:spacing w:after="0"/>
        <w:ind w:firstLine="0"/>
        <w:jc w:val="left"/>
        <w:rPr>
          <w:lang w:eastAsia="cs-CZ"/>
        </w:rPr>
      </w:pPr>
    </w:p>
    <w:p w14:paraId="781C4286" w14:textId="015E9B2F" w:rsidR="008F6451" w:rsidRDefault="008F6451" w:rsidP="000C6AA3">
      <w:pPr>
        <w:autoSpaceDE w:val="0"/>
        <w:autoSpaceDN w:val="0"/>
        <w:adjustRightInd w:val="0"/>
        <w:spacing w:after="0"/>
        <w:ind w:firstLine="0"/>
        <w:jc w:val="left"/>
        <w:rPr>
          <w:lang w:eastAsia="cs-CZ"/>
        </w:rPr>
      </w:pPr>
    </w:p>
    <w:p w14:paraId="25741BDD" w14:textId="3C4743E4" w:rsidR="008F6451" w:rsidRDefault="008F6451" w:rsidP="000C6AA3">
      <w:pPr>
        <w:autoSpaceDE w:val="0"/>
        <w:autoSpaceDN w:val="0"/>
        <w:adjustRightInd w:val="0"/>
        <w:spacing w:after="0"/>
        <w:ind w:firstLine="0"/>
        <w:jc w:val="left"/>
        <w:rPr>
          <w:lang w:eastAsia="cs-CZ"/>
        </w:rPr>
      </w:pPr>
    </w:p>
    <w:p w14:paraId="15045381" w14:textId="6B65E982" w:rsidR="008F6451" w:rsidRDefault="008F6451" w:rsidP="000C6AA3">
      <w:pPr>
        <w:autoSpaceDE w:val="0"/>
        <w:autoSpaceDN w:val="0"/>
        <w:adjustRightInd w:val="0"/>
        <w:spacing w:after="0"/>
        <w:ind w:firstLine="0"/>
        <w:jc w:val="left"/>
        <w:rPr>
          <w:lang w:eastAsia="cs-CZ"/>
        </w:rPr>
      </w:pPr>
    </w:p>
    <w:p w14:paraId="3FBC1B1C" w14:textId="6ABE347B" w:rsidR="008F6451" w:rsidRDefault="008F6451" w:rsidP="000C6AA3">
      <w:pPr>
        <w:autoSpaceDE w:val="0"/>
        <w:autoSpaceDN w:val="0"/>
        <w:adjustRightInd w:val="0"/>
        <w:spacing w:after="0"/>
        <w:ind w:firstLine="0"/>
        <w:jc w:val="left"/>
        <w:rPr>
          <w:lang w:eastAsia="cs-CZ"/>
        </w:rPr>
      </w:pPr>
    </w:p>
    <w:p w14:paraId="1DF04806" w14:textId="09157FBA" w:rsidR="008F6451" w:rsidRDefault="008F6451" w:rsidP="000C6AA3">
      <w:pPr>
        <w:autoSpaceDE w:val="0"/>
        <w:autoSpaceDN w:val="0"/>
        <w:adjustRightInd w:val="0"/>
        <w:spacing w:after="0"/>
        <w:ind w:firstLine="0"/>
        <w:jc w:val="left"/>
        <w:rPr>
          <w:lang w:eastAsia="cs-CZ"/>
        </w:rPr>
      </w:pPr>
    </w:p>
    <w:p w14:paraId="18D1BA05" w14:textId="1E862828" w:rsidR="008F6451" w:rsidRDefault="008F6451" w:rsidP="000C6AA3">
      <w:pPr>
        <w:autoSpaceDE w:val="0"/>
        <w:autoSpaceDN w:val="0"/>
        <w:adjustRightInd w:val="0"/>
        <w:spacing w:after="0"/>
        <w:ind w:firstLine="0"/>
        <w:jc w:val="left"/>
        <w:rPr>
          <w:lang w:eastAsia="cs-CZ"/>
        </w:rPr>
      </w:pPr>
    </w:p>
    <w:p w14:paraId="1BBF579B" w14:textId="21235CE7" w:rsidR="008F6451" w:rsidRDefault="008F6451" w:rsidP="000C6AA3">
      <w:pPr>
        <w:autoSpaceDE w:val="0"/>
        <w:autoSpaceDN w:val="0"/>
        <w:adjustRightInd w:val="0"/>
        <w:spacing w:after="0"/>
        <w:ind w:firstLine="0"/>
        <w:jc w:val="left"/>
        <w:rPr>
          <w:lang w:eastAsia="cs-CZ"/>
        </w:rPr>
      </w:pPr>
    </w:p>
    <w:p w14:paraId="64AFCF73" w14:textId="2B0F73F6" w:rsidR="008F6451" w:rsidRDefault="008F6451" w:rsidP="000C6AA3">
      <w:pPr>
        <w:autoSpaceDE w:val="0"/>
        <w:autoSpaceDN w:val="0"/>
        <w:adjustRightInd w:val="0"/>
        <w:spacing w:after="0"/>
        <w:ind w:firstLine="0"/>
        <w:jc w:val="left"/>
        <w:rPr>
          <w:lang w:eastAsia="cs-CZ"/>
        </w:rPr>
      </w:pPr>
    </w:p>
    <w:p w14:paraId="0AE07C56" w14:textId="77777777" w:rsidR="008F6451" w:rsidRPr="000C6AA3" w:rsidRDefault="008F6451" w:rsidP="000C6AA3">
      <w:pPr>
        <w:autoSpaceDE w:val="0"/>
        <w:autoSpaceDN w:val="0"/>
        <w:adjustRightInd w:val="0"/>
        <w:spacing w:after="0"/>
        <w:ind w:firstLine="0"/>
        <w:jc w:val="left"/>
        <w:rPr>
          <w:lang w:eastAsia="cs-CZ"/>
        </w:rPr>
      </w:pPr>
    </w:p>
    <w:p w14:paraId="5C11977D" w14:textId="76637C9E" w:rsidR="000C6AA3" w:rsidRPr="00C32B35" w:rsidRDefault="000C6AA3" w:rsidP="00C32B35">
      <w:pPr>
        <w:spacing w:after="0"/>
        <w:ind w:firstLine="0"/>
        <w:rPr>
          <w:rFonts w:eastAsia="Calibri"/>
        </w:rPr>
      </w:pPr>
      <w:r w:rsidRPr="000C6AA3">
        <w:rPr>
          <w:rFonts w:eastAsia="Calibri"/>
        </w:rPr>
        <w:lastRenderedPageBreak/>
        <w:t>Z hľadiska vzdelania tvorilo najviac UoZ v počte 205 (37,27 %) so základným vzdelaním, nasledovali UoZ so stredným odborným vzdelaním v počte 147 UoZ (26,73 %), s neukončeným základným vzdelaním 78 UoZ (14,18 %), UoZ s úplným stredným odborným vzdelaním v počte 68 (12,36 %), s VŠ II. stupňa 23 UoZ (4,18 %), s nižším stredným odborným vzdelaním 18 UoZ (3,27 %), úplné stredné všeobecné vzdelanie mali 6 UoZ (1,09%), vysokoškolské vzdelanie II. stupňa mali 3 UoZ (0,55 %). Najmenej početnými skupinami boli UoZ s vyšším odborným vzdelaním a VŠ vzdelaním III. stupňa, kde bolo po 1 UoZ (0,18 %) v štruktúre podľa grafu nižšie.</w:t>
      </w:r>
    </w:p>
    <w:p w14:paraId="01628EB7" w14:textId="77611A51" w:rsidR="000C6AA3" w:rsidRDefault="008F6451" w:rsidP="000C6AA3">
      <w:r>
        <w:rPr>
          <w:noProof/>
          <w:sz w:val="20"/>
          <w:szCs w:val="20"/>
          <w:highlight w:val="yellow"/>
        </w:rPr>
        <w:drawing>
          <wp:anchor distT="0" distB="0" distL="114300" distR="114300" simplePos="0" relativeHeight="252631552" behindDoc="0" locked="0" layoutInCell="1" allowOverlap="1" wp14:anchorId="1A151923" wp14:editId="741F7DBF">
            <wp:simplePos x="0" y="0"/>
            <wp:positionH relativeFrom="margin">
              <wp:posOffset>29873</wp:posOffset>
            </wp:positionH>
            <wp:positionV relativeFrom="page">
              <wp:posOffset>1971923</wp:posOffset>
            </wp:positionV>
            <wp:extent cx="5811520" cy="3244133"/>
            <wp:effectExtent l="0" t="0" r="17780" b="13970"/>
            <wp:wrapNone/>
            <wp:docPr id="504" name="Graf 50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3483F809" w14:textId="7F6F4170" w:rsidR="003A5C8D" w:rsidRDefault="003A5C8D" w:rsidP="000C6AA3"/>
    <w:p w14:paraId="23C6AB4E" w14:textId="18FCA6ED" w:rsidR="003A5C8D" w:rsidRDefault="003A5C8D" w:rsidP="000C6AA3"/>
    <w:p w14:paraId="271D581C" w14:textId="5B223180" w:rsidR="003A5C8D" w:rsidRDefault="003A5C8D" w:rsidP="000C6AA3"/>
    <w:p w14:paraId="1F6251D2" w14:textId="38F075B3" w:rsidR="003A5C8D" w:rsidRDefault="003A5C8D" w:rsidP="000C6AA3"/>
    <w:p w14:paraId="6DBEB305" w14:textId="0DF23E64" w:rsidR="003A5C8D" w:rsidRDefault="003A5C8D" w:rsidP="000C6AA3"/>
    <w:p w14:paraId="49F1F980" w14:textId="14ED81E9" w:rsidR="003A5C8D" w:rsidRDefault="003A5C8D" w:rsidP="000C6AA3"/>
    <w:p w14:paraId="68BD4F5B" w14:textId="620F1337" w:rsidR="003A5C8D" w:rsidRDefault="003A5C8D" w:rsidP="000C6AA3"/>
    <w:p w14:paraId="43D1E421" w14:textId="118110F0" w:rsidR="003A5C8D" w:rsidRDefault="003A5C8D" w:rsidP="000C6AA3"/>
    <w:p w14:paraId="576AC656" w14:textId="1212A3C7" w:rsidR="003A5C8D" w:rsidRDefault="003A5C8D" w:rsidP="000C6AA3"/>
    <w:p w14:paraId="6CDB92B7" w14:textId="7894CFDB" w:rsidR="003A5C8D" w:rsidRDefault="003A5C8D" w:rsidP="000C6AA3"/>
    <w:p w14:paraId="7EE7B2C6" w14:textId="16B4A4BB" w:rsidR="003A5C8D" w:rsidRDefault="003A5C8D" w:rsidP="000C6AA3"/>
    <w:p w14:paraId="65E1A73A" w14:textId="1EAD8DE1" w:rsidR="003A5C8D" w:rsidRDefault="003A5C8D" w:rsidP="000C6AA3"/>
    <w:p w14:paraId="5D684E38" w14:textId="20A3025D" w:rsidR="003A5C8D" w:rsidRDefault="003A5C8D" w:rsidP="000C6AA3"/>
    <w:p w14:paraId="124EF025" w14:textId="6C69AEA9" w:rsidR="000C6AA3" w:rsidRDefault="000C6AA3" w:rsidP="000C6AA3"/>
    <w:p w14:paraId="22F2DD92" w14:textId="00CF21C2" w:rsidR="003A5C8D" w:rsidRDefault="003A5C8D" w:rsidP="000C6AA3"/>
    <w:p w14:paraId="254EC9FF" w14:textId="56636776" w:rsidR="003A5C8D" w:rsidRDefault="003A5C8D" w:rsidP="000C6AA3"/>
    <w:p w14:paraId="045319D8" w14:textId="61433490" w:rsidR="00F86483" w:rsidRPr="00264159" w:rsidRDefault="00F86483" w:rsidP="00264159">
      <w:pPr>
        <w:pStyle w:val="Nadpis2"/>
        <w:jc w:val="both"/>
        <w:rPr>
          <w:rFonts w:eastAsia="Calibri"/>
        </w:rPr>
      </w:pPr>
      <w:bookmarkStart w:id="136" w:name="_Toc199230846"/>
      <w:bookmarkStart w:id="137" w:name="_Hlk103548319"/>
      <w:bookmarkStart w:id="138" w:name="_Toc515876462"/>
      <w:bookmarkStart w:id="139" w:name="_Toc37094656"/>
      <w:bookmarkEnd w:id="130"/>
      <w:bookmarkEnd w:id="131"/>
      <w:bookmarkEnd w:id="133"/>
      <w:bookmarkEnd w:id="134"/>
      <w:r w:rsidRPr="00264159">
        <w:rPr>
          <w:rFonts w:eastAsia="Calibri"/>
        </w:rPr>
        <w:t>Projekty realizované podľa § 54 zákona o službách zamestnanosti, financované</w:t>
      </w:r>
      <w:r w:rsidR="00BB3230" w:rsidRPr="00264159">
        <w:rPr>
          <w:rFonts w:eastAsia="Calibri"/>
        </w:rPr>
        <w:br/>
      </w:r>
      <w:r w:rsidRPr="00264159">
        <w:rPr>
          <w:rFonts w:eastAsia="Calibri"/>
        </w:rPr>
        <w:t>zo štátneho rozpočtu Slovenskej republiky</w:t>
      </w:r>
      <w:bookmarkEnd w:id="136"/>
    </w:p>
    <w:p w14:paraId="10512905" w14:textId="02AEAA88" w:rsidR="00215F0B" w:rsidRDefault="003E1BDC" w:rsidP="00264159">
      <w:pPr>
        <w:pStyle w:val="Nadpis3"/>
      </w:pPr>
      <w:bookmarkStart w:id="140" w:name="_Hlk37973258"/>
      <w:bookmarkStart w:id="141" w:name="_Toc199230847"/>
      <w:r w:rsidRPr="00264159">
        <w:t>Motivačný interný projekt  pre mladých do 29 rokov</w:t>
      </w:r>
      <w:r w:rsidR="006106CB" w:rsidRPr="00264159">
        <w:t xml:space="preserve"> </w:t>
      </w:r>
      <w:r w:rsidR="007D39C0" w:rsidRPr="00264159">
        <w:t>„</w:t>
      </w:r>
      <w:r w:rsidRPr="00264159">
        <w:t>Buď aktívny</w:t>
      </w:r>
      <w:r w:rsidR="00B15FBC" w:rsidRPr="00264159">
        <w:t>,</w:t>
      </w:r>
      <w:r w:rsidRPr="00264159">
        <w:t xml:space="preserve"> zamestnaj sa“</w:t>
      </w:r>
      <w:bookmarkEnd w:id="137"/>
      <w:bookmarkEnd w:id="140"/>
      <w:bookmarkEnd w:id="141"/>
    </w:p>
    <w:p w14:paraId="589CF482" w14:textId="77777777" w:rsidR="00073133" w:rsidRDefault="00073133" w:rsidP="00073133">
      <w:pPr>
        <w:spacing w:before="120" w:after="0"/>
        <w:ind w:hanging="6"/>
      </w:pPr>
      <w:r>
        <w:t>V roku 2024 pokračovala na úrade Bratislava, Pezinok a Malacky realizácia interného motivačného projektu „Buď aktívny, zamestnaj sa“, určeného pre mladých do 29 rokov. Tento projekt je  realizovaný v súlade s Národným plánom implementácie Záruky pre mladých ľudí v SR, ktorý prerokovala a vzala na vedomie vláda SR na svojom rokovaní dňa 05.02.2014. Cieľom projektu je motivovať mladých UoZ do 29 rokov k zvyšovaniu zamestnanosti, zvýšením ich záujmu uplatniť získané zručnosti, znalosti a praktické skúsenosti v praxi na otvorenom TP,  ale aj ich zamestnateľnosti.</w:t>
      </w:r>
    </w:p>
    <w:p w14:paraId="420B1001" w14:textId="4A3D1E67" w:rsidR="00073133" w:rsidRDefault="00073133" w:rsidP="00073133">
      <w:pPr>
        <w:spacing w:before="120" w:after="0"/>
        <w:ind w:hanging="6"/>
      </w:pPr>
      <w:r>
        <w:t xml:space="preserve">V rámci tohto projektu mali UoZ možnosť využiť jednotlivé AOTP, OPS, účasť na VK, národných a regionálnych projektoch realizovaných úradom, samostatný informačno-poradenský nástroj - internetový portál na vyhľadávanie VPM </w:t>
      </w:r>
      <w:hyperlink r:id="rId62" w:history="1">
        <w:r w:rsidR="00D86689" w:rsidRPr="00796CE9">
          <w:rPr>
            <w:rStyle w:val="Hypertextovprepojenie"/>
          </w:rPr>
          <w:t>http://www.sluzbyzamestnanosti.gov.sk</w:t>
        </w:r>
      </w:hyperlink>
      <w:r w:rsidR="00D86689">
        <w:rPr>
          <w:color w:val="1F497D" w:themeColor="text2"/>
        </w:rPr>
        <w:t xml:space="preserve"> </w:t>
      </w:r>
      <w:r w:rsidRPr="00D86689">
        <w:t xml:space="preserve"> </w:t>
      </w:r>
      <w:r w:rsidR="00E62ABB">
        <w:t>(</w:t>
      </w:r>
      <w:r>
        <w:t xml:space="preserve">od 1. 2. 2022), ktorý okrem iného šetrí UoZ finančné prostriedky, čas pri hľadaní si vhodného zamestnania na základe vlastných požiadaviek a kontaktuje zamestnávateľa z pohodlia domova. Projekt bol ukončený k 30. 6. 2024. </w:t>
      </w:r>
    </w:p>
    <w:p w14:paraId="3D71C1D1" w14:textId="12FE4C9F" w:rsidR="00073133" w:rsidRDefault="00073133" w:rsidP="00073133">
      <w:pPr>
        <w:spacing w:before="120" w:after="0"/>
        <w:ind w:hanging="6"/>
      </w:pPr>
      <w:r>
        <w:t xml:space="preserve">Do projektu bolo od začiatku jeho realizácie zaradených 97 212 UoZ/mladých do 29 rokov, čo predstavuje 93,16 % z celkového počtu UoZ do 29 rokov evidovaných na úradoch k začiatku realizácie projektu (104 349). </w:t>
      </w:r>
    </w:p>
    <w:p w14:paraId="63596188" w14:textId="50254564" w:rsidR="002A4740" w:rsidRPr="002A4740" w:rsidRDefault="00073133" w:rsidP="00073133">
      <w:pPr>
        <w:spacing w:before="120" w:after="0"/>
        <w:ind w:hanging="6"/>
      </w:pPr>
      <w:r>
        <w:t xml:space="preserve">Projekt bol zabezpečovaný vlastnými zamestnancami úradov, bez finančných nárokov z AOTP. Intenzívnou individuálnou prácou sa nám podarilo umiestniť na trhu práce 47 775 UoZ, čo je 49,14 % z počtu zaradených mladých UoZ do interného motivačného projektu. </w:t>
      </w:r>
      <w:r w:rsidR="002A4740" w:rsidRPr="002A4740">
        <w:t xml:space="preserve">V roku 2023 pokračovala na úrade Bratislava, Pezinok a Malacky realizácia interného motivačného projektu </w:t>
      </w:r>
      <w:r w:rsidR="002A4740" w:rsidRPr="002A4740">
        <w:lastRenderedPageBreak/>
        <w:t>„Buď aktívny, zamestnaj sa“, určeného pre mladých do 29 rokov. Tento projekt je  realizovaný v súlade s Národným plánom implementácie Záruky pre mladých ľudí     v SR, ktorý prerokovala a vzala na vedomie vlád</w:t>
      </w:r>
      <w:r w:rsidR="00737E8B">
        <w:t xml:space="preserve">a SR na svojom rokovaní dňa 5. </w:t>
      </w:r>
      <w:r w:rsidR="002A4740" w:rsidRPr="002A4740">
        <w:t>2.</w:t>
      </w:r>
      <w:r w:rsidR="00737E8B">
        <w:t xml:space="preserve"> </w:t>
      </w:r>
      <w:r w:rsidR="002A4740" w:rsidRPr="002A4740">
        <w:t>2014. Cieľom projektu je motivovať mladých UoZ do 29 rokov k zvyšovaniu zamestnanosti, zvýšením ich záujmu uplatniť získané zručnosti, znalosti a praktické skúsenosti v praxi na otvorenom TP,  ale aj ich zamestnateľnosti.</w:t>
      </w:r>
    </w:p>
    <w:p w14:paraId="5F2D1DA4" w14:textId="4C23FA8E" w:rsidR="008C2A39" w:rsidRDefault="003E1BDC" w:rsidP="001D1D33">
      <w:pPr>
        <w:pStyle w:val="Nadpis3"/>
        <w:spacing w:before="240" w:after="0"/>
      </w:pPr>
      <w:bookmarkStart w:id="142" w:name="_Toc199230848"/>
      <w:bookmarkStart w:id="143" w:name="_Hlk103548336"/>
      <w:bookmarkStart w:id="144" w:name="_Hlk37973274"/>
      <w:r w:rsidRPr="00264159">
        <w:t>Motivačný interný p</w:t>
      </w:r>
      <w:r w:rsidR="004B0A45" w:rsidRPr="00264159">
        <w:t xml:space="preserve">rojekt pre </w:t>
      </w:r>
      <w:r w:rsidR="001D1D33">
        <w:t xml:space="preserve">DNO </w:t>
      </w:r>
      <w:r w:rsidRPr="00264159">
        <w:t>„Zvýšenou aktivi</w:t>
      </w:r>
      <w:r w:rsidR="006106CB" w:rsidRPr="00264159">
        <w:t>tou</w:t>
      </w:r>
      <w:r w:rsidR="001D1D33">
        <w:t xml:space="preserve"> </w:t>
      </w:r>
      <w:r w:rsidRPr="00264159">
        <w:t>k zamestnaniu“</w:t>
      </w:r>
      <w:bookmarkEnd w:id="142"/>
      <w:r w:rsidRPr="00264159">
        <w:t xml:space="preserve"> </w:t>
      </w:r>
    </w:p>
    <w:p w14:paraId="6AEAB90E" w14:textId="77777777" w:rsidR="00D86689" w:rsidRDefault="00D86689" w:rsidP="00D86689">
      <w:pPr>
        <w:spacing w:before="120" w:after="0"/>
        <w:ind w:hanging="6"/>
      </w:pPr>
      <w:r>
        <w:t xml:space="preserve">Interný motivačný projekt Zvýšenou aktivitou k zamestnaniu (ďalej len „ZAZ“)  je realizovaný vlastnými personálnymi kapacitami od 1.2.2017 s cieľom zvýšenia zamestnanosti a uplatniteľnosti dlhodobo evidovaných klientov (ďalej aj „DEN“) na TP prostredníctvom intenzívneho individuálneho prístupu zo strany zamestnancov úradu (poskytovanie informačno-poradenských služieb, vydávanie odporúčaní, zaraďovanie na výberové konania, nástroje AOTP), ale aj zo strany DEN. Intenzívnou prácou namotivovať DEN k aktivite pri hľadaní zamestnania, zlepšení svojho sociálneho statusu, ako aj statusu celej rodiny. </w:t>
      </w:r>
    </w:p>
    <w:p w14:paraId="49CA2CDF" w14:textId="77777777" w:rsidR="00D86689" w:rsidRDefault="00D86689" w:rsidP="00D86689">
      <w:pPr>
        <w:spacing w:before="120" w:after="0"/>
        <w:ind w:hanging="6"/>
      </w:pPr>
      <w:r>
        <w:t>Realizácia projektu pokračovala aj v roku 2024 (od 1.4.2024 opätovné spustenie projektu v rámci celého Slovenska) ako jedno z opatrení Akčného plánu na ďalšie posilnenie integrácie dlhodobo nezamestnaných TP v SR s výhľadom do roku 2030.</w:t>
      </w:r>
    </w:p>
    <w:p w14:paraId="6C28384E" w14:textId="77777777" w:rsidR="00D86689" w:rsidRDefault="00D86689" w:rsidP="00D86689">
      <w:pPr>
        <w:spacing w:before="120" w:after="0"/>
        <w:ind w:hanging="6"/>
      </w:pPr>
      <w:r>
        <w:t>Do projektu bolo od začiatku jeho realizácie (1.2.2017) k 31.12.2024 zaradených v rámci všetkých úradov 89 531 UoZ z radov DEN, čo predstavuje 66,54 % podiel z počtu všetkých DEN evidovaných na úradoch k začiatku realizácie projektu (134 555). Z uvedeného počtu boli mladí do 29 rokov v počte 11 026, čo je 12,32 % z počtu zaradených, od 29 do 50 rokov veku 50 418, t. j. 56,31% podiel z počtu zaradených a 28 087 DEN nad 50 rokov veku, čo je 31,37 % z počtu zaradených UoZ.</w:t>
      </w:r>
    </w:p>
    <w:p w14:paraId="682B3731" w14:textId="77777777" w:rsidR="00D86689" w:rsidRDefault="00D86689" w:rsidP="00D86689">
      <w:pPr>
        <w:spacing w:before="120" w:after="0"/>
        <w:ind w:hanging="6"/>
      </w:pPr>
      <w:r>
        <w:t>Z uvedeného počtu sa intenzívnou prácou podarilo k 31.12.2024 umiestniť na TP celkom 16 504 DEN, čo je 18,43 % podiel z počtu zaradených UoZ DEN, s ktorými zamestnanci úradov intenzívne pracovali. Boli medzi nimi aj takí DEN, ktorí sa nakoniec rozhodli pre začatie vykonávania samostatne zárobkovej činnosti v počte 1 536, čo je z počtu umiestnených na TP 9,31 %. Ide o osoby z ktorých môžu byť do budúcna aj potenciálni zamestnávatelia.</w:t>
      </w:r>
    </w:p>
    <w:p w14:paraId="6763A9E7" w14:textId="0A40F23B" w:rsidR="00D86689" w:rsidRPr="00823499" w:rsidRDefault="00D86689" w:rsidP="00D86689">
      <w:pPr>
        <w:pStyle w:val="Nadpis3"/>
        <w:spacing w:before="240" w:after="0"/>
        <w:rPr>
          <w:b w:val="0"/>
        </w:rPr>
      </w:pPr>
      <w:bookmarkStart w:id="145" w:name="_Toc199230849"/>
      <w:bookmarkEnd w:id="143"/>
      <w:bookmarkEnd w:id="144"/>
      <w:r w:rsidRPr="00D86689">
        <w:t xml:space="preserve">Projekt </w:t>
      </w:r>
      <w:r w:rsidR="00823499">
        <w:t>„</w:t>
      </w:r>
      <w:r w:rsidRPr="00D86689">
        <w:t>Vzdelávanie mladých dospelých</w:t>
      </w:r>
      <w:r w:rsidR="00823499">
        <w:t>“</w:t>
      </w:r>
      <w:r w:rsidRPr="00D86689">
        <w:t xml:space="preserve"> </w:t>
      </w:r>
      <w:r w:rsidRPr="00823499">
        <w:rPr>
          <w:b w:val="0"/>
        </w:rPr>
        <w:t>podľa § 54 ods. 1 písm. d)  zákona o službách zamestnanosti</w:t>
      </w:r>
      <w:bookmarkEnd w:id="145"/>
    </w:p>
    <w:p w14:paraId="7579E9DE" w14:textId="2331B40F" w:rsidR="00D86689" w:rsidRPr="00D86689" w:rsidRDefault="00D86689" w:rsidP="00D86689">
      <w:pPr>
        <w:spacing w:before="120" w:after="0"/>
        <w:ind w:firstLine="0"/>
        <w:rPr>
          <w:rFonts w:eastAsia="Calibri"/>
        </w:rPr>
      </w:pPr>
      <w:r w:rsidRPr="00D86689">
        <w:rPr>
          <w:rFonts w:eastAsia="Calibri"/>
        </w:rPr>
        <w:t xml:space="preserve">Realizácia tohto projektu trvala od 15.04.2024 do 31.12.2024. Cieľom projektu bolo prispieť k uľahčeniu osamostatnenia sa mladých dospelých (ďalej aj „MD“) a zvýšeniu ich predpokladov na uplatnenie sa na trhu práce podporou vzdelávacích kurzov zameraných na získanie vodičského oprávnenia (skupiny B a vyšších skupín) a kvalifikačnej karty vodiča. Oprávneným </w:t>
      </w:r>
      <w:r w:rsidR="00142AFD">
        <w:rPr>
          <w:rFonts w:eastAsia="Calibri"/>
        </w:rPr>
        <w:t>žiadateľom v rámci projektu bol</w:t>
      </w:r>
      <w:r w:rsidRPr="00D86689">
        <w:rPr>
          <w:rFonts w:eastAsia="Calibri"/>
        </w:rPr>
        <w:t xml:space="preserve"> </w:t>
      </w:r>
    </w:p>
    <w:p w14:paraId="610DD984" w14:textId="34425897" w:rsidR="00D86689" w:rsidRPr="00D86689" w:rsidRDefault="00D86689" w:rsidP="00D86689">
      <w:pPr>
        <w:numPr>
          <w:ilvl w:val="0"/>
          <w:numId w:val="45"/>
        </w:numPr>
        <w:spacing w:after="0"/>
        <w:rPr>
          <w:rFonts w:eastAsia="Calibri"/>
        </w:rPr>
      </w:pPr>
      <w:r w:rsidRPr="00D86689">
        <w:rPr>
          <w:rFonts w:eastAsia="Calibri"/>
        </w:rPr>
        <w:t>mladý dospelý, u ktorého po dosiahnutí plnoletosti pokračuje poskytovanie starostlivosť v Centre pre deti a rod</w:t>
      </w:r>
      <w:r w:rsidR="00142AFD">
        <w:rPr>
          <w:rFonts w:eastAsia="Calibri"/>
        </w:rPr>
        <w:t>iny (ďalej aj „CDR“,</w:t>
      </w:r>
      <w:r w:rsidRPr="00D86689">
        <w:rPr>
          <w:rFonts w:eastAsia="Calibri"/>
        </w:rPr>
        <w:t>.</w:t>
      </w:r>
      <w:r w:rsidRPr="00D86689">
        <w:rPr>
          <w:rFonts w:eastAsia="Calibri"/>
          <w:bCs/>
        </w:rPr>
        <w:t xml:space="preserve"> </w:t>
      </w:r>
      <w:r w:rsidRPr="00D86689">
        <w:rPr>
          <w:rFonts w:eastAsia="Calibri"/>
        </w:rPr>
        <w:t xml:space="preserve"> </w:t>
      </w:r>
    </w:p>
    <w:p w14:paraId="6B5E7E22" w14:textId="38CED71E" w:rsidR="00D86689" w:rsidRPr="00D86689" w:rsidRDefault="00D86689" w:rsidP="00D86689">
      <w:pPr>
        <w:numPr>
          <w:ilvl w:val="0"/>
          <w:numId w:val="45"/>
        </w:numPr>
        <w:spacing w:after="0"/>
        <w:rPr>
          <w:rFonts w:eastAsia="Calibri"/>
        </w:rPr>
      </w:pPr>
      <w:r w:rsidRPr="00D86689">
        <w:rPr>
          <w:rFonts w:eastAsia="Calibri"/>
        </w:rPr>
        <w:t>plnoletá fyzická osoba, ktorá sa sústavne pripravuje na povolanie a ktorej bol predĺžený</w:t>
      </w:r>
      <w:r w:rsidR="00142AFD">
        <w:rPr>
          <w:rFonts w:eastAsia="Calibri"/>
        </w:rPr>
        <w:t xml:space="preserve"> pobyt v CDR o max. 24 mesiacov,</w:t>
      </w:r>
    </w:p>
    <w:p w14:paraId="2319CEBF" w14:textId="77777777" w:rsidR="00D86689" w:rsidRPr="00D86689" w:rsidRDefault="00D86689" w:rsidP="00D86689">
      <w:pPr>
        <w:numPr>
          <w:ilvl w:val="0"/>
          <w:numId w:val="45"/>
        </w:numPr>
        <w:spacing w:after="0"/>
        <w:rPr>
          <w:rFonts w:eastAsia="Calibri"/>
        </w:rPr>
      </w:pPr>
      <w:r w:rsidRPr="00D86689">
        <w:rPr>
          <w:rFonts w:eastAsia="Calibri"/>
        </w:rPr>
        <w:t>maloleté dieťa pripravujúce sa na osamostatnenie, pre ktoré CDR vykonáva opatrenia pobytovou formou na základe rozhodnutia súdu o nariadení ústavnej starostlivosti.</w:t>
      </w:r>
    </w:p>
    <w:p w14:paraId="301D3A8C" w14:textId="77777777" w:rsidR="00D86689" w:rsidRPr="00D86689" w:rsidRDefault="00D86689" w:rsidP="00D86689">
      <w:pPr>
        <w:spacing w:after="0"/>
        <w:ind w:firstLine="0"/>
        <w:rPr>
          <w:rFonts w:eastAsia="Calibri"/>
        </w:rPr>
      </w:pPr>
      <w:r w:rsidRPr="00D86689">
        <w:rPr>
          <w:rFonts w:eastAsia="Calibri"/>
        </w:rPr>
        <w:t xml:space="preserve"> a ktorý bol zároveň evidovaný na úrade ako UoZ alebo ZoZ.</w:t>
      </w:r>
    </w:p>
    <w:p w14:paraId="6C5BD96F" w14:textId="0E3BBC93" w:rsidR="00D86689" w:rsidRPr="00D86689" w:rsidRDefault="00D86689" w:rsidP="00823499">
      <w:pPr>
        <w:spacing w:before="120" w:after="0"/>
        <w:ind w:firstLine="0"/>
        <w:rPr>
          <w:rFonts w:eastAsia="Calibri"/>
        </w:rPr>
      </w:pPr>
      <w:r w:rsidRPr="00D86689">
        <w:rPr>
          <w:rFonts w:eastAsia="Calibri"/>
        </w:rPr>
        <w:t xml:space="preserve">Filozofia poskytovania príspevkov na podporu vzdelávania bola nastavená tak, že UoZ alebo ZoZ, ktorý bol evidovaný na úrade, a ktorý mal záujem o vzdelávanie, si sám z vybral vzdelávací program, ako aj poskytovateľa, ktorý ho zrealizoval. Následne predložil úradu žiadosť o poskytnutie príspevku. Na príspevok na podporu vzdelávania nebol právny nárok, preto úrady každú predloženú žiadosť individuálne posudzovali. V prípade jej schválenia uzatvorili so žiadateľom dohodu a následne žiadateľ nastúpil na vzdelávací kurz. Po skončení vzdelávania a splnení stanovených podmienok úrad poskytol MD príspevok na podporu vzdelávania vo výške </w:t>
      </w:r>
      <w:r w:rsidRPr="00D86689">
        <w:rPr>
          <w:rFonts w:eastAsia="Calibri"/>
        </w:rPr>
        <w:lastRenderedPageBreak/>
        <w:t>100 % oprávnených nákladov súvisiacich so vzdelávaním na úhradu kurzovného a paušálny príspevok na pokrytie časti výdavkov súvisiacich s účasťou na vzdelávaní, a to vo výške 0,95 eur za jednu vyučovaciu</w:t>
      </w:r>
      <w:r w:rsidR="00823499">
        <w:rPr>
          <w:rFonts w:eastAsia="Calibri"/>
        </w:rPr>
        <w:t xml:space="preserve"> hodinu, najviac vo výške 190</w:t>
      </w:r>
      <w:r w:rsidRPr="00D86689">
        <w:rPr>
          <w:rFonts w:eastAsia="Calibri"/>
        </w:rPr>
        <w:t xml:space="preserve"> eur.</w:t>
      </w:r>
    </w:p>
    <w:p w14:paraId="1AB16998" w14:textId="77777777" w:rsidR="00D86689" w:rsidRPr="00D86689" w:rsidRDefault="00D86689" w:rsidP="00D86689">
      <w:pPr>
        <w:spacing w:before="120" w:after="0"/>
        <w:ind w:firstLine="0"/>
        <w:rPr>
          <w:rFonts w:eastAsia="Calibri"/>
        </w:rPr>
      </w:pPr>
      <w:r w:rsidRPr="00D86689">
        <w:rPr>
          <w:rFonts w:eastAsia="Calibri"/>
        </w:rPr>
        <w:t xml:space="preserve">V roku 2024 bolo na príspevky na vzdelávanie MD v rámci tohto projektu prijatých 145 žiadostí, pričom žiadané príspevky boli vo výške 141 604 eur. Uzatvorených bolo 140 dohôd na dohodnutú sumu 136 749 eur. </w:t>
      </w:r>
    </w:p>
    <w:p w14:paraId="232C9FD9" w14:textId="77777777" w:rsidR="00D86689" w:rsidRPr="00D86689" w:rsidRDefault="00D86689" w:rsidP="00D86689">
      <w:pPr>
        <w:spacing w:before="120" w:after="0"/>
        <w:ind w:firstLine="0"/>
        <w:rPr>
          <w:rFonts w:eastAsia="Calibri"/>
        </w:rPr>
      </w:pPr>
      <w:r w:rsidRPr="00D86689">
        <w:rPr>
          <w:rFonts w:eastAsia="Calibri"/>
        </w:rPr>
        <w:t xml:space="preserve">Na vzdelávanie bolo zaradených 136 MD (134 ZoZ a 2 UoZ), toho bolo 80 mužov (58,82 %) a 56 žien (41,18 %). Z hľadiska veku boli všetci MD vo veku do 24 rokov (100%). </w:t>
      </w:r>
    </w:p>
    <w:p w14:paraId="01FD0115" w14:textId="1EC58848" w:rsidR="00D86689" w:rsidRPr="00D86689" w:rsidRDefault="00D86689" w:rsidP="00D86689">
      <w:pPr>
        <w:spacing w:before="120" w:after="0"/>
        <w:ind w:firstLine="0"/>
        <w:rPr>
          <w:rFonts w:eastAsia="Calibri"/>
        </w:rPr>
      </w:pPr>
      <w:r w:rsidRPr="00D86689">
        <w:rPr>
          <w:rFonts w:eastAsia="Calibri"/>
        </w:rPr>
        <w:t>Najvyšší podiel MD, ktorí boli zaradení do projektu Vzdelávanie mladých dospelých z hľadiska vzdelania tvorili MD, ktorí dosiahli základný stupeň vzdelania, v počte 80 MD (58,82</w:t>
      </w:r>
      <w:r w:rsidR="00823499">
        <w:rPr>
          <w:rFonts w:eastAsia="Calibri"/>
        </w:rPr>
        <w:t xml:space="preserve"> </w:t>
      </w:r>
      <w:r w:rsidRPr="00D86689">
        <w:rPr>
          <w:rFonts w:eastAsia="Calibri"/>
        </w:rPr>
        <w:t>%) a za nimi nasledovali MD, ktorí dosiahli stredné odborné vzdelanie, v počte 17 (12,50</w:t>
      </w:r>
      <w:r w:rsidR="00823499">
        <w:rPr>
          <w:rFonts w:eastAsia="Calibri"/>
        </w:rPr>
        <w:t xml:space="preserve"> </w:t>
      </w:r>
      <w:r w:rsidRPr="00D86689">
        <w:rPr>
          <w:rFonts w:eastAsia="Calibri"/>
        </w:rPr>
        <w:t>%) a úplné stredné odborné vzdelanie, v počte 11 (8,09</w:t>
      </w:r>
      <w:r w:rsidR="00823499">
        <w:rPr>
          <w:rFonts w:eastAsia="Calibri"/>
        </w:rPr>
        <w:t xml:space="preserve"> </w:t>
      </w:r>
      <w:r w:rsidRPr="00D86689">
        <w:rPr>
          <w:rFonts w:eastAsia="Calibri"/>
        </w:rPr>
        <w:t xml:space="preserve">%). </w:t>
      </w:r>
    </w:p>
    <w:p w14:paraId="621F2D69" w14:textId="77777777" w:rsidR="00D86689" w:rsidRPr="00D86689" w:rsidRDefault="00D86689" w:rsidP="00D86689">
      <w:pPr>
        <w:spacing w:before="120" w:after="0"/>
        <w:ind w:firstLine="0"/>
        <w:rPr>
          <w:rFonts w:eastAsia="Calibri"/>
        </w:rPr>
      </w:pPr>
      <w:r w:rsidRPr="00D86689">
        <w:rPr>
          <w:rFonts w:eastAsia="Calibri"/>
        </w:rPr>
        <w:t xml:space="preserve">Najväčší záujem mali MD o kurz zameraný na získanie vodičského oprávnenia skupiny B keďže na tento kurz nastúpilo 134 MD (98,53 %). Zvyšní 2 MD nastúpili na kurz zameraný na získanie vodičského oprávnenia skupiny C. </w:t>
      </w:r>
    </w:p>
    <w:p w14:paraId="611E0A7C" w14:textId="77777777" w:rsidR="00D86689" w:rsidRPr="00D86689" w:rsidRDefault="00D86689" w:rsidP="00D86689">
      <w:pPr>
        <w:spacing w:before="120" w:after="0"/>
        <w:ind w:firstLine="0"/>
        <w:rPr>
          <w:rFonts w:eastAsia="Calibri"/>
        </w:rPr>
      </w:pPr>
      <w:r w:rsidRPr="00D86689">
        <w:rPr>
          <w:rFonts w:eastAsia="Calibri"/>
        </w:rPr>
        <w:t>Príspevky na podporu vzdelávania MD boli uhradené 129 MD v sume 123 695 eur, z toho 126 477 eur na kurzovné a 10 272 eur na paušálny príspevok.</w:t>
      </w:r>
    </w:p>
    <w:p w14:paraId="042D82E8" w14:textId="04282674" w:rsidR="00D86689" w:rsidRPr="00D86689" w:rsidRDefault="00D86689" w:rsidP="00823499">
      <w:pPr>
        <w:spacing w:before="120" w:after="120"/>
        <w:ind w:firstLine="0"/>
        <w:rPr>
          <w:rFonts w:eastAsia="Calibri"/>
        </w:rPr>
      </w:pPr>
      <w:r w:rsidRPr="00D86689">
        <w:rPr>
          <w:rFonts w:eastAsia="Calibri"/>
        </w:rPr>
        <w:t xml:space="preserve">Do </w:t>
      </w:r>
      <w:r w:rsidR="00823499">
        <w:rPr>
          <w:rFonts w:eastAsia="Calibri"/>
        </w:rPr>
        <w:t xml:space="preserve">tohto </w:t>
      </w:r>
      <w:r w:rsidRPr="00D86689">
        <w:rPr>
          <w:rFonts w:eastAsia="Calibri"/>
        </w:rPr>
        <w:t xml:space="preserve">projektu </w:t>
      </w:r>
      <w:r w:rsidR="00823499">
        <w:rPr>
          <w:rFonts w:eastAsia="Calibri"/>
        </w:rPr>
        <w:t xml:space="preserve">sa zapojilo </w:t>
      </w:r>
      <w:r w:rsidRPr="00D86689">
        <w:rPr>
          <w:rFonts w:eastAsia="Calibri"/>
        </w:rPr>
        <w:t xml:space="preserve">33 úradov. Najväčší počet zaradených ZoZ do projektu bol </w:t>
      </w:r>
      <w:r w:rsidR="00823499">
        <w:rPr>
          <w:rFonts w:eastAsia="Calibri"/>
        </w:rPr>
        <w:t xml:space="preserve">v pôsobnosti </w:t>
      </w:r>
      <w:r w:rsidRPr="00D86689">
        <w:rPr>
          <w:rFonts w:eastAsia="Calibri"/>
        </w:rPr>
        <w:t xml:space="preserve">úrade Rimavská Sobota, kde nastúpilo na vzdelávanie 14 MD, čo predstavuje </w:t>
      </w:r>
      <w:r w:rsidR="00823499">
        <w:rPr>
          <w:rFonts w:eastAsia="Calibri"/>
        </w:rPr>
        <w:t xml:space="preserve">     </w:t>
      </w:r>
      <w:r w:rsidRPr="00D86689">
        <w:rPr>
          <w:rFonts w:eastAsia="Calibri"/>
        </w:rPr>
        <w:t xml:space="preserve">10,29 % z celkového počtu zaradených MD. Za ním nasledovali úrady Trenčín a Trnava (po 10 MD; 7,35 %) a úrady Košice, Michalovce a Pezinok (po 8 MD; 5,88 %). Prehľad MD zaradených do projektu Vzdelávanie mladých dospelých v roku 2024 v štruktúre podľa jednotlivých úradov  je znázornený v grafe nižšie. </w:t>
      </w:r>
    </w:p>
    <w:p w14:paraId="4FF63D56" w14:textId="3C762B1B" w:rsidR="00AC5296" w:rsidRDefault="00823499" w:rsidP="00AC5296">
      <w:pPr>
        <w:autoSpaceDE w:val="0"/>
        <w:autoSpaceDN w:val="0"/>
        <w:adjustRightInd w:val="0"/>
        <w:spacing w:after="0"/>
        <w:ind w:firstLine="0"/>
        <w:rPr>
          <w:rFonts w:eastAsia="Calibri"/>
          <w:lang w:eastAsia="en-US"/>
        </w:rPr>
      </w:pPr>
      <w:r>
        <w:rPr>
          <w:noProof/>
        </w:rPr>
        <w:drawing>
          <wp:inline distT="0" distB="0" distL="0" distR="0" wp14:anchorId="1C607D28" wp14:editId="1B4EB9FA">
            <wp:extent cx="5732891" cy="4389120"/>
            <wp:effectExtent l="0" t="0" r="1270" b="11430"/>
            <wp:docPr id="1" name="Graf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DC0BED" w14:textId="37734BE5" w:rsidR="00056FE1" w:rsidRDefault="00AC5296" w:rsidP="00823499">
      <w:pPr>
        <w:autoSpaceDE w:val="0"/>
        <w:autoSpaceDN w:val="0"/>
        <w:adjustRightInd w:val="0"/>
        <w:spacing w:after="0"/>
        <w:ind w:firstLine="0"/>
        <w:rPr>
          <w:rFonts w:eastAsia="Calibri"/>
          <w:lang w:eastAsia="en-US"/>
        </w:rPr>
      </w:pPr>
      <w:r>
        <w:rPr>
          <w:rFonts w:eastAsia="Calibri"/>
          <w:lang w:eastAsia="en-US"/>
        </w:rPr>
        <w:t xml:space="preserve"> </w:t>
      </w:r>
    </w:p>
    <w:p w14:paraId="5D335799" w14:textId="77777777" w:rsidR="00142AFD" w:rsidRPr="00AC5296" w:rsidRDefault="00142AFD" w:rsidP="00823499">
      <w:pPr>
        <w:autoSpaceDE w:val="0"/>
        <w:autoSpaceDN w:val="0"/>
        <w:adjustRightInd w:val="0"/>
        <w:spacing w:after="0"/>
        <w:ind w:firstLine="0"/>
        <w:rPr>
          <w:rFonts w:eastAsia="Calibri"/>
          <w:lang w:eastAsia="en-US"/>
        </w:rPr>
      </w:pPr>
    </w:p>
    <w:p w14:paraId="15E14CCC" w14:textId="58AB4C01" w:rsidR="00671BE6" w:rsidRPr="004272DB" w:rsidRDefault="00671BE6" w:rsidP="00823499">
      <w:pPr>
        <w:pStyle w:val="Nadpis3"/>
        <w:spacing w:before="0" w:after="120"/>
      </w:pPr>
      <w:bookmarkStart w:id="146" w:name="_Toc199230850"/>
      <w:r w:rsidRPr="004272DB">
        <w:lastRenderedPageBreak/>
        <w:t>Projekt „Podpora udržania pracovných návykov - PUPN“</w:t>
      </w:r>
      <w:bookmarkEnd w:id="146"/>
    </w:p>
    <w:p w14:paraId="1E421BD9" w14:textId="39A8EC21" w:rsidR="00671BE6" w:rsidRPr="00671BE6" w:rsidRDefault="00671BE6" w:rsidP="00823499">
      <w:pPr>
        <w:spacing w:before="120" w:after="0"/>
        <w:ind w:hanging="6"/>
      </w:pPr>
      <w:r w:rsidRPr="00671BE6">
        <w:rPr>
          <w:bCs/>
        </w:rPr>
        <w:t>Projekt</w:t>
      </w:r>
      <w:r w:rsidR="00823499">
        <w:t xml:space="preserve"> sa realizoval od 1. 4.</w:t>
      </w:r>
      <w:r w:rsidRPr="00671BE6">
        <w:t xml:space="preserve"> 2</w:t>
      </w:r>
      <w:r w:rsidR="00823499">
        <w:t xml:space="preserve">023 do 30. </w:t>
      </w:r>
      <w:r w:rsidRPr="00671BE6">
        <w:t>6.</w:t>
      </w:r>
      <w:r w:rsidR="00823499">
        <w:t xml:space="preserve"> </w:t>
      </w:r>
      <w:r w:rsidRPr="00671BE6">
        <w:t>2024 na celom území SR.</w:t>
      </w:r>
      <w:r w:rsidR="00823499">
        <w:t xml:space="preserve"> Cieľom projektu bola</w:t>
      </w:r>
      <w:r w:rsidRPr="00671BE6">
        <w:t xml:space="preserve"> podpora zvýšenia zamestnateľnosti, udržiavania pracovných návykov a rozvoja zručností uchádzača o zamestnanie </w:t>
      </w:r>
      <w:r w:rsidRPr="00671BE6">
        <w:rPr>
          <w:bCs/>
        </w:rPr>
        <w:t>(ďalej len „UoZ“)</w:t>
      </w:r>
      <w:r w:rsidRPr="00671BE6">
        <w:rPr>
          <w:b/>
          <w:bCs/>
        </w:rPr>
        <w:t xml:space="preserve"> </w:t>
      </w:r>
      <w:r w:rsidRPr="00671BE6">
        <w:rPr>
          <w:bCs/>
        </w:rPr>
        <w:t xml:space="preserve">z cieľovej skupiny projektu </w:t>
      </w:r>
      <w:r w:rsidRPr="00671BE6">
        <w:t>formou menších obecných služieb pre oprávnen</w:t>
      </w:r>
      <w:r w:rsidR="00823499">
        <w:t xml:space="preserve">ého žiadateľa a </w:t>
      </w:r>
      <w:r w:rsidRPr="00671BE6">
        <w:t xml:space="preserve">taktiež preklenutie prechodného obdobia </w:t>
      </w:r>
      <w:r w:rsidR="00823499">
        <w:t xml:space="preserve">                  </w:t>
      </w:r>
      <w:r w:rsidRPr="00671BE6">
        <w:t>a postupné utlmovanie podpory aktivácie a aktivačných prác.</w:t>
      </w:r>
    </w:p>
    <w:p w14:paraId="653EF849" w14:textId="77777777" w:rsidR="00671BE6" w:rsidRPr="00671BE6" w:rsidRDefault="00671BE6" w:rsidP="00671BE6">
      <w:pPr>
        <w:spacing w:before="120" w:after="0"/>
        <w:ind w:hanging="6"/>
        <w:rPr>
          <w:rFonts w:eastAsia="Calibri"/>
          <w:b/>
          <w:lang w:eastAsia="en-US"/>
        </w:rPr>
      </w:pPr>
      <w:r w:rsidRPr="00671BE6">
        <w:rPr>
          <w:rFonts w:eastAsia="Calibri"/>
          <w:b/>
          <w:lang w:eastAsia="en-US"/>
        </w:rPr>
        <w:t>Oprávnení žiadatelia:</w:t>
      </w:r>
    </w:p>
    <w:p w14:paraId="3BC7E50E" w14:textId="77777777" w:rsidR="00671BE6" w:rsidRPr="00671BE6" w:rsidRDefault="00671BE6" w:rsidP="00142AFD">
      <w:pPr>
        <w:numPr>
          <w:ilvl w:val="0"/>
          <w:numId w:val="34"/>
        </w:numPr>
        <w:spacing w:after="0"/>
        <w:ind w:left="284" w:hanging="284"/>
      </w:pPr>
      <w:r w:rsidRPr="00671BE6">
        <w:t>obec,</w:t>
      </w:r>
    </w:p>
    <w:p w14:paraId="7EAB306F" w14:textId="77777777" w:rsidR="00671BE6" w:rsidRPr="00671BE6" w:rsidRDefault="00671BE6" w:rsidP="00142AFD">
      <w:pPr>
        <w:numPr>
          <w:ilvl w:val="0"/>
          <w:numId w:val="34"/>
        </w:numPr>
        <w:spacing w:after="0"/>
        <w:ind w:left="284" w:hanging="284"/>
      </w:pPr>
      <w:r w:rsidRPr="00671BE6">
        <w:t>samosprávny kraj,</w:t>
      </w:r>
    </w:p>
    <w:p w14:paraId="086E172D" w14:textId="77777777" w:rsidR="00671BE6" w:rsidRPr="00671BE6" w:rsidRDefault="00671BE6" w:rsidP="00142AFD">
      <w:pPr>
        <w:numPr>
          <w:ilvl w:val="0"/>
          <w:numId w:val="34"/>
        </w:numPr>
        <w:spacing w:after="0"/>
        <w:ind w:left="284" w:hanging="284"/>
      </w:pPr>
      <w:r w:rsidRPr="00671BE6">
        <w:t>rozpočtová organizácia, ktorej zriaďovateľom je obec,</w:t>
      </w:r>
    </w:p>
    <w:p w14:paraId="027BCEC7" w14:textId="77777777" w:rsidR="00671BE6" w:rsidRPr="00671BE6" w:rsidRDefault="00671BE6" w:rsidP="00142AFD">
      <w:pPr>
        <w:numPr>
          <w:ilvl w:val="0"/>
          <w:numId w:val="34"/>
        </w:numPr>
        <w:spacing w:after="0"/>
        <w:ind w:left="284" w:hanging="284"/>
      </w:pPr>
      <w:r w:rsidRPr="00671BE6">
        <w:t>príspevková organizácia, ktorej zriaďovateľom je obec,</w:t>
      </w:r>
    </w:p>
    <w:p w14:paraId="62B848F6" w14:textId="77777777" w:rsidR="00671BE6" w:rsidRPr="00671BE6" w:rsidRDefault="00671BE6" w:rsidP="00142AFD">
      <w:pPr>
        <w:numPr>
          <w:ilvl w:val="0"/>
          <w:numId w:val="34"/>
        </w:numPr>
        <w:spacing w:after="0"/>
        <w:ind w:left="284" w:hanging="284"/>
      </w:pPr>
      <w:r w:rsidRPr="00671BE6">
        <w:t>rozpočtová organizácia, ktorej zakladateľom alebo zriaďovateľom je samosprávny kraj,</w:t>
      </w:r>
    </w:p>
    <w:p w14:paraId="52D3E6B3" w14:textId="77777777" w:rsidR="00671BE6" w:rsidRPr="00671BE6" w:rsidRDefault="00671BE6" w:rsidP="00142AFD">
      <w:pPr>
        <w:numPr>
          <w:ilvl w:val="0"/>
          <w:numId w:val="34"/>
        </w:numPr>
        <w:spacing w:after="0"/>
        <w:ind w:left="284" w:hanging="284"/>
      </w:pPr>
      <w:r w:rsidRPr="00671BE6">
        <w:t>príspevková organizácia, ktorej zakladateľom alebo zriaďovateľom je samosprávny kraj.</w:t>
      </w:r>
    </w:p>
    <w:p w14:paraId="7277C3D9" w14:textId="44D77CB3" w:rsidR="00671BE6" w:rsidRPr="00671BE6" w:rsidRDefault="00671BE6" w:rsidP="00671BE6">
      <w:pPr>
        <w:pStyle w:val="Normlnywebov"/>
        <w:shd w:val="clear" w:color="auto" w:fill="FFFFFF"/>
        <w:spacing w:before="120" w:beforeAutospacing="0" w:after="0" w:afterAutospacing="0"/>
        <w:ind w:firstLine="0"/>
        <w:rPr>
          <w:rFonts w:ascii="Times New Roman" w:hAnsi="Times New Roman" w:cs="Times New Roman"/>
          <w:b/>
          <w:bCs/>
          <w:sz w:val="24"/>
          <w:szCs w:val="24"/>
          <w:lang w:val="sk-SK"/>
        </w:rPr>
      </w:pPr>
      <w:r>
        <w:rPr>
          <w:rFonts w:ascii="Times New Roman" w:hAnsi="Times New Roman" w:cs="Times New Roman"/>
          <w:b/>
          <w:bCs/>
          <w:sz w:val="24"/>
          <w:szCs w:val="24"/>
          <w:lang w:val="sk-SK"/>
        </w:rPr>
        <w:t>Cieľová skupina</w:t>
      </w:r>
    </w:p>
    <w:p w14:paraId="77A15058" w14:textId="77777777" w:rsidR="00671BE6" w:rsidRPr="00671BE6" w:rsidRDefault="00671BE6" w:rsidP="00142AFD">
      <w:pPr>
        <w:pStyle w:val="Normlnywebov"/>
        <w:numPr>
          <w:ilvl w:val="0"/>
          <w:numId w:val="33"/>
        </w:numPr>
        <w:shd w:val="clear" w:color="auto" w:fill="FFFFFF"/>
        <w:spacing w:before="0" w:beforeAutospacing="0" w:after="0" w:afterAutospacing="0"/>
        <w:ind w:left="284" w:hanging="284"/>
        <w:rPr>
          <w:rFonts w:ascii="Times New Roman" w:hAnsi="Times New Roman" w:cs="Times New Roman"/>
          <w:bCs/>
          <w:sz w:val="24"/>
          <w:szCs w:val="24"/>
          <w:lang w:val="sk-SK"/>
        </w:rPr>
      </w:pPr>
      <w:r w:rsidRPr="00671BE6">
        <w:rPr>
          <w:rFonts w:ascii="Times New Roman" w:hAnsi="Times New Roman" w:cs="Times New Roman"/>
          <w:bCs/>
          <w:sz w:val="24"/>
          <w:szCs w:val="24"/>
          <w:lang w:val="sk-SK"/>
        </w:rPr>
        <w:t>UoZ podľa § 6 zákona o službách zamestnanosti, ktorý je zároveň členom domácnosti, ktorej sa poskytuje pomoc v hmotnej núdzi v zmysle zákona č. 417/2013 Z. z. o pomoci v hmotnej núdzi a o zmene a doplnení niektorých zákonov,</w:t>
      </w:r>
    </w:p>
    <w:p w14:paraId="02942B32" w14:textId="77777777" w:rsidR="00671BE6" w:rsidRPr="00671BE6" w:rsidRDefault="00671BE6" w:rsidP="00142AFD">
      <w:pPr>
        <w:pStyle w:val="Normlnywebov"/>
        <w:numPr>
          <w:ilvl w:val="0"/>
          <w:numId w:val="33"/>
        </w:numPr>
        <w:shd w:val="clear" w:color="auto" w:fill="FFFFFF"/>
        <w:spacing w:before="0" w:beforeAutospacing="0" w:after="0" w:afterAutospacing="0"/>
        <w:ind w:left="284" w:hanging="284"/>
        <w:rPr>
          <w:rFonts w:ascii="Times New Roman" w:hAnsi="Times New Roman" w:cs="Times New Roman"/>
          <w:bCs/>
          <w:sz w:val="24"/>
          <w:szCs w:val="24"/>
          <w:lang w:val="sk-SK"/>
        </w:rPr>
      </w:pPr>
      <w:r w:rsidRPr="00671BE6">
        <w:rPr>
          <w:rFonts w:ascii="Times New Roman" w:hAnsi="Times New Roman" w:cs="Times New Roman"/>
          <w:bCs/>
          <w:sz w:val="24"/>
          <w:szCs w:val="24"/>
          <w:lang w:val="sk-SK"/>
        </w:rPr>
        <w:t>UoZ podľa § 6 zákona o službách zamestnanosti, ktorý je poberateľom pomoci v hmotnej núdzi v zmysle zákona o pomoci v hmotnej núdzi.</w:t>
      </w:r>
    </w:p>
    <w:p w14:paraId="6F6E79E8" w14:textId="112BB9C5" w:rsidR="00671BE6" w:rsidRPr="00671BE6" w:rsidRDefault="00671BE6" w:rsidP="00823499">
      <w:pPr>
        <w:spacing w:before="120" w:after="0"/>
        <w:ind w:hanging="6"/>
        <w:rPr>
          <w:rFonts w:eastAsia="Calibri"/>
          <w:b/>
          <w:lang w:eastAsia="en-US"/>
        </w:rPr>
      </w:pPr>
      <w:r w:rsidRPr="00671BE6">
        <w:rPr>
          <w:rFonts w:eastAsia="Calibri"/>
          <w:b/>
          <w:lang w:eastAsia="en-US"/>
        </w:rPr>
        <w:t>Výška príspevku</w:t>
      </w:r>
    </w:p>
    <w:p w14:paraId="7C47A491" w14:textId="77777777" w:rsidR="00671BE6" w:rsidRPr="00671BE6" w:rsidRDefault="00671BE6" w:rsidP="00671BE6">
      <w:pPr>
        <w:spacing w:after="0"/>
        <w:rPr>
          <w:rFonts w:eastAsia="Calibri"/>
          <w:bCs/>
        </w:rPr>
      </w:pPr>
      <w:r w:rsidRPr="00671BE6">
        <w:rPr>
          <w:rFonts w:eastAsia="Calibri"/>
          <w:bCs/>
        </w:rPr>
        <w:t xml:space="preserve">Finančný príspevok na aktivačnú činnosť formou menších obecných služieb pre obec, </w:t>
      </w:r>
      <w:r w:rsidRPr="00671BE6">
        <w:t>organizáciu zriadenú obcou,</w:t>
      </w:r>
      <w:r w:rsidRPr="00671BE6">
        <w:rPr>
          <w:bCs/>
        </w:rPr>
        <w:t> </w:t>
      </w:r>
      <w:r w:rsidRPr="00671BE6">
        <w:rPr>
          <w:rFonts w:eastAsia="Calibri"/>
          <w:bCs/>
        </w:rPr>
        <w:t xml:space="preserve"> alebo formou menších služieb pre samosprávny kraj, </w:t>
      </w:r>
      <w:r w:rsidRPr="00671BE6">
        <w:t xml:space="preserve">organizáciu zriadenú samosprávnym krajom </w:t>
      </w:r>
      <w:r w:rsidRPr="00671BE6">
        <w:rPr>
          <w:rFonts w:eastAsia="Calibri"/>
          <w:bCs/>
        </w:rPr>
        <w:t xml:space="preserve">je poskytovaný mesačne najviac 6 mesiacov nasledovne: </w:t>
      </w:r>
    </w:p>
    <w:p w14:paraId="7118325D" w14:textId="7033BAB1" w:rsidR="00671BE6" w:rsidRPr="00671BE6" w:rsidRDefault="00671BE6" w:rsidP="00823499">
      <w:pPr>
        <w:numPr>
          <w:ilvl w:val="0"/>
          <w:numId w:val="35"/>
        </w:numPr>
        <w:spacing w:after="120"/>
        <w:ind w:left="284" w:hanging="284"/>
        <w:rPr>
          <w:rFonts w:eastAsia="Calibri"/>
          <w:bCs/>
        </w:rPr>
      </w:pPr>
      <w:r w:rsidRPr="00671BE6">
        <w:rPr>
          <w:rFonts w:eastAsia="Calibri"/>
          <w:bCs/>
        </w:rPr>
        <w:t>na úhradu časti nákladov na osobné ochranné pracovné prostriedky, pracovné náradie a úrazové poistenie</w:t>
      </w:r>
      <w:r w:rsidRPr="00671BE6">
        <w:rPr>
          <w:rFonts w:eastAsia="Calibri"/>
        </w:rPr>
        <w:t xml:space="preserve"> UoZ z cieľovej skupiny a </w:t>
      </w:r>
      <w:r w:rsidRPr="00671BE6">
        <w:rPr>
          <w:rFonts w:eastAsia="Calibri"/>
          <w:bCs/>
        </w:rPr>
        <w:t>úhradu časti ďalších nákladov</w:t>
      </w:r>
      <w:r w:rsidRPr="00671BE6">
        <w:rPr>
          <w:rFonts w:eastAsia="Calibri"/>
        </w:rPr>
        <w:t xml:space="preserve">, ktoré súvisia </w:t>
      </w:r>
      <w:r w:rsidR="00823499">
        <w:rPr>
          <w:rFonts w:eastAsia="Calibri"/>
        </w:rPr>
        <w:t xml:space="preserve">         </w:t>
      </w:r>
      <w:r w:rsidRPr="00671BE6">
        <w:rPr>
          <w:rFonts w:eastAsia="Calibri"/>
        </w:rPr>
        <w:t xml:space="preserve">s vykonávaním menších obecných služieb pre obec, </w:t>
      </w:r>
      <w:r w:rsidRPr="00671BE6">
        <w:rPr>
          <w:rFonts w:eastAsia="Calibri"/>
          <w:lang w:eastAsia="en-US"/>
        </w:rPr>
        <w:t xml:space="preserve">organizáciu zriadenú obcou alebo </w:t>
      </w:r>
      <w:r w:rsidRPr="00671BE6">
        <w:rPr>
          <w:rFonts w:eastAsia="Calibri"/>
        </w:rPr>
        <w:t>menších služieb pre samosprávny kraj</w:t>
      </w:r>
      <w:r w:rsidRPr="00671BE6">
        <w:rPr>
          <w:rFonts w:eastAsia="Calibri"/>
          <w:lang w:eastAsia="en-US"/>
        </w:rPr>
        <w:t xml:space="preserve">, organizáciu zriadenú samosprávnym krajom </w:t>
      </w:r>
      <w:r w:rsidRPr="00671BE6">
        <w:rPr>
          <w:rFonts w:eastAsia="Calibri"/>
          <w:bCs/>
        </w:rPr>
        <w:t>najviac vo výške</w:t>
      </w:r>
      <w:r w:rsidRPr="00671BE6">
        <w:rPr>
          <w:rFonts w:eastAsia="Calibri"/>
        </w:rPr>
        <w:t xml:space="preserve"> 1</w:t>
      </w:r>
      <w:r w:rsidRPr="00671BE6">
        <w:rPr>
          <w:rFonts w:eastAsia="Calibri"/>
          <w:bCs/>
        </w:rPr>
        <w:t xml:space="preserve"> % z celkovej ceny práce</w:t>
      </w:r>
      <w:r w:rsidRPr="00671BE6">
        <w:rPr>
          <w:rFonts w:eastAsia="Calibri"/>
        </w:rPr>
        <w:t xml:space="preserve"> podľa § 49 ods. 4 zákona o službách zamestnanosti vypočítanej z priemernej mzdy zamestnanca v hospodárstve Slovenskej republiky za prvý až tretí štvrťrok kalendárneho roka, ktorý predchádza kalendárnemu roku, v ktorom sa príspevok poskytuje</w:t>
      </w:r>
      <w:r w:rsidRPr="00671BE6">
        <w:rPr>
          <w:rFonts w:eastAsia="Calibri"/>
          <w:bCs/>
        </w:rPr>
        <w:t>, na jedného UoZ z cieľovej skupiny</w:t>
      </w:r>
      <w:r w:rsidRPr="00671BE6">
        <w:rPr>
          <w:rFonts w:eastAsia="Calibri"/>
          <w:bCs/>
          <w:i/>
          <w:iCs/>
        </w:rPr>
        <w:t> počas celej doby trvania aktivačnej činnosti</w:t>
      </w:r>
      <w:r w:rsidRPr="00671BE6">
        <w:rPr>
          <w:rFonts w:eastAsia="Calibri"/>
          <w:bCs/>
        </w:rPr>
        <w:t>. Konkrétna výška príspevku závisí od dohodnutého počtu UoZ vykonávajúcich aktivačnú činnosť (je stanovená v piatich pásmach) a na dohodnutom týždennom rozsahu vykonávania aktivačnej činnosti (20 hodín týždenne).</w:t>
      </w:r>
    </w:p>
    <w:tbl>
      <w:tblPr>
        <w:tblW w:w="8950" w:type="dxa"/>
        <w:jc w:val="center"/>
        <w:tblLayout w:type="fixed"/>
        <w:tblCellMar>
          <w:left w:w="70" w:type="dxa"/>
          <w:right w:w="70" w:type="dxa"/>
        </w:tblCellMar>
        <w:tblLook w:val="04A0" w:firstRow="1" w:lastRow="0" w:firstColumn="1" w:lastColumn="0" w:noHBand="0" w:noVBand="1"/>
      </w:tblPr>
      <w:tblGrid>
        <w:gridCol w:w="2594"/>
        <w:gridCol w:w="2092"/>
        <w:gridCol w:w="2145"/>
        <w:gridCol w:w="2119"/>
      </w:tblGrid>
      <w:tr w:rsidR="00671BE6" w:rsidRPr="00823499" w14:paraId="1087363F" w14:textId="77777777" w:rsidTr="00985F3F">
        <w:trPr>
          <w:trHeight w:val="1019"/>
          <w:jc w:val="center"/>
        </w:trPr>
        <w:tc>
          <w:tcPr>
            <w:tcW w:w="2594" w:type="dxa"/>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14:paraId="02BC8759" w14:textId="77777777" w:rsidR="00671BE6" w:rsidRPr="00823499" w:rsidRDefault="00671BE6" w:rsidP="00823499">
            <w:pPr>
              <w:spacing w:after="0"/>
              <w:ind w:hanging="6"/>
              <w:jc w:val="center"/>
              <w:rPr>
                <w:rFonts w:asciiTheme="minorHAnsi" w:hAnsiTheme="minorHAnsi" w:cstheme="minorHAnsi"/>
                <w:b/>
                <w:sz w:val="20"/>
                <w:szCs w:val="20"/>
              </w:rPr>
            </w:pPr>
            <w:r w:rsidRPr="00823499">
              <w:rPr>
                <w:rFonts w:asciiTheme="minorHAnsi" w:hAnsiTheme="minorHAnsi" w:cstheme="minorHAnsi"/>
                <w:b/>
                <w:sz w:val="20"/>
                <w:szCs w:val="20"/>
              </w:rPr>
              <w:t> Počet UoZ</w:t>
            </w:r>
          </w:p>
          <w:p w14:paraId="69873A47" w14:textId="15A11436" w:rsidR="00671BE6" w:rsidRPr="00823499" w:rsidRDefault="00671BE6" w:rsidP="00823499">
            <w:pPr>
              <w:spacing w:after="0"/>
              <w:ind w:hanging="6"/>
              <w:rPr>
                <w:rFonts w:asciiTheme="minorHAnsi" w:hAnsiTheme="minorHAnsi" w:cstheme="minorHAnsi"/>
                <w:b/>
                <w:sz w:val="20"/>
                <w:szCs w:val="20"/>
              </w:rPr>
            </w:pPr>
            <w:r w:rsidRPr="00823499">
              <w:rPr>
                <w:rFonts w:asciiTheme="minorHAnsi" w:hAnsiTheme="minorHAnsi" w:cstheme="minorHAnsi"/>
                <w:sz w:val="20"/>
                <w:szCs w:val="20"/>
              </w:rPr>
              <w:t> </w:t>
            </w:r>
          </w:p>
        </w:tc>
        <w:tc>
          <w:tcPr>
            <w:tcW w:w="209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D466A61" w14:textId="77777777" w:rsidR="00142AFD" w:rsidRDefault="00671BE6" w:rsidP="00823499">
            <w:pPr>
              <w:spacing w:after="0"/>
              <w:ind w:hanging="6"/>
              <w:jc w:val="center"/>
              <w:rPr>
                <w:rFonts w:asciiTheme="minorHAnsi" w:hAnsiTheme="minorHAnsi" w:cstheme="minorHAnsi"/>
                <w:b/>
                <w:bCs/>
                <w:sz w:val="20"/>
                <w:szCs w:val="20"/>
              </w:rPr>
            </w:pPr>
            <w:r w:rsidRPr="00823499">
              <w:rPr>
                <w:rFonts w:asciiTheme="minorHAnsi" w:hAnsiTheme="minorHAnsi" w:cstheme="minorHAnsi"/>
                <w:b/>
                <w:bCs/>
                <w:sz w:val="20"/>
                <w:szCs w:val="20"/>
              </w:rPr>
              <w:t>Príspevok na úhradu časti nákladov AČ najviac vo výške</w:t>
            </w:r>
            <w:r w:rsidR="00142AFD">
              <w:rPr>
                <w:rFonts w:asciiTheme="minorHAnsi" w:hAnsiTheme="minorHAnsi" w:cstheme="minorHAnsi"/>
                <w:b/>
                <w:bCs/>
                <w:sz w:val="20"/>
                <w:szCs w:val="20"/>
              </w:rPr>
              <w:t xml:space="preserve"> </w:t>
            </w:r>
          </w:p>
          <w:p w14:paraId="03D3B7B9" w14:textId="06441781" w:rsidR="00671BE6" w:rsidRPr="00823499" w:rsidRDefault="00142AFD" w:rsidP="00823499">
            <w:pPr>
              <w:spacing w:after="0"/>
              <w:ind w:hanging="6"/>
              <w:jc w:val="center"/>
              <w:rPr>
                <w:rFonts w:asciiTheme="minorHAnsi" w:hAnsiTheme="minorHAnsi" w:cstheme="minorHAnsi"/>
                <w:b/>
                <w:bCs/>
                <w:sz w:val="20"/>
                <w:szCs w:val="20"/>
              </w:rPr>
            </w:pPr>
            <w:r w:rsidRPr="00142AFD">
              <w:rPr>
                <w:rFonts w:asciiTheme="minorHAnsi" w:hAnsiTheme="minorHAnsi" w:cstheme="minorHAnsi"/>
                <w:bCs/>
                <w:sz w:val="20"/>
                <w:szCs w:val="20"/>
              </w:rPr>
              <w:t>(</w:t>
            </w:r>
            <w:r>
              <w:rPr>
                <w:rFonts w:asciiTheme="minorHAnsi" w:hAnsiTheme="minorHAnsi" w:cstheme="minorHAnsi"/>
                <w:bCs/>
                <w:sz w:val="20"/>
                <w:szCs w:val="20"/>
              </w:rPr>
              <w:t xml:space="preserve">v </w:t>
            </w:r>
            <w:r w:rsidRPr="00142AFD">
              <w:rPr>
                <w:rFonts w:asciiTheme="minorHAnsi" w:hAnsiTheme="minorHAnsi" w:cstheme="minorHAnsi"/>
                <w:bCs/>
                <w:sz w:val="20"/>
                <w:szCs w:val="20"/>
              </w:rPr>
              <w:t>eur)</w:t>
            </w:r>
          </w:p>
        </w:tc>
        <w:tc>
          <w:tcPr>
            <w:tcW w:w="21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C3BE655" w14:textId="6D0CAE0B" w:rsidR="00671BE6" w:rsidRPr="00823499" w:rsidRDefault="00671BE6" w:rsidP="00823499">
            <w:pPr>
              <w:spacing w:after="0"/>
              <w:ind w:hanging="6"/>
              <w:jc w:val="center"/>
              <w:rPr>
                <w:rFonts w:asciiTheme="minorHAnsi" w:hAnsiTheme="minorHAnsi" w:cstheme="minorHAnsi"/>
                <w:b/>
                <w:bCs/>
                <w:sz w:val="20"/>
                <w:szCs w:val="20"/>
              </w:rPr>
            </w:pPr>
            <w:r w:rsidRPr="00823499">
              <w:rPr>
                <w:rFonts w:asciiTheme="minorHAnsi" w:hAnsiTheme="minorHAnsi" w:cstheme="minorHAnsi"/>
                <w:b/>
                <w:bCs/>
                <w:sz w:val="20"/>
                <w:szCs w:val="20"/>
              </w:rPr>
              <w:t>Príspevok na CCP organizátora najviac vo výške</w:t>
            </w:r>
          </w:p>
        </w:tc>
        <w:tc>
          <w:tcPr>
            <w:tcW w:w="211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7FB1995" w14:textId="77777777" w:rsidR="00142AFD" w:rsidRDefault="00671BE6" w:rsidP="00823499">
            <w:pPr>
              <w:spacing w:after="0"/>
              <w:ind w:hanging="6"/>
              <w:jc w:val="center"/>
              <w:rPr>
                <w:rFonts w:asciiTheme="minorHAnsi" w:hAnsiTheme="minorHAnsi" w:cstheme="minorHAnsi"/>
                <w:b/>
                <w:bCs/>
                <w:sz w:val="20"/>
                <w:szCs w:val="20"/>
              </w:rPr>
            </w:pPr>
            <w:r w:rsidRPr="00823499">
              <w:rPr>
                <w:rFonts w:asciiTheme="minorHAnsi" w:hAnsiTheme="minorHAnsi" w:cstheme="minorHAnsi"/>
                <w:b/>
                <w:bCs/>
                <w:sz w:val="20"/>
                <w:szCs w:val="20"/>
              </w:rPr>
              <w:t>Príspevok na 1 UoZ /1 mesiac najviac vo výške</w:t>
            </w:r>
          </w:p>
          <w:p w14:paraId="51003893" w14:textId="5CF8D758" w:rsidR="00671BE6" w:rsidRPr="00823499" w:rsidRDefault="00142AFD" w:rsidP="00142AFD">
            <w:pPr>
              <w:spacing w:after="0"/>
              <w:ind w:hanging="6"/>
              <w:jc w:val="center"/>
              <w:rPr>
                <w:rFonts w:asciiTheme="minorHAnsi" w:hAnsiTheme="minorHAnsi" w:cstheme="minorHAnsi"/>
                <w:b/>
                <w:bCs/>
                <w:sz w:val="20"/>
                <w:szCs w:val="20"/>
              </w:rPr>
            </w:pPr>
            <w:r w:rsidRPr="00142AFD">
              <w:rPr>
                <w:rFonts w:asciiTheme="minorHAnsi" w:hAnsiTheme="minorHAnsi" w:cstheme="minorHAnsi"/>
                <w:bCs/>
                <w:sz w:val="20"/>
                <w:szCs w:val="20"/>
              </w:rPr>
              <w:t>(</w:t>
            </w:r>
            <w:r>
              <w:rPr>
                <w:rFonts w:asciiTheme="minorHAnsi" w:hAnsiTheme="minorHAnsi" w:cstheme="minorHAnsi"/>
                <w:bCs/>
                <w:sz w:val="20"/>
                <w:szCs w:val="20"/>
              </w:rPr>
              <w:t xml:space="preserve">v </w:t>
            </w:r>
            <w:r w:rsidRPr="00142AFD">
              <w:rPr>
                <w:rFonts w:asciiTheme="minorHAnsi" w:hAnsiTheme="minorHAnsi" w:cstheme="minorHAnsi"/>
                <w:bCs/>
                <w:sz w:val="20"/>
                <w:szCs w:val="20"/>
              </w:rPr>
              <w:t>eur)</w:t>
            </w:r>
          </w:p>
        </w:tc>
      </w:tr>
      <w:tr w:rsidR="00671BE6" w:rsidRPr="00823499" w14:paraId="4EBF0725" w14:textId="77777777" w:rsidTr="00985F3F">
        <w:trPr>
          <w:trHeight w:val="202"/>
          <w:jc w:val="center"/>
        </w:trPr>
        <w:tc>
          <w:tcPr>
            <w:tcW w:w="2594" w:type="dxa"/>
            <w:vMerge/>
            <w:tcBorders>
              <w:left w:val="single" w:sz="4" w:space="0" w:color="auto"/>
              <w:bottom w:val="single" w:sz="4" w:space="0" w:color="auto"/>
              <w:right w:val="single" w:sz="4" w:space="0" w:color="auto"/>
            </w:tcBorders>
            <w:shd w:val="clear" w:color="auto" w:fill="auto"/>
            <w:noWrap/>
            <w:vAlign w:val="bottom"/>
            <w:hideMark/>
          </w:tcPr>
          <w:p w14:paraId="2E38D65F" w14:textId="71AC86CE" w:rsidR="00671BE6" w:rsidRPr="00823499" w:rsidRDefault="00671BE6" w:rsidP="00823499">
            <w:pPr>
              <w:spacing w:after="0"/>
              <w:ind w:hanging="6"/>
              <w:rPr>
                <w:rFonts w:asciiTheme="minorHAnsi" w:hAnsiTheme="minorHAnsi" w:cstheme="minorHAnsi"/>
                <w:sz w:val="20"/>
                <w:szCs w:val="20"/>
              </w:rPr>
            </w:pPr>
          </w:p>
        </w:tc>
        <w:tc>
          <w:tcPr>
            <w:tcW w:w="2092" w:type="dxa"/>
            <w:tcBorders>
              <w:top w:val="nil"/>
              <w:left w:val="nil"/>
              <w:bottom w:val="single" w:sz="4" w:space="0" w:color="auto"/>
              <w:right w:val="single" w:sz="4" w:space="0" w:color="auto"/>
            </w:tcBorders>
            <w:shd w:val="clear" w:color="auto" w:fill="auto"/>
            <w:vAlign w:val="center"/>
            <w:hideMark/>
          </w:tcPr>
          <w:p w14:paraId="5584B8ED" w14:textId="77777777" w:rsidR="00671BE6" w:rsidRPr="00823499" w:rsidRDefault="00671BE6" w:rsidP="00823499">
            <w:pPr>
              <w:spacing w:after="0"/>
              <w:ind w:hanging="6"/>
              <w:jc w:val="center"/>
              <w:rPr>
                <w:rFonts w:asciiTheme="minorHAnsi" w:hAnsiTheme="minorHAnsi" w:cstheme="minorHAnsi"/>
                <w:bCs/>
                <w:i/>
                <w:iCs/>
                <w:sz w:val="20"/>
                <w:szCs w:val="20"/>
              </w:rPr>
            </w:pPr>
            <w:r w:rsidRPr="00823499">
              <w:rPr>
                <w:rFonts w:asciiTheme="minorHAnsi" w:hAnsiTheme="minorHAnsi" w:cstheme="minorHAnsi"/>
                <w:bCs/>
                <w:i/>
                <w:iCs/>
                <w:sz w:val="20"/>
                <w:szCs w:val="20"/>
              </w:rPr>
              <w:t>1 % CCP</w:t>
            </w:r>
          </w:p>
        </w:tc>
        <w:tc>
          <w:tcPr>
            <w:tcW w:w="2145" w:type="dxa"/>
            <w:tcBorders>
              <w:top w:val="nil"/>
              <w:left w:val="nil"/>
              <w:bottom w:val="single" w:sz="4" w:space="0" w:color="auto"/>
              <w:right w:val="single" w:sz="4" w:space="0" w:color="auto"/>
            </w:tcBorders>
            <w:shd w:val="clear" w:color="auto" w:fill="auto"/>
            <w:vAlign w:val="center"/>
            <w:hideMark/>
          </w:tcPr>
          <w:p w14:paraId="5FB741B3" w14:textId="77777777" w:rsidR="00671BE6" w:rsidRPr="00823499" w:rsidRDefault="00671BE6" w:rsidP="00823499">
            <w:pPr>
              <w:spacing w:after="0"/>
              <w:ind w:hanging="6"/>
              <w:jc w:val="center"/>
              <w:rPr>
                <w:rFonts w:asciiTheme="minorHAnsi" w:hAnsiTheme="minorHAnsi" w:cstheme="minorHAnsi"/>
                <w:bCs/>
                <w:i/>
                <w:iCs/>
                <w:sz w:val="20"/>
                <w:szCs w:val="20"/>
              </w:rPr>
            </w:pPr>
            <w:r w:rsidRPr="00823499">
              <w:rPr>
                <w:rFonts w:asciiTheme="minorHAnsi" w:hAnsiTheme="minorHAnsi" w:cstheme="minorHAnsi"/>
                <w:bCs/>
                <w:i/>
                <w:iCs/>
                <w:sz w:val="20"/>
                <w:szCs w:val="20"/>
              </w:rPr>
              <w:t>1 % CCP</w:t>
            </w:r>
          </w:p>
        </w:tc>
        <w:tc>
          <w:tcPr>
            <w:tcW w:w="2119" w:type="dxa"/>
            <w:tcBorders>
              <w:top w:val="nil"/>
              <w:left w:val="nil"/>
              <w:bottom w:val="single" w:sz="4" w:space="0" w:color="auto"/>
              <w:right w:val="single" w:sz="4" w:space="0" w:color="auto"/>
            </w:tcBorders>
            <w:shd w:val="clear" w:color="000000" w:fill="FFFFFF"/>
            <w:noWrap/>
            <w:vAlign w:val="center"/>
            <w:hideMark/>
          </w:tcPr>
          <w:p w14:paraId="1460558F" w14:textId="77777777" w:rsidR="00671BE6" w:rsidRPr="00823499" w:rsidRDefault="00671BE6" w:rsidP="00823499">
            <w:pPr>
              <w:spacing w:after="0"/>
              <w:ind w:hanging="6"/>
              <w:jc w:val="center"/>
              <w:rPr>
                <w:rFonts w:asciiTheme="minorHAnsi" w:hAnsiTheme="minorHAnsi" w:cstheme="minorHAnsi"/>
                <w:bCs/>
                <w:i/>
                <w:iCs/>
                <w:sz w:val="20"/>
                <w:szCs w:val="20"/>
              </w:rPr>
            </w:pPr>
            <w:r w:rsidRPr="00823499">
              <w:rPr>
                <w:rFonts w:asciiTheme="minorHAnsi" w:hAnsiTheme="minorHAnsi" w:cstheme="minorHAnsi"/>
                <w:bCs/>
                <w:i/>
                <w:iCs/>
                <w:sz w:val="20"/>
                <w:szCs w:val="20"/>
              </w:rPr>
              <w:t>2 % CCP</w:t>
            </w:r>
          </w:p>
        </w:tc>
      </w:tr>
      <w:tr w:rsidR="00671BE6" w:rsidRPr="00823499" w14:paraId="2E39B706" w14:textId="77777777" w:rsidTr="00985F3F">
        <w:trPr>
          <w:trHeight w:val="202"/>
          <w:jc w:val="center"/>
        </w:trPr>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181F920" w14:textId="77777777" w:rsidR="00671BE6" w:rsidRPr="00823499" w:rsidRDefault="00671BE6" w:rsidP="00823499">
            <w:pPr>
              <w:spacing w:after="0"/>
              <w:ind w:hanging="6"/>
              <w:rPr>
                <w:rFonts w:asciiTheme="minorHAnsi" w:hAnsiTheme="minorHAnsi" w:cstheme="minorHAnsi"/>
                <w:b/>
                <w:bCs/>
                <w:sz w:val="20"/>
                <w:szCs w:val="20"/>
              </w:rPr>
            </w:pPr>
            <w:r w:rsidRPr="00823499">
              <w:rPr>
                <w:rFonts w:asciiTheme="minorHAnsi" w:hAnsiTheme="minorHAnsi" w:cstheme="minorHAnsi"/>
                <w:b/>
                <w:bCs/>
                <w:sz w:val="20"/>
                <w:szCs w:val="20"/>
              </w:rPr>
              <w:t>1 - 25 UoZ</w:t>
            </w:r>
          </w:p>
        </w:tc>
        <w:tc>
          <w:tcPr>
            <w:tcW w:w="2092" w:type="dxa"/>
            <w:tcBorders>
              <w:top w:val="nil"/>
              <w:left w:val="nil"/>
              <w:bottom w:val="single" w:sz="4" w:space="0" w:color="auto"/>
              <w:right w:val="single" w:sz="4" w:space="0" w:color="auto"/>
            </w:tcBorders>
            <w:shd w:val="clear" w:color="auto" w:fill="auto"/>
            <w:noWrap/>
            <w:vAlign w:val="center"/>
            <w:hideMark/>
          </w:tcPr>
          <w:p w14:paraId="423EFC91" w14:textId="432C21A6"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17,11</w:t>
            </w:r>
          </w:p>
        </w:tc>
        <w:tc>
          <w:tcPr>
            <w:tcW w:w="2145" w:type="dxa"/>
            <w:tcBorders>
              <w:top w:val="nil"/>
              <w:left w:val="nil"/>
              <w:bottom w:val="single" w:sz="4" w:space="0" w:color="auto"/>
              <w:right w:val="single" w:sz="4" w:space="0" w:color="auto"/>
            </w:tcBorders>
            <w:shd w:val="clear" w:color="auto" w:fill="auto"/>
            <w:noWrap/>
            <w:vAlign w:val="center"/>
            <w:hideMark/>
          </w:tcPr>
          <w:p w14:paraId="056C2C82" w14:textId="5BF57760"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17,11</w:t>
            </w:r>
          </w:p>
        </w:tc>
        <w:tc>
          <w:tcPr>
            <w:tcW w:w="2119" w:type="dxa"/>
            <w:tcBorders>
              <w:top w:val="nil"/>
              <w:left w:val="nil"/>
              <w:bottom w:val="single" w:sz="4" w:space="0" w:color="auto"/>
              <w:right w:val="single" w:sz="4" w:space="0" w:color="auto"/>
            </w:tcBorders>
            <w:shd w:val="clear" w:color="auto" w:fill="auto"/>
            <w:noWrap/>
            <w:vAlign w:val="center"/>
            <w:hideMark/>
          </w:tcPr>
          <w:p w14:paraId="21F424EF" w14:textId="35D2DBB0"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34,22</w:t>
            </w:r>
          </w:p>
        </w:tc>
      </w:tr>
      <w:tr w:rsidR="00671BE6" w:rsidRPr="00823499" w14:paraId="67EA11D2" w14:textId="77777777" w:rsidTr="00985F3F">
        <w:trPr>
          <w:trHeight w:val="202"/>
          <w:jc w:val="center"/>
        </w:trPr>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72F1E9E" w14:textId="77777777" w:rsidR="00671BE6" w:rsidRPr="00823499" w:rsidRDefault="00671BE6" w:rsidP="00823499">
            <w:pPr>
              <w:spacing w:after="0"/>
              <w:ind w:hanging="6"/>
              <w:rPr>
                <w:rFonts w:asciiTheme="minorHAnsi" w:hAnsiTheme="minorHAnsi" w:cstheme="minorHAnsi"/>
                <w:b/>
                <w:bCs/>
                <w:sz w:val="20"/>
                <w:szCs w:val="20"/>
              </w:rPr>
            </w:pPr>
            <w:r w:rsidRPr="00823499">
              <w:rPr>
                <w:rFonts w:asciiTheme="minorHAnsi" w:hAnsiTheme="minorHAnsi" w:cstheme="minorHAnsi"/>
                <w:b/>
                <w:bCs/>
                <w:sz w:val="20"/>
                <w:szCs w:val="20"/>
              </w:rPr>
              <w:t>26 - 50 UoZ</w:t>
            </w:r>
          </w:p>
        </w:tc>
        <w:tc>
          <w:tcPr>
            <w:tcW w:w="2092" w:type="dxa"/>
            <w:tcBorders>
              <w:top w:val="nil"/>
              <w:left w:val="nil"/>
              <w:bottom w:val="single" w:sz="4" w:space="0" w:color="auto"/>
              <w:right w:val="single" w:sz="4" w:space="0" w:color="auto"/>
            </w:tcBorders>
            <w:shd w:val="clear" w:color="auto" w:fill="auto"/>
            <w:noWrap/>
            <w:vAlign w:val="center"/>
            <w:hideMark/>
          </w:tcPr>
          <w:p w14:paraId="65B69180" w14:textId="4023FAEA"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13,70</w:t>
            </w:r>
          </w:p>
        </w:tc>
        <w:tc>
          <w:tcPr>
            <w:tcW w:w="2145" w:type="dxa"/>
            <w:tcBorders>
              <w:top w:val="nil"/>
              <w:left w:val="nil"/>
              <w:bottom w:val="single" w:sz="4" w:space="0" w:color="auto"/>
              <w:right w:val="single" w:sz="4" w:space="0" w:color="auto"/>
            </w:tcBorders>
            <w:shd w:val="clear" w:color="auto" w:fill="auto"/>
            <w:noWrap/>
            <w:vAlign w:val="center"/>
            <w:hideMark/>
          </w:tcPr>
          <w:p w14:paraId="27F8D051" w14:textId="1F4BB7AD"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13,70</w:t>
            </w:r>
          </w:p>
        </w:tc>
        <w:tc>
          <w:tcPr>
            <w:tcW w:w="2119" w:type="dxa"/>
            <w:tcBorders>
              <w:top w:val="nil"/>
              <w:left w:val="nil"/>
              <w:bottom w:val="single" w:sz="4" w:space="0" w:color="auto"/>
              <w:right w:val="single" w:sz="4" w:space="0" w:color="auto"/>
            </w:tcBorders>
            <w:shd w:val="clear" w:color="auto" w:fill="auto"/>
            <w:noWrap/>
            <w:vAlign w:val="center"/>
            <w:hideMark/>
          </w:tcPr>
          <w:p w14:paraId="0F5C6DB9" w14:textId="5D559C4A"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27,40</w:t>
            </w:r>
          </w:p>
        </w:tc>
      </w:tr>
      <w:tr w:rsidR="00671BE6" w:rsidRPr="00823499" w14:paraId="09D812DD" w14:textId="77777777" w:rsidTr="00985F3F">
        <w:trPr>
          <w:trHeight w:val="202"/>
          <w:jc w:val="center"/>
        </w:trPr>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9BA874C" w14:textId="77777777" w:rsidR="00671BE6" w:rsidRPr="00823499" w:rsidRDefault="00671BE6" w:rsidP="00823499">
            <w:pPr>
              <w:spacing w:after="0"/>
              <w:ind w:hanging="6"/>
              <w:rPr>
                <w:rFonts w:asciiTheme="minorHAnsi" w:hAnsiTheme="minorHAnsi" w:cstheme="minorHAnsi"/>
                <w:b/>
                <w:bCs/>
                <w:sz w:val="20"/>
                <w:szCs w:val="20"/>
              </w:rPr>
            </w:pPr>
            <w:r w:rsidRPr="00823499">
              <w:rPr>
                <w:rFonts w:asciiTheme="minorHAnsi" w:hAnsiTheme="minorHAnsi" w:cstheme="minorHAnsi"/>
                <w:b/>
                <w:bCs/>
                <w:sz w:val="20"/>
                <w:szCs w:val="20"/>
              </w:rPr>
              <w:t>51 - 75 UoZ</w:t>
            </w:r>
          </w:p>
        </w:tc>
        <w:tc>
          <w:tcPr>
            <w:tcW w:w="2092" w:type="dxa"/>
            <w:tcBorders>
              <w:top w:val="nil"/>
              <w:left w:val="nil"/>
              <w:bottom w:val="single" w:sz="4" w:space="0" w:color="auto"/>
              <w:right w:val="single" w:sz="4" w:space="0" w:color="auto"/>
            </w:tcBorders>
            <w:shd w:val="clear" w:color="auto" w:fill="auto"/>
            <w:noWrap/>
            <w:vAlign w:val="center"/>
            <w:hideMark/>
          </w:tcPr>
          <w:p w14:paraId="23E53891" w14:textId="4CE86534"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11,00</w:t>
            </w:r>
          </w:p>
        </w:tc>
        <w:tc>
          <w:tcPr>
            <w:tcW w:w="2145" w:type="dxa"/>
            <w:tcBorders>
              <w:top w:val="nil"/>
              <w:left w:val="nil"/>
              <w:bottom w:val="single" w:sz="4" w:space="0" w:color="auto"/>
              <w:right w:val="single" w:sz="4" w:space="0" w:color="auto"/>
            </w:tcBorders>
            <w:shd w:val="clear" w:color="auto" w:fill="auto"/>
            <w:noWrap/>
            <w:vAlign w:val="center"/>
            <w:hideMark/>
          </w:tcPr>
          <w:p w14:paraId="2BB7D0DE" w14:textId="5CF91051"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11,00</w:t>
            </w:r>
          </w:p>
        </w:tc>
        <w:tc>
          <w:tcPr>
            <w:tcW w:w="2119" w:type="dxa"/>
            <w:tcBorders>
              <w:top w:val="nil"/>
              <w:left w:val="nil"/>
              <w:bottom w:val="single" w:sz="4" w:space="0" w:color="auto"/>
              <w:right w:val="single" w:sz="4" w:space="0" w:color="auto"/>
            </w:tcBorders>
            <w:shd w:val="clear" w:color="auto" w:fill="auto"/>
            <w:noWrap/>
            <w:vAlign w:val="center"/>
            <w:hideMark/>
          </w:tcPr>
          <w:p w14:paraId="45D4A559" w14:textId="28EC4272"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22,00</w:t>
            </w:r>
          </w:p>
        </w:tc>
      </w:tr>
      <w:tr w:rsidR="00671BE6" w:rsidRPr="00823499" w14:paraId="666DEF7A" w14:textId="77777777" w:rsidTr="00985F3F">
        <w:trPr>
          <w:trHeight w:val="202"/>
          <w:jc w:val="center"/>
        </w:trPr>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1585F5C" w14:textId="77777777" w:rsidR="00671BE6" w:rsidRPr="00823499" w:rsidRDefault="00671BE6" w:rsidP="00823499">
            <w:pPr>
              <w:spacing w:after="0"/>
              <w:ind w:hanging="6"/>
              <w:rPr>
                <w:rFonts w:asciiTheme="minorHAnsi" w:hAnsiTheme="minorHAnsi" w:cstheme="minorHAnsi"/>
                <w:b/>
                <w:bCs/>
                <w:sz w:val="20"/>
                <w:szCs w:val="20"/>
              </w:rPr>
            </w:pPr>
            <w:r w:rsidRPr="00823499">
              <w:rPr>
                <w:rFonts w:asciiTheme="minorHAnsi" w:hAnsiTheme="minorHAnsi" w:cstheme="minorHAnsi"/>
                <w:b/>
                <w:bCs/>
                <w:sz w:val="20"/>
                <w:szCs w:val="20"/>
              </w:rPr>
              <w:t>76 - 100 UoZ</w:t>
            </w:r>
          </w:p>
        </w:tc>
        <w:tc>
          <w:tcPr>
            <w:tcW w:w="2092" w:type="dxa"/>
            <w:tcBorders>
              <w:top w:val="nil"/>
              <w:left w:val="nil"/>
              <w:bottom w:val="single" w:sz="4" w:space="0" w:color="auto"/>
              <w:right w:val="single" w:sz="4" w:space="0" w:color="auto"/>
            </w:tcBorders>
            <w:shd w:val="clear" w:color="auto" w:fill="auto"/>
            <w:noWrap/>
            <w:vAlign w:val="center"/>
            <w:hideMark/>
          </w:tcPr>
          <w:p w14:paraId="764F134D" w14:textId="2451F9FB"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 xml:space="preserve"> 8,80</w:t>
            </w:r>
          </w:p>
        </w:tc>
        <w:tc>
          <w:tcPr>
            <w:tcW w:w="2145" w:type="dxa"/>
            <w:tcBorders>
              <w:top w:val="nil"/>
              <w:left w:val="nil"/>
              <w:bottom w:val="single" w:sz="4" w:space="0" w:color="auto"/>
              <w:right w:val="single" w:sz="4" w:space="0" w:color="auto"/>
            </w:tcBorders>
            <w:shd w:val="clear" w:color="auto" w:fill="auto"/>
            <w:noWrap/>
            <w:vAlign w:val="center"/>
            <w:hideMark/>
          </w:tcPr>
          <w:p w14:paraId="52A46ABB" w14:textId="6E4FBF57"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8,80</w:t>
            </w:r>
          </w:p>
        </w:tc>
        <w:tc>
          <w:tcPr>
            <w:tcW w:w="2119" w:type="dxa"/>
            <w:tcBorders>
              <w:top w:val="nil"/>
              <w:left w:val="nil"/>
              <w:bottom w:val="single" w:sz="4" w:space="0" w:color="auto"/>
              <w:right w:val="single" w:sz="4" w:space="0" w:color="auto"/>
            </w:tcBorders>
            <w:shd w:val="clear" w:color="auto" w:fill="auto"/>
            <w:noWrap/>
            <w:vAlign w:val="center"/>
            <w:hideMark/>
          </w:tcPr>
          <w:p w14:paraId="089F6838" w14:textId="4D024466"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17,60</w:t>
            </w:r>
          </w:p>
        </w:tc>
      </w:tr>
      <w:tr w:rsidR="00671BE6" w:rsidRPr="00823499" w14:paraId="6FADE1BC" w14:textId="77777777" w:rsidTr="00985F3F">
        <w:trPr>
          <w:trHeight w:val="202"/>
          <w:jc w:val="center"/>
        </w:trPr>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28911EF" w14:textId="77777777" w:rsidR="00671BE6" w:rsidRPr="00823499" w:rsidRDefault="00671BE6" w:rsidP="00823499">
            <w:pPr>
              <w:spacing w:after="0"/>
              <w:ind w:hanging="6"/>
              <w:rPr>
                <w:rFonts w:asciiTheme="minorHAnsi" w:hAnsiTheme="minorHAnsi" w:cstheme="minorHAnsi"/>
                <w:b/>
                <w:bCs/>
                <w:sz w:val="20"/>
                <w:szCs w:val="20"/>
              </w:rPr>
            </w:pPr>
            <w:r w:rsidRPr="00823499">
              <w:rPr>
                <w:rFonts w:asciiTheme="minorHAnsi" w:hAnsiTheme="minorHAnsi" w:cstheme="minorHAnsi"/>
                <w:b/>
                <w:bCs/>
                <w:sz w:val="20"/>
                <w:szCs w:val="20"/>
              </w:rPr>
              <w:t>101 UoZ a viac</w:t>
            </w:r>
          </w:p>
        </w:tc>
        <w:tc>
          <w:tcPr>
            <w:tcW w:w="2092" w:type="dxa"/>
            <w:tcBorders>
              <w:top w:val="nil"/>
              <w:left w:val="nil"/>
              <w:bottom w:val="single" w:sz="4" w:space="0" w:color="auto"/>
              <w:right w:val="single" w:sz="4" w:space="0" w:color="auto"/>
            </w:tcBorders>
            <w:shd w:val="clear" w:color="auto" w:fill="auto"/>
            <w:noWrap/>
            <w:vAlign w:val="center"/>
            <w:hideMark/>
          </w:tcPr>
          <w:p w14:paraId="7F81C5E7" w14:textId="1A9EA3A9"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7,10</w:t>
            </w:r>
          </w:p>
        </w:tc>
        <w:tc>
          <w:tcPr>
            <w:tcW w:w="2145" w:type="dxa"/>
            <w:tcBorders>
              <w:top w:val="nil"/>
              <w:left w:val="nil"/>
              <w:bottom w:val="single" w:sz="4" w:space="0" w:color="auto"/>
              <w:right w:val="single" w:sz="4" w:space="0" w:color="auto"/>
            </w:tcBorders>
            <w:shd w:val="clear" w:color="auto" w:fill="auto"/>
            <w:noWrap/>
            <w:vAlign w:val="center"/>
            <w:hideMark/>
          </w:tcPr>
          <w:p w14:paraId="30922515" w14:textId="6C1147A4"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7,10</w:t>
            </w:r>
          </w:p>
        </w:tc>
        <w:tc>
          <w:tcPr>
            <w:tcW w:w="2119" w:type="dxa"/>
            <w:tcBorders>
              <w:top w:val="nil"/>
              <w:left w:val="nil"/>
              <w:bottom w:val="single" w:sz="4" w:space="0" w:color="auto"/>
              <w:right w:val="single" w:sz="4" w:space="0" w:color="auto"/>
            </w:tcBorders>
            <w:shd w:val="clear" w:color="auto" w:fill="auto"/>
            <w:noWrap/>
            <w:vAlign w:val="center"/>
            <w:hideMark/>
          </w:tcPr>
          <w:p w14:paraId="71A55B56" w14:textId="1BF5860F" w:rsidR="00671BE6" w:rsidRPr="00823499" w:rsidRDefault="00671BE6" w:rsidP="00823499">
            <w:pPr>
              <w:spacing w:after="0"/>
              <w:ind w:hanging="6"/>
              <w:jc w:val="center"/>
              <w:rPr>
                <w:rFonts w:asciiTheme="minorHAnsi" w:hAnsiTheme="minorHAnsi" w:cstheme="minorHAnsi"/>
                <w:sz w:val="20"/>
                <w:szCs w:val="20"/>
              </w:rPr>
            </w:pPr>
            <w:r w:rsidRPr="00823499">
              <w:rPr>
                <w:rFonts w:asciiTheme="minorHAnsi" w:hAnsiTheme="minorHAnsi" w:cstheme="minorHAnsi"/>
                <w:sz w:val="20"/>
                <w:szCs w:val="20"/>
              </w:rPr>
              <w:t>14,20</w:t>
            </w:r>
          </w:p>
        </w:tc>
      </w:tr>
    </w:tbl>
    <w:p w14:paraId="367B0A8E" w14:textId="3DA2B0CB" w:rsidR="00671BE6" w:rsidRPr="00823499" w:rsidRDefault="00671BE6" w:rsidP="00671BE6">
      <w:pPr>
        <w:numPr>
          <w:ilvl w:val="0"/>
          <w:numId w:val="35"/>
        </w:numPr>
        <w:spacing w:before="120" w:after="0"/>
        <w:ind w:left="426" w:hanging="284"/>
      </w:pPr>
      <w:r w:rsidRPr="00823499">
        <w:rPr>
          <w:rFonts w:eastAsia="Calibri"/>
          <w:bCs/>
          <w:lang w:eastAsia="en-US"/>
        </w:rPr>
        <w:t>na úhradu časti celkovej ceny práce zamestnanca</w:t>
      </w:r>
      <w:r w:rsidRPr="00823499">
        <w:rPr>
          <w:rFonts w:eastAsia="Calibri"/>
          <w:lang w:eastAsia="en-US"/>
        </w:rPr>
        <w:t>, ktorý organizuje aktivačnú činnosť v rámci projektu</w:t>
      </w:r>
      <w:r w:rsidRPr="00823499">
        <w:rPr>
          <w:rFonts w:eastAsia="Calibri"/>
          <w:bCs/>
          <w:lang w:eastAsia="en-US"/>
        </w:rPr>
        <w:t xml:space="preserve"> najviac vo výške</w:t>
      </w:r>
      <w:r w:rsidRPr="00823499">
        <w:rPr>
          <w:rFonts w:eastAsia="Calibri"/>
          <w:lang w:eastAsia="en-US"/>
        </w:rPr>
        <w:t xml:space="preserve"> 1</w:t>
      </w:r>
      <w:r w:rsidRPr="00823499">
        <w:rPr>
          <w:rFonts w:eastAsia="Calibri"/>
          <w:bCs/>
          <w:lang w:eastAsia="en-US"/>
        </w:rPr>
        <w:t xml:space="preserve"> % z celkovej ceny práce</w:t>
      </w:r>
      <w:r w:rsidRPr="00823499">
        <w:rPr>
          <w:rFonts w:eastAsia="Calibri"/>
          <w:lang w:eastAsia="en-US"/>
        </w:rPr>
        <w:t xml:space="preserve"> podľa § 49 ods. 4 zákona o službách zamestnanosti vypočítanej z priemernej mzdy zamestnanca v hospodárstve Slovenskej republiky za prvý až tretí štvrťrok kalendárneho roka, ktorý predchádza kalendárnemu roku, v ktorom sa príspevok poskytuje, </w:t>
      </w:r>
      <w:r w:rsidRPr="00823499">
        <w:rPr>
          <w:rFonts w:eastAsia="Calibri"/>
          <w:bCs/>
          <w:lang w:eastAsia="en-US"/>
        </w:rPr>
        <w:t xml:space="preserve">na jedného UoZ z cieľovej skupiny </w:t>
      </w:r>
      <w:r w:rsidRPr="00823499">
        <w:rPr>
          <w:rFonts w:eastAsia="Calibri"/>
          <w:lang w:eastAsia="en-US"/>
        </w:rPr>
        <w:t>vykonávajúceho menšie obecné služby pre obec alebo menšie služby pre samosprávny kraj</w:t>
      </w:r>
      <w:r w:rsidRPr="00823499">
        <w:t>.</w:t>
      </w:r>
    </w:p>
    <w:p w14:paraId="77268465" w14:textId="181020B0" w:rsidR="00671BE6" w:rsidRPr="00671BE6" w:rsidRDefault="00671BE6" w:rsidP="00E62ABB">
      <w:pPr>
        <w:spacing w:before="120" w:after="0"/>
        <w:ind w:firstLine="0"/>
      </w:pPr>
      <w:r w:rsidRPr="00823499">
        <w:rPr>
          <w:rFonts w:eastAsia="Calibri"/>
        </w:rPr>
        <w:lastRenderedPageBreak/>
        <w:t>Výška príspevku v závislosti od dohodnutého týždenného rozsahu hodín a od dohodnutého počtu UoZ, ktorí vykonávajú aktivačnú činnosť.</w:t>
      </w:r>
      <w:r w:rsidRPr="00823499">
        <w:rPr>
          <w:lang w:eastAsia="cs-CZ"/>
        </w:rPr>
        <w:t xml:space="preserve"> Na finančný príspevok nie je právny nárok</w:t>
      </w:r>
      <w:r w:rsidR="00E62ABB">
        <w:rPr>
          <w:lang w:eastAsia="cs-CZ"/>
        </w:rPr>
        <w:t xml:space="preserve">. </w:t>
      </w:r>
      <w:r w:rsidRPr="00671BE6">
        <w:t xml:space="preserve">Dohodnutá výška príspevku sa po celú dobu trvania aktivačnej činnosti </w:t>
      </w:r>
      <w:r w:rsidR="00823499">
        <w:t>sa nevalorizovala</w:t>
      </w:r>
      <w:r w:rsidRPr="00671BE6">
        <w:t xml:space="preserve">. </w:t>
      </w:r>
    </w:p>
    <w:p w14:paraId="5286B619" w14:textId="46292D40" w:rsidR="00332898" w:rsidRPr="00332898" w:rsidRDefault="00332898" w:rsidP="00332898">
      <w:pPr>
        <w:spacing w:before="120" w:after="0"/>
        <w:ind w:firstLine="0"/>
      </w:pPr>
      <w:r w:rsidRPr="00332898">
        <w:t>V roku 2024 bolo prijatých 57</w:t>
      </w:r>
      <w:r w:rsidRPr="00332898">
        <w:rPr>
          <w:bCs/>
        </w:rPr>
        <w:t xml:space="preserve"> žiadostí zamestnávateľov</w:t>
      </w:r>
      <w:r w:rsidRPr="00332898">
        <w:t xml:space="preserve"> o poskytnutie finančného príspevku na aktivačnú činnosť formou menších obecných služieb pre UoZ na účely zabezpečenia vykonávania aktivačnej činnosti, z toho bolo </w:t>
      </w:r>
      <w:r w:rsidRPr="00332898">
        <w:rPr>
          <w:bCs/>
        </w:rPr>
        <w:t xml:space="preserve">schválených 53 </w:t>
      </w:r>
      <w:r w:rsidRPr="00332898">
        <w:t xml:space="preserve">žiadostí na 478 PM, z toho pre organizátora 18 PM v celkovej dohodnutej sume 11 695 </w:t>
      </w:r>
      <w:r w:rsidR="00790522">
        <w:t>eur</w:t>
      </w:r>
      <w:r w:rsidRPr="00332898">
        <w:t>. Čerpaná suma v rámci projektu bola vo výške 1 126 878</w:t>
      </w:r>
      <w:r w:rsidRPr="00332898">
        <w:rPr>
          <w:bCs/>
        </w:rPr>
        <w:t xml:space="preserve"> eur.</w:t>
      </w:r>
      <w:r w:rsidRPr="00332898">
        <w:t xml:space="preserve"> Do projektu bolo v roku 2024 </w:t>
      </w:r>
      <w:r w:rsidRPr="00332898">
        <w:rPr>
          <w:bCs/>
        </w:rPr>
        <w:t>zaradených 694 UoZ,</w:t>
      </w:r>
      <w:r w:rsidRPr="00332898">
        <w:t xml:space="preserve"> z toho 424 žien, 270 mužov.</w:t>
      </w:r>
    </w:p>
    <w:p w14:paraId="1504C2B0" w14:textId="4150D104" w:rsidR="00332898" w:rsidRPr="00332898" w:rsidRDefault="00332898" w:rsidP="00332898">
      <w:pPr>
        <w:spacing w:before="120" w:after="120"/>
        <w:ind w:firstLine="0"/>
      </w:pPr>
      <w:r>
        <w:rPr>
          <w:noProof/>
          <w:color w:val="FF0000"/>
          <w:sz w:val="20"/>
          <w:szCs w:val="20"/>
        </w:rPr>
        <w:drawing>
          <wp:anchor distT="0" distB="0" distL="114300" distR="114300" simplePos="0" relativeHeight="252637696" behindDoc="0" locked="0" layoutInCell="1" allowOverlap="1" wp14:anchorId="50A44A65" wp14:editId="4CF66696">
            <wp:simplePos x="0" y="0"/>
            <wp:positionH relativeFrom="margin">
              <wp:posOffset>-2540</wp:posOffset>
            </wp:positionH>
            <wp:positionV relativeFrom="paragraph">
              <wp:posOffset>1038860</wp:posOffset>
            </wp:positionV>
            <wp:extent cx="5862955" cy="2583815"/>
            <wp:effectExtent l="0" t="0" r="4445" b="6985"/>
            <wp:wrapTopAndBottom/>
            <wp:docPr id="5" name="Graf 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332898">
        <w:rPr>
          <w:bCs/>
        </w:rPr>
        <w:t>Z hľadiska doby evidencie</w:t>
      </w:r>
      <w:r w:rsidRPr="00332898">
        <w:t>, pred zaradením na vykonávanie aktivačnej činnosti bolo v roku 2024 najviac – 401 UoZ (57,78 %) v evidencii UoZ nad 24 mesiacov, od 13 do 24 mesiacov bolo v evidencii 85 UoZ (12,25 %), od 0 do 3 mesiacov bolo v evidencii 80 UoZ (11,53 %) , od 4 do 6 mesiacov bolo v evidencii 73 UoZ (10,52 %), do 7 do 12 mesiacov bolo v evidencii 55 UoZ (7,93 %), čo znázorňuje graf.</w:t>
      </w:r>
    </w:p>
    <w:p w14:paraId="594CC340" w14:textId="77777777" w:rsidR="00332898" w:rsidRPr="00332898" w:rsidRDefault="00332898" w:rsidP="00332898">
      <w:pPr>
        <w:autoSpaceDE w:val="0"/>
        <w:autoSpaceDN w:val="0"/>
        <w:adjustRightInd w:val="0"/>
        <w:spacing w:before="240" w:after="120"/>
        <w:ind w:firstLine="0"/>
        <w:rPr>
          <w:rFonts w:eastAsiaTheme="minorHAnsi"/>
          <w:lang w:eastAsia="en-US"/>
        </w:rPr>
      </w:pPr>
      <w:r w:rsidRPr="00332898">
        <w:rPr>
          <w:rFonts w:eastAsiaTheme="minorHAnsi"/>
          <w:lang w:eastAsia="en-US"/>
        </w:rPr>
        <w:t xml:space="preserve">Najväčší podiel zaradených UoZ bol vo veku od 30 do 49 rokov a to v počte 359 UoZ (51,73 %). Nasledovali UoZ vo veku 50 rokov a viac, ktorých bolo 227 (32,71 %), a vo veku od 25 do 29 rokov a to v počte 59 UoZ (8,50 %). Najmenší podiel zaradených v tomto projekte boli UoZ vo veku do 24 rokov v počte 49 UoZ (7,06 %) - v štruktúre podľa grafu. </w:t>
      </w:r>
    </w:p>
    <w:p w14:paraId="205DD84C" w14:textId="3EFF0756" w:rsidR="00671BE6" w:rsidRPr="00C67497" w:rsidRDefault="00332898" w:rsidP="00671BE6">
      <w:pPr>
        <w:autoSpaceDE w:val="0"/>
        <w:autoSpaceDN w:val="0"/>
        <w:adjustRightInd w:val="0"/>
        <w:spacing w:before="60" w:after="0"/>
        <w:ind w:hanging="6"/>
        <w:rPr>
          <w:rFonts w:eastAsiaTheme="minorHAnsi"/>
          <w:color w:val="FF0000"/>
          <w:highlight w:val="yellow"/>
          <w:lang w:eastAsia="en-US"/>
        </w:rPr>
      </w:pPr>
      <w:r>
        <w:rPr>
          <w:rFonts w:ascii="Calibri" w:eastAsia="Calibri" w:hAnsi="Calibri"/>
          <w:bCs/>
          <w:iCs/>
          <w:noProof/>
          <w:color w:val="FF0000"/>
          <w:sz w:val="22"/>
          <w:szCs w:val="22"/>
        </w:rPr>
        <w:drawing>
          <wp:inline distT="0" distB="0" distL="0" distR="0" wp14:anchorId="58C9356C" wp14:editId="5AC12F67">
            <wp:extent cx="5850890" cy="2727297"/>
            <wp:effectExtent l="0" t="0" r="16510" b="1651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CCCB85" w14:textId="77777777" w:rsidR="002A5432" w:rsidRDefault="002A5432" w:rsidP="00B6468E">
      <w:pPr>
        <w:autoSpaceDE w:val="0"/>
        <w:autoSpaceDN w:val="0"/>
        <w:adjustRightInd w:val="0"/>
        <w:spacing w:before="120" w:after="0"/>
        <w:ind w:firstLine="0"/>
        <w:rPr>
          <w:rFonts w:eastAsiaTheme="minorHAnsi"/>
          <w:lang w:eastAsia="en-US"/>
        </w:rPr>
      </w:pPr>
    </w:p>
    <w:p w14:paraId="60C2CC44" w14:textId="312F3401" w:rsidR="00671BE6" w:rsidRPr="00B6468E" w:rsidRDefault="002A5432" w:rsidP="00B6468E">
      <w:pPr>
        <w:autoSpaceDE w:val="0"/>
        <w:autoSpaceDN w:val="0"/>
        <w:adjustRightInd w:val="0"/>
        <w:spacing w:before="120" w:after="0"/>
        <w:ind w:firstLine="0"/>
        <w:rPr>
          <w:rFonts w:eastAsiaTheme="minorHAnsi"/>
          <w:lang w:eastAsia="en-US"/>
        </w:rPr>
      </w:pPr>
      <w:r>
        <w:rPr>
          <w:noProof/>
          <w:sz w:val="20"/>
          <w:szCs w:val="20"/>
          <w:highlight w:val="yellow"/>
        </w:rPr>
        <w:lastRenderedPageBreak/>
        <w:drawing>
          <wp:anchor distT="0" distB="0" distL="114300" distR="114300" simplePos="0" relativeHeight="252639744" behindDoc="0" locked="0" layoutInCell="1" allowOverlap="1" wp14:anchorId="04C1D2F5" wp14:editId="6913AA7E">
            <wp:simplePos x="0" y="0"/>
            <wp:positionH relativeFrom="margin">
              <wp:posOffset>-2540</wp:posOffset>
            </wp:positionH>
            <wp:positionV relativeFrom="paragraph">
              <wp:posOffset>1699260</wp:posOffset>
            </wp:positionV>
            <wp:extent cx="5876925" cy="4500245"/>
            <wp:effectExtent l="0" t="0" r="9525" b="14605"/>
            <wp:wrapTopAndBottom/>
            <wp:docPr id="13" name="Graf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2A5432">
        <w:rPr>
          <w:rFonts w:eastAsiaTheme="minorHAnsi"/>
          <w:lang w:eastAsia="en-US"/>
        </w:rPr>
        <w:t xml:space="preserve">Z hľadiska znevýhodnenia, najvyšší počet tvorili občania, ktorí najmenej 12 po sebe nasledujúcich kalendárnych mesiacov pred zaradením do evidencie UoZ nemali pravidelne platené zamestnanie a to v počte 541 UoZ (29,58 %), ďalšiu skupiny tvorili občania, ktorí dosiahli vzdelanie nižšie ako stredné odborné a to v počte 515 UoZ (28,16 %), ďalej nasledovali občania, ktorí boli dlhodobo nezamestnaní v počte 497 UoZ (27,17 %), UoZ starší ako 50 rokov 224 UoZ (12,25 </w:t>
      </w:r>
      <w:r w:rsidRPr="002A5432">
        <w:rPr>
          <w:rFonts w:eastAsiaTheme="minorHAnsi"/>
          <w:lang w:val="en-GB" w:eastAsia="en-US"/>
        </w:rPr>
        <w:t>%</w:t>
      </w:r>
      <w:r w:rsidRPr="002A5432">
        <w:rPr>
          <w:rFonts w:eastAsiaTheme="minorHAnsi"/>
          <w:lang w:eastAsia="en-US"/>
        </w:rPr>
        <w:t xml:space="preserve">), UoZ, ktorí ukončili poberanie materského alebo poberanie rodičovského príspevku 30 UoZ (1,64 %), občania so zdravotným postihnutím 11 UoZ (0,60 </w:t>
      </w:r>
      <w:r w:rsidRPr="002A5432">
        <w:rPr>
          <w:rFonts w:eastAsiaTheme="minorHAnsi"/>
          <w:lang w:val="en-GB" w:eastAsia="en-US"/>
        </w:rPr>
        <w:t>%</w:t>
      </w:r>
      <w:r w:rsidRPr="002A5432">
        <w:rPr>
          <w:rFonts w:eastAsiaTheme="minorHAnsi"/>
          <w:lang w:eastAsia="en-US"/>
        </w:rPr>
        <w:t xml:space="preserve">), osamelý občan – starostlivosť o odkázanú osobu/starajúci sa o dieťa 10 UoZ (0,55 %) absolventi škôl </w:t>
      </w:r>
      <w:r>
        <w:rPr>
          <w:rFonts w:eastAsiaTheme="minorHAnsi"/>
          <w:lang w:eastAsia="en-US"/>
        </w:rPr>
        <w:t xml:space="preserve">       </w:t>
      </w:r>
      <w:r w:rsidRPr="002A5432">
        <w:rPr>
          <w:rFonts w:eastAsiaTheme="minorHAnsi"/>
          <w:lang w:eastAsia="en-US"/>
        </w:rPr>
        <w:t>1 UoZ (0,05 %) a štátny príslušníci tretej krajiny 0 UoZ (0,00 %) v štruktúre podľa grafu nižšie</w:t>
      </w:r>
      <w:r>
        <w:rPr>
          <w:rFonts w:eastAsiaTheme="minorHAnsi"/>
          <w:lang w:eastAsia="en-US"/>
        </w:rPr>
        <w:t>.</w:t>
      </w:r>
    </w:p>
    <w:p w14:paraId="4A59E3C3" w14:textId="56E725CF" w:rsidR="002A5432" w:rsidRPr="002A5432" w:rsidRDefault="002A5432" w:rsidP="002A5432">
      <w:pPr>
        <w:spacing w:before="120" w:after="120"/>
        <w:ind w:firstLine="0"/>
        <w:rPr>
          <w:rFonts w:eastAsiaTheme="minorHAnsi"/>
          <w:lang w:eastAsia="en-US"/>
        </w:rPr>
      </w:pPr>
      <w:r w:rsidRPr="002A5432">
        <w:rPr>
          <w:rFonts w:eastAsiaTheme="minorHAnsi"/>
          <w:lang w:eastAsia="en-US"/>
        </w:rPr>
        <w:t>Podľa dosiahnutého stupňa vzdelania, najväčšiu skupinu zaradených UoZ tvorili so základným vzdelaním 410 UoZ (53,53 %) druhú skupinu predstavujú UoZ, ktorí dosiahli stredné odborné vzdelanie a to v počte 138 UoZ (20,93 %), ďalšia skupina boli UoZ s neukončeným základným</w:t>
      </w:r>
      <w:r w:rsidRPr="002A5432">
        <w:rPr>
          <w:rFonts w:eastAsiaTheme="minorHAnsi"/>
          <w:highlight w:val="yellow"/>
          <w:lang w:eastAsia="en-US"/>
        </w:rPr>
        <w:t xml:space="preserve"> </w:t>
      </w:r>
      <w:r w:rsidRPr="002A5432">
        <w:rPr>
          <w:rFonts w:eastAsiaTheme="minorHAnsi"/>
          <w:lang w:eastAsia="en-US"/>
        </w:rPr>
        <w:t>vzdelaním v počte 92 UoZ (18,50 %) a s úplným stredným odborným vzdelaním – 28 UoZ (4,40 %), ďalšími skupinami boli UoZ s nižším stredným odborným v počte 15 UoZ (0,56 %), s úplným stredným odborným vzdelaním v počte 5 UoZ (1,53 %),s vysokoškolským vzdelaním druhého stupňa 2 UoZ (0,04 %) v dvoch prípadoch nebolo určené žiadne vzdelanie, s vysokoškolským vzdelaním prvého stupňa v počte 1 UoZ (00,10 %), a s vysokoškolským vzdelaním tretieho stupňa v počte 1 UoZ (0</w:t>
      </w:r>
      <w:r>
        <w:rPr>
          <w:rFonts w:eastAsiaTheme="minorHAnsi"/>
          <w:lang w:eastAsia="en-US"/>
        </w:rPr>
        <w:t>,01 %), v štruktúre podľa grafu</w:t>
      </w:r>
      <w:r w:rsidRPr="002A5432">
        <w:rPr>
          <w:rFonts w:eastAsiaTheme="minorHAnsi"/>
          <w:lang w:eastAsia="en-US"/>
        </w:rPr>
        <w:t>.</w:t>
      </w:r>
    </w:p>
    <w:p w14:paraId="5C2428CB" w14:textId="77777777" w:rsidR="002A5432" w:rsidRDefault="002A5432" w:rsidP="002A5432">
      <w:pPr>
        <w:spacing w:before="120" w:after="120"/>
        <w:ind w:firstLine="0"/>
        <w:rPr>
          <w:rFonts w:eastAsiaTheme="minorHAnsi"/>
          <w:lang w:eastAsia="en-US"/>
        </w:rPr>
      </w:pPr>
    </w:p>
    <w:p w14:paraId="565A05A3" w14:textId="77777777" w:rsidR="002A5432" w:rsidRDefault="002A5432" w:rsidP="002A5432">
      <w:pPr>
        <w:spacing w:before="120" w:after="120"/>
        <w:ind w:firstLine="0"/>
        <w:rPr>
          <w:rFonts w:eastAsiaTheme="minorHAnsi"/>
          <w:lang w:eastAsia="en-US"/>
        </w:rPr>
      </w:pPr>
    </w:p>
    <w:p w14:paraId="7D1F4017" w14:textId="77777777" w:rsidR="002A5432" w:rsidRDefault="002A5432" w:rsidP="002A5432">
      <w:pPr>
        <w:spacing w:before="120" w:after="120"/>
        <w:ind w:firstLine="0"/>
        <w:rPr>
          <w:rFonts w:eastAsiaTheme="minorHAnsi"/>
          <w:lang w:eastAsia="en-US"/>
        </w:rPr>
      </w:pPr>
    </w:p>
    <w:p w14:paraId="30EE9CD4" w14:textId="77777777" w:rsidR="002A5432" w:rsidRDefault="002A5432" w:rsidP="002A5432">
      <w:pPr>
        <w:spacing w:before="120" w:after="120"/>
        <w:ind w:firstLine="0"/>
        <w:rPr>
          <w:rFonts w:eastAsiaTheme="minorHAnsi"/>
          <w:lang w:eastAsia="en-US"/>
        </w:rPr>
      </w:pPr>
    </w:p>
    <w:p w14:paraId="70B87C11" w14:textId="77777777" w:rsidR="002A5432" w:rsidRDefault="002A5432" w:rsidP="002A5432">
      <w:pPr>
        <w:spacing w:before="120" w:after="120"/>
        <w:ind w:firstLine="0"/>
        <w:rPr>
          <w:rFonts w:eastAsiaTheme="minorHAnsi"/>
          <w:lang w:eastAsia="en-US"/>
        </w:rPr>
      </w:pPr>
    </w:p>
    <w:p w14:paraId="0D70AF88" w14:textId="08499EAA" w:rsidR="002A5432" w:rsidRPr="002A5432" w:rsidRDefault="002A5432" w:rsidP="002A5432">
      <w:pPr>
        <w:spacing w:before="240" w:after="120"/>
        <w:ind w:firstLine="0"/>
        <w:rPr>
          <w:rFonts w:eastAsiaTheme="minorHAnsi"/>
          <w:lang w:eastAsia="en-US"/>
        </w:rPr>
      </w:pPr>
      <w:r>
        <w:rPr>
          <w:noProof/>
          <w:color w:val="FF0000"/>
          <w:sz w:val="20"/>
          <w:szCs w:val="20"/>
        </w:rPr>
        <w:lastRenderedPageBreak/>
        <w:drawing>
          <wp:anchor distT="0" distB="0" distL="114300" distR="114300" simplePos="0" relativeHeight="252641792" behindDoc="0" locked="0" layoutInCell="1" allowOverlap="1" wp14:anchorId="3BDA7E17" wp14:editId="6D2F2F49">
            <wp:simplePos x="0" y="0"/>
            <wp:positionH relativeFrom="margin">
              <wp:posOffset>0</wp:posOffset>
            </wp:positionH>
            <wp:positionV relativeFrom="paragraph">
              <wp:posOffset>76725</wp:posOffset>
            </wp:positionV>
            <wp:extent cx="5862955" cy="3466465"/>
            <wp:effectExtent l="0" t="0" r="4445" b="635"/>
            <wp:wrapTopAndBottom/>
            <wp:docPr id="14" name="Graf 1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2A5432">
        <w:rPr>
          <w:rFonts w:eastAsiaTheme="minorHAnsi"/>
          <w:lang w:eastAsia="en-US"/>
        </w:rPr>
        <w:t xml:space="preserve">Do projektu sa v roku 2024 zapojilo 53 zamestnávateľov. Z hľadiska právnej formy zamestnávateľa, najväčší záujem o výkon aktivačnej činnosti prejavili obce a mestá – 50 </w:t>
      </w:r>
      <w:r>
        <w:rPr>
          <w:rFonts w:eastAsiaTheme="minorHAnsi"/>
          <w:lang w:eastAsia="en-US"/>
        </w:rPr>
        <w:t xml:space="preserve">             </w:t>
      </w:r>
      <w:r w:rsidRPr="002A5432">
        <w:rPr>
          <w:rFonts w:eastAsiaTheme="minorHAnsi"/>
          <w:lang w:eastAsia="en-US"/>
        </w:rPr>
        <w:t>(96,81 %) za nimi nasledovali rozpočtové organizácie, ktoré boli 3 (2,50 %).</w:t>
      </w:r>
    </w:p>
    <w:p w14:paraId="67F678DC" w14:textId="614A47E3" w:rsidR="00671BE6" w:rsidRDefault="002A5432" w:rsidP="00671BE6">
      <w:pPr>
        <w:spacing w:before="120" w:after="120"/>
        <w:ind w:firstLine="0"/>
      </w:pPr>
      <w:r>
        <w:rPr>
          <w:rFonts w:eastAsiaTheme="minorHAnsi"/>
          <w:noProof/>
          <w:color w:val="FF0000"/>
        </w:rPr>
        <w:drawing>
          <wp:anchor distT="0" distB="0" distL="114300" distR="114300" simplePos="0" relativeHeight="252643840" behindDoc="1" locked="0" layoutInCell="1" allowOverlap="1" wp14:anchorId="79B4B643" wp14:editId="0B08F6AC">
            <wp:simplePos x="0" y="0"/>
            <wp:positionH relativeFrom="margin">
              <wp:posOffset>0</wp:posOffset>
            </wp:positionH>
            <wp:positionV relativeFrom="paragraph">
              <wp:posOffset>-635</wp:posOffset>
            </wp:positionV>
            <wp:extent cx="5828030" cy="2889250"/>
            <wp:effectExtent l="0" t="0" r="1270" b="6350"/>
            <wp:wrapNone/>
            <wp:docPr id="17" name="Graf 1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162B8EF2" w14:textId="5DAF6F91" w:rsidR="00B6468E" w:rsidRDefault="00B6468E" w:rsidP="00671BE6">
      <w:pPr>
        <w:spacing w:before="120" w:after="120"/>
        <w:ind w:firstLine="0"/>
      </w:pPr>
    </w:p>
    <w:p w14:paraId="0125EAAF" w14:textId="5EC85B39" w:rsidR="00B6468E" w:rsidRDefault="00B6468E" w:rsidP="00671BE6">
      <w:pPr>
        <w:spacing w:before="120" w:after="120"/>
        <w:ind w:firstLine="0"/>
      </w:pPr>
    </w:p>
    <w:p w14:paraId="559F784A" w14:textId="77272562" w:rsidR="00B6468E" w:rsidRDefault="00B6468E" w:rsidP="00671BE6">
      <w:pPr>
        <w:spacing w:before="120" w:after="120"/>
        <w:ind w:firstLine="0"/>
      </w:pPr>
    </w:p>
    <w:p w14:paraId="6AE99F56" w14:textId="3C76DB9D" w:rsidR="00B6468E" w:rsidRDefault="00B6468E" w:rsidP="00671BE6">
      <w:pPr>
        <w:spacing w:before="120" w:after="120"/>
        <w:ind w:firstLine="0"/>
      </w:pPr>
    </w:p>
    <w:p w14:paraId="5EF0095D" w14:textId="04CE8762" w:rsidR="00B6468E" w:rsidRDefault="00B6468E" w:rsidP="00671BE6">
      <w:pPr>
        <w:spacing w:before="120" w:after="120"/>
        <w:ind w:firstLine="0"/>
      </w:pPr>
    </w:p>
    <w:p w14:paraId="17B65582" w14:textId="07806E80" w:rsidR="00B6468E" w:rsidRDefault="00B6468E" w:rsidP="00671BE6">
      <w:pPr>
        <w:spacing w:before="120" w:after="120"/>
        <w:ind w:firstLine="0"/>
      </w:pPr>
    </w:p>
    <w:p w14:paraId="4FA84620" w14:textId="0ABB9BB0" w:rsidR="00B6468E" w:rsidRDefault="00B6468E" w:rsidP="00671BE6">
      <w:pPr>
        <w:spacing w:before="120" w:after="120"/>
        <w:ind w:firstLine="0"/>
      </w:pPr>
    </w:p>
    <w:p w14:paraId="390E69B7" w14:textId="48317F9A" w:rsidR="00B6468E" w:rsidRDefault="00B6468E" w:rsidP="00671BE6">
      <w:pPr>
        <w:spacing w:before="120" w:after="120"/>
        <w:ind w:firstLine="0"/>
      </w:pPr>
    </w:p>
    <w:p w14:paraId="2DF912E2" w14:textId="5A767A7A" w:rsidR="00B6468E" w:rsidRDefault="00B6468E" w:rsidP="00671BE6">
      <w:pPr>
        <w:spacing w:before="120" w:after="120"/>
        <w:ind w:firstLine="0"/>
      </w:pPr>
    </w:p>
    <w:p w14:paraId="0E457B35" w14:textId="6CC6D223" w:rsidR="001D4C90" w:rsidRDefault="001D4C90" w:rsidP="00671BE6">
      <w:pPr>
        <w:spacing w:before="120" w:after="120"/>
        <w:ind w:firstLine="0"/>
      </w:pPr>
    </w:p>
    <w:p w14:paraId="22788626" w14:textId="0BB69E94" w:rsidR="002A5432" w:rsidRDefault="002A5432" w:rsidP="00671BE6">
      <w:pPr>
        <w:spacing w:before="120" w:after="120"/>
        <w:ind w:firstLine="0"/>
      </w:pPr>
    </w:p>
    <w:p w14:paraId="2A05A12C" w14:textId="77777777" w:rsidR="002A5432" w:rsidRPr="007E46B2" w:rsidRDefault="002A5432" w:rsidP="007E46B2">
      <w:pPr>
        <w:pStyle w:val="Nadpis3"/>
      </w:pPr>
      <w:bookmarkStart w:id="147" w:name="_Toc199230851"/>
      <w:r w:rsidRPr="007E46B2">
        <w:t>Projekt „Podpora udržania pracovných návykov- PUPN 2“</w:t>
      </w:r>
      <w:bookmarkEnd w:id="147"/>
    </w:p>
    <w:p w14:paraId="3504E934" w14:textId="79A0B353" w:rsidR="002A5432" w:rsidRPr="002A5432" w:rsidRDefault="002A5432" w:rsidP="002A5432">
      <w:pPr>
        <w:spacing w:after="0"/>
        <w:ind w:hanging="6"/>
      </w:pPr>
      <w:r w:rsidRPr="002A5432">
        <w:rPr>
          <w:bCs/>
        </w:rPr>
        <w:t>Projekt</w:t>
      </w:r>
      <w:r w:rsidR="007E46B2">
        <w:t xml:space="preserve"> sa realizoval v období od marca 2024 do decembra </w:t>
      </w:r>
      <w:r w:rsidRPr="002A5432">
        <w:t>2024 na celom území SR. Cieľom projek</w:t>
      </w:r>
      <w:r w:rsidR="007E46B2">
        <w:t xml:space="preserve">tu bola </w:t>
      </w:r>
      <w:r w:rsidRPr="002A5432">
        <w:t>podpora zamestnateľnosti, udržiavania pracovných návykov a rozvoja zručností UoZ formou menších obecných služieb pre obec alebo formou menších služieb pre samosprávny kraj. Cieľom projektu bolo taktiež preklenutie prechodného obdobia a postupné utlmovanie podpory aktivácie a aktivačných prác. Za oprávneného žiadateľa sa považuje obec, samosprávny kraj, rozpočtová organizácia, ktorej zriaďovateľom je obec, príspevková organizácia, ktorej zriaďovateľom je obec, rozpočtová organizácia, ktorej zakladateľom alebo zriaďovateľom je samosprávny kraj, príspevková organizácia, ktorej zakladateľom alebo zriaďovateľom je samosprávny kraj.</w:t>
      </w:r>
    </w:p>
    <w:p w14:paraId="43AE6530" w14:textId="77777777" w:rsidR="007E46B2" w:rsidRDefault="007E46B2" w:rsidP="002A5432">
      <w:pPr>
        <w:spacing w:after="0"/>
        <w:ind w:firstLine="0"/>
      </w:pPr>
    </w:p>
    <w:p w14:paraId="18735007" w14:textId="3D1E04E4" w:rsidR="002A5432" w:rsidRPr="002A5432" w:rsidRDefault="002A5432" w:rsidP="002A5432">
      <w:pPr>
        <w:spacing w:after="0"/>
        <w:ind w:firstLine="0"/>
      </w:pPr>
      <w:r w:rsidRPr="002A5432">
        <w:lastRenderedPageBreak/>
        <w:t>Oprávnenou cieľovou skupinou projektu je</w:t>
      </w:r>
    </w:p>
    <w:p w14:paraId="0033154A" w14:textId="79D4FF5D" w:rsidR="002A5432" w:rsidRPr="002A5432" w:rsidRDefault="002A5432" w:rsidP="00142AFD">
      <w:pPr>
        <w:pStyle w:val="Odsekzoznamu"/>
        <w:numPr>
          <w:ilvl w:val="0"/>
          <w:numId w:val="46"/>
        </w:numPr>
        <w:spacing w:before="0" w:after="0"/>
        <w:ind w:left="425" w:hanging="425"/>
      </w:pPr>
      <w:r w:rsidRPr="007E46B2">
        <w:t>uchádzač o zamestnanie (ďalej len „UoZ“) podľa § 6 zákona o službách zamestnanosti, ktorý je zároveň členom domácnosti, ktorej sa poskytuje pomoc</w:t>
      </w:r>
      <w:r w:rsidR="007E46B2" w:rsidRPr="007E46B2">
        <w:t xml:space="preserve"> </w:t>
      </w:r>
      <w:r w:rsidRPr="002A5432">
        <w:t>v hmotnej núdzi v zmysle zákona č. 417/2013 Z. z. o pomoci v hmotnej núdzi a o zmene a doplnení niektorých zákonov (ďalej len „zákon o pomoci v hmotnej núdzi“),</w:t>
      </w:r>
    </w:p>
    <w:p w14:paraId="03E47F46" w14:textId="2B70FBE9" w:rsidR="002A5432" w:rsidRPr="002A5432" w:rsidRDefault="002A5432" w:rsidP="007E46B2">
      <w:pPr>
        <w:pStyle w:val="Odsekzoznamu"/>
        <w:numPr>
          <w:ilvl w:val="0"/>
          <w:numId w:val="46"/>
        </w:numPr>
        <w:spacing w:after="0"/>
        <w:ind w:left="426" w:hanging="426"/>
        <w:contextualSpacing/>
      </w:pPr>
      <w:r w:rsidRPr="007E46B2">
        <w:t xml:space="preserve">UoZ podľa § 6 zákona o službách zamestnanosti, ktorý je poberateľom dávky </w:t>
      </w:r>
      <w:r w:rsidRPr="002A5432">
        <w:t>v hmotnej núdzi v zmysle zákona o pomoci v hmotnej núdzi.</w:t>
      </w:r>
    </w:p>
    <w:p w14:paraId="62F29374" w14:textId="77777777" w:rsidR="002A5432" w:rsidRPr="002A5432" w:rsidRDefault="002A5432" w:rsidP="007E46B2">
      <w:pPr>
        <w:spacing w:before="120" w:after="0"/>
        <w:ind w:hanging="6"/>
      </w:pPr>
      <w:r w:rsidRPr="002A5432">
        <w:t xml:space="preserve">Mesačnú výšku príspevku na AČ formou menších obecných služieb pre obec alebo formou menších služieb pre samosprávny kraj, príspevkovú alebo rozpočtovú organizáciu nimi zriadenú,  bolo možné na základe podanej žiadosti uplatniť na úhradu časti nákladov, ktoré súviseli s vykonávaním menších obecných služieb pre obec, organizáciu zriadenú obcou alebo menších služieb pre samosprávny kraj, organizáciu zriadenú samosprávnym krajom najviac vo výške 1 % z celkovej ceny práce (ďalej len „CCP“) podľa § 49 ods. 4 zákona o službách zamestnanosti vypočítanej z priemernej mzdy zamestnanca v hospodárstve Slovenskej republiky za I. až III. štvrťrok kalendárneho roka, ktorý predchádzal kalendárnemu roku, v ktorom sa príspevok poskytoval, na jedného UoZ z cieľovej skupiny počas celej doby trvania AČ. </w:t>
      </w:r>
    </w:p>
    <w:p w14:paraId="0F0FBD0F" w14:textId="4C281BF6" w:rsidR="002A5432" w:rsidRPr="002A5432" w:rsidRDefault="002A5432" w:rsidP="007E46B2">
      <w:pPr>
        <w:spacing w:before="120" w:after="0"/>
      </w:pPr>
      <w:r w:rsidRPr="002A5432">
        <w:t xml:space="preserve">Príspevok sa poskytoval mesačne na jedného UoZ z cieľovej skupiny, najviac vo výške 18,84 </w:t>
      </w:r>
      <w:r w:rsidR="00790522">
        <w:t>eur</w:t>
      </w:r>
      <w:r w:rsidRPr="002A5432">
        <w:t>, vykonávajúceho menšie obecné služby pre obec alebo menšie služby pre samosprávny kraj  počas celej doby trvania AČ maximálne 9 mesiacov, pri dohodnutom týždennom rozsahu vykonávania aktivačnej činnosti najmenej 16 a najviac 20 hodín týždenne.</w:t>
      </w:r>
    </w:p>
    <w:p w14:paraId="1C6BC4E7" w14:textId="4623C851" w:rsidR="002A5432" w:rsidRPr="002A5432" w:rsidRDefault="002A5432" w:rsidP="007E46B2">
      <w:pPr>
        <w:spacing w:before="120" w:after="0"/>
        <w:ind w:firstLine="0"/>
      </w:pPr>
      <w:r w:rsidRPr="002A5432">
        <w:t xml:space="preserve">V roku 2024 bolo v rámci projektu </w:t>
      </w:r>
      <w:r w:rsidR="007E46B2" w:rsidRPr="002A5432">
        <w:t xml:space="preserve">prijatých </w:t>
      </w:r>
      <w:r w:rsidRPr="002A5432">
        <w:t>1 852 žiadostí zamestnávateľov o poskytnutie finančného príspevku na aktivačnú činnosť formou menších obecných služieb pre UoZ na účely zabezpečenia vykonávania aktivačnej činnosti, z toho bolo schválených 1 805 žiadostí na 15 930  PM, s čerpaním finančných prostriedkov vo výške 1 494 582 eur.</w:t>
      </w:r>
    </w:p>
    <w:p w14:paraId="6D6D8910" w14:textId="77777777" w:rsidR="002A5432" w:rsidRPr="002A5432" w:rsidRDefault="002A5432" w:rsidP="002A5432">
      <w:pPr>
        <w:spacing w:before="120" w:after="0"/>
        <w:rPr>
          <w:lang w:eastAsia="en-US"/>
        </w:rPr>
      </w:pPr>
      <w:r w:rsidRPr="002A5432">
        <w:rPr>
          <w:lang w:eastAsia="en-US"/>
        </w:rPr>
        <w:t xml:space="preserve">Do projektu bolo v roku 2024 (od marca 2024) </w:t>
      </w:r>
      <w:r w:rsidRPr="002A5432">
        <w:rPr>
          <w:bCs/>
          <w:lang w:eastAsia="en-US"/>
        </w:rPr>
        <w:t>zaradených 15 786 UoZ,</w:t>
      </w:r>
      <w:r w:rsidRPr="002A5432">
        <w:rPr>
          <w:lang w:eastAsia="en-US"/>
        </w:rPr>
        <w:t xml:space="preserve"> z toho 9 218 žien, 6 568 mužov.</w:t>
      </w:r>
    </w:p>
    <w:p w14:paraId="1E301F07" w14:textId="4DA0F1DA" w:rsidR="002A5432" w:rsidRPr="002A5432" w:rsidRDefault="002A5432" w:rsidP="002A5432">
      <w:pPr>
        <w:spacing w:before="120" w:after="0"/>
        <w:ind w:firstLine="0"/>
      </w:pPr>
      <w:r w:rsidRPr="002A5432">
        <w:rPr>
          <w:noProof/>
          <w:color w:val="FF0000"/>
          <w:sz w:val="20"/>
          <w:szCs w:val="20"/>
        </w:rPr>
        <w:drawing>
          <wp:anchor distT="0" distB="0" distL="114300" distR="114300" simplePos="0" relativeHeight="252645888" behindDoc="0" locked="0" layoutInCell="1" allowOverlap="1" wp14:anchorId="214524D9" wp14:editId="49ED5F39">
            <wp:simplePos x="0" y="0"/>
            <wp:positionH relativeFrom="margin">
              <wp:posOffset>-2540</wp:posOffset>
            </wp:positionH>
            <wp:positionV relativeFrom="paragraph">
              <wp:posOffset>1016635</wp:posOffset>
            </wp:positionV>
            <wp:extent cx="5862955" cy="3108325"/>
            <wp:effectExtent l="0" t="0" r="4445" b="15875"/>
            <wp:wrapTopAndBottom/>
            <wp:docPr id="2" name="Graf 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7E46B2">
        <w:rPr>
          <w:bCs/>
        </w:rPr>
        <w:t>Z hľadiska dĺžky</w:t>
      </w:r>
      <w:r w:rsidRPr="002A5432">
        <w:rPr>
          <w:bCs/>
        </w:rPr>
        <w:t xml:space="preserve"> evidencie</w:t>
      </w:r>
      <w:r w:rsidR="007E46B2">
        <w:rPr>
          <w:bCs/>
        </w:rPr>
        <w:t xml:space="preserve"> UoZ</w:t>
      </w:r>
      <w:r w:rsidRPr="002A5432">
        <w:t>, pred zaradením na vykonávanie aktivačnej činnosti bolo v roku 2024 (od 04. marca 2024) najviac – 11 350 UoZ (71,90 %) v evidencii UoZ nad 24 mesiacov, od 13 do 24 mesiacov bolo v evidencii 2 191 UoZ (13,88 %), od 7 do 12 mesiacov bolo v evidencii 1 143 UoZ (7,24 %) , od 4 do 6 mesiacov bolo v evidencii 647 UoZ (4,10 %), do 3 mesiacov bolo v evidencii 455 UoZ(2,88 %), čo znázorňuje graf.</w:t>
      </w:r>
    </w:p>
    <w:p w14:paraId="5964F861" w14:textId="7CB383FE" w:rsidR="002A5432" w:rsidRPr="002A5432" w:rsidRDefault="007E46B2" w:rsidP="007E46B2">
      <w:pPr>
        <w:autoSpaceDE w:val="0"/>
        <w:autoSpaceDN w:val="0"/>
        <w:adjustRightInd w:val="0"/>
        <w:spacing w:before="120" w:after="120"/>
        <w:ind w:firstLine="0"/>
        <w:rPr>
          <w:rFonts w:eastAsia="Calibri"/>
          <w:lang w:eastAsia="en-US"/>
        </w:rPr>
      </w:pPr>
      <w:r w:rsidRPr="002A5432">
        <w:rPr>
          <w:rFonts w:ascii="Calibri" w:eastAsia="Calibri" w:hAnsi="Calibri"/>
          <w:b/>
          <w:bCs/>
          <w:iCs/>
          <w:noProof/>
          <w:color w:val="FF0000"/>
          <w:sz w:val="22"/>
          <w:szCs w:val="22"/>
        </w:rPr>
        <w:lastRenderedPageBreak/>
        <w:drawing>
          <wp:anchor distT="0" distB="0" distL="114300" distR="114300" simplePos="0" relativeHeight="252649984" behindDoc="0" locked="0" layoutInCell="1" allowOverlap="1" wp14:anchorId="70497626" wp14:editId="7C2AC476">
            <wp:simplePos x="0" y="0"/>
            <wp:positionH relativeFrom="column">
              <wp:posOffset>13970</wp:posOffset>
            </wp:positionH>
            <wp:positionV relativeFrom="paragraph">
              <wp:posOffset>737704</wp:posOffset>
            </wp:positionV>
            <wp:extent cx="5850890" cy="3061253"/>
            <wp:effectExtent l="0" t="0" r="16510" b="6350"/>
            <wp:wrapNone/>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V relativeFrom="margin">
              <wp14:pctHeight>0</wp14:pctHeight>
            </wp14:sizeRelV>
          </wp:anchor>
        </w:drawing>
      </w:r>
      <w:r w:rsidR="002A5432" w:rsidRPr="002A5432">
        <w:rPr>
          <w:rFonts w:eastAsia="Calibri"/>
          <w:lang w:eastAsia="en-US"/>
        </w:rPr>
        <w:t>Najväčší podiel zaradených UoZ bol vo veku od 30 do 49 rokov a to v počte 8 243 UoZ (52,22 %). Nasledovali UoZ vo veku 50 rokov a viac, ktorých bolo 5 695 (36,08 %), a vo veku od 25 do 29 rokov a to v počte 1 189 UoZ (7,53 %). Najmenší podiel zaradených v tomto projekte boli UoZ vo veku do 24 rokov v počte 659UoZ (4,17 %) - v štruktúre podľa</w:t>
      </w:r>
      <w:r w:rsidR="00A277C7">
        <w:rPr>
          <w:rFonts w:eastAsia="Calibri"/>
          <w:lang w:eastAsia="en-US"/>
        </w:rPr>
        <w:t xml:space="preserve"> nasledujúceho</w:t>
      </w:r>
      <w:r w:rsidR="002A5432" w:rsidRPr="002A5432">
        <w:rPr>
          <w:rFonts w:eastAsia="Calibri"/>
          <w:lang w:eastAsia="en-US"/>
        </w:rPr>
        <w:t xml:space="preserve"> grafu.</w:t>
      </w:r>
    </w:p>
    <w:p w14:paraId="78286864" w14:textId="43BF97D3" w:rsidR="007E46B2" w:rsidRDefault="007E46B2" w:rsidP="002A5432">
      <w:pPr>
        <w:autoSpaceDE w:val="0"/>
        <w:autoSpaceDN w:val="0"/>
        <w:adjustRightInd w:val="0"/>
        <w:spacing w:before="120" w:after="0"/>
        <w:ind w:firstLine="0"/>
        <w:rPr>
          <w:rFonts w:eastAsia="Calibri"/>
          <w:lang w:eastAsia="en-US"/>
        </w:rPr>
      </w:pPr>
    </w:p>
    <w:p w14:paraId="2ADF6B4B" w14:textId="6CF55BC9" w:rsidR="007E46B2" w:rsidRDefault="007E46B2" w:rsidP="002A5432">
      <w:pPr>
        <w:autoSpaceDE w:val="0"/>
        <w:autoSpaceDN w:val="0"/>
        <w:adjustRightInd w:val="0"/>
        <w:spacing w:before="120" w:after="0"/>
        <w:ind w:firstLine="0"/>
        <w:rPr>
          <w:rFonts w:eastAsia="Calibri"/>
          <w:lang w:eastAsia="en-US"/>
        </w:rPr>
      </w:pPr>
    </w:p>
    <w:p w14:paraId="06A2D5DC" w14:textId="4226255B" w:rsidR="007E46B2" w:rsidRDefault="007E46B2" w:rsidP="002A5432">
      <w:pPr>
        <w:autoSpaceDE w:val="0"/>
        <w:autoSpaceDN w:val="0"/>
        <w:adjustRightInd w:val="0"/>
        <w:spacing w:before="120" w:after="0"/>
        <w:ind w:firstLine="0"/>
        <w:rPr>
          <w:rFonts w:eastAsia="Calibri"/>
          <w:lang w:eastAsia="en-US"/>
        </w:rPr>
      </w:pPr>
    </w:p>
    <w:p w14:paraId="4A1EAD1A" w14:textId="6A2325B9" w:rsidR="007E46B2" w:rsidRDefault="007E46B2" w:rsidP="002A5432">
      <w:pPr>
        <w:autoSpaceDE w:val="0"/>
        <w:autoSpaceDN w:val="0"/>
        <w:adjustRightInd w:val="0"/>
        <w:spacing w:before="120" w:after="0"/>
        <w:ind w:firstLine="0"/>
        <w:rPr>
          <w:rFonts w:eastAsia="Calibri"/>
          <w:lang w:eastAsia="en-US"/>
        </w:rPr>
      </w:pPr>
    </w:p>
    <w:p w14:paraId="0833B72D" w14:textId="542542F2" w:rsidR="007E46B2" w:rsidRDefault="007E46B2" w:rsidP="002A5432">
      <w:pPr>
        <w:autoSpaceDE w:val="0"/>
        <w:autoSpaceDN w:val="0"/>
        <w:adjustRightInd w:val="0"/>
        <w:spacing w:before="120" w:after="0"/>
        <w:ind w:firstLine="0"/>
        <w:rPr>
          <w:rFonts w:eastAsia="Calibri"/>
          <w:lang w:eastAsia="en-US"/>
        </w:rPr>
      </w:pPr>
    </w:p>
    <w:p w14:paraId="62B6D26A" w14:textId="5597366A" w:rsidR="007E46B2" w:rsidRDefault="007E46B2" w:rsidP="002A5432">
      <w:pPr>
        <w:autoSpaceDE w:val="0"/>
        <w:autoSpaceDN w:val="0"/>
        <w:adjustRightInd w:val="0"/>
        <w:spacing w:before="120" w:after="0"/>
        <w:ind w:firstLine="0"/>
        <w:rPr>
          <w:rFonts w:eastAsia="Calibri"/>
          <w:lang w:eastAsia="en-US"/>
        </w:rPr>
      </w:pPr>
    </w:p>
    <w:p w14:paraId="5A35B4F6" w14:textId="6AF152FC" w:rsidR="007E46B2" w:rsidRDefault="007E46B2" w:rsidP="002A5432">
      <w:pPr>
        <w:autoSpaceDE w:val="0"/>
        <w:autoSpaceDN w:val="0"/>
        <w:adjustRightInd w:val="0"/>
        <w:spacing w:before="120" w:after="0"/>
        <w:ind w:firstLine="0"/>
        <w:rPr>
          <w:rFonts w:eastAsia="Calibri"/>
          <w:lang w:eastAsia="en-US"/>
        </w:rPr>
      </w:pPr>
    </w:p>
    <w:p w14:paraId="44DC0809" w14:textId="1F4ADC53" w:rsidR="007E46B2" w:rsidRDefault="007E46B2" w:rsidP="002A5432">
      <w:pPr>
        <w:autoSpaceDE w:val="0"/>
        <w:autoSpaceDN w:val="0"/>
        <w:adjustRightInd w:val="0"/>
        <w:spacing w:before="120" w:after="0"/>
        <w:ind w:firstLine="0"/>
        <w:rPr>
          <w:rFonts w:eastAsia="Calibri"/>
          <w:lang w:eastAsia="en-US"/>
        </w:rPr>
      </w:pPr>
    </w:p>
    <w:p w14:paraId="0D8CCA1E" w14:textId="77777777" w:rsidR="007E46B2" w:rsidRDefault="007E46B2" w:rsidP="002A5432">
      <w:pPr>
        <w:autoSpaceDE w:val="0"/>
        <w:autoSpaceDN w:val="0"/>
        <w:adjustRightInd w:val="0"/>
        <w:spacing w:before="120" w:after="0"/>
        <w:ind w:firstLine="0"/>
        <w:rPr>
          <w:rFonts w:eastAsia="Calibri"/>
          <w:lang w:eastAsia="en-US"/>
        </w:rPr>
      </w:pPr>
    </w:p>
    <w:p w14:paraId="3C58400C" w14:textId="77777777" w:rsidR="007E46B2" w:rsidRDefault="007E46B2" w:rsidP="002A5432">
      <w:pPr>
        <w:autoSpaceDE w:val="0"/>
        <w:autoSpaceDN w:val="0"/>
        <w:adjustRightInd w:val="0"/>
        <w:spacing w:before="120" w:after="0"/>
        <w:ind w:firstLine="0"/>
        <w:rPr>
          <w:rFonts w:eastAsia="Calibri"/>
          <w:lang w:eastAsia="en-US"/>
        </w:rPr>
      </w:pPr>
    </w:p>
    <w:p w14:paraId="360AF52B" w14:textId="77777777" w:rsidR="007E46B2" w:rsidRDefault="007E46B2" w:rsidP="002A5432">
      <w:pPr>
        <w:autoSpaceDE w:val="0"/>
        <w:autoSpaceDN w:val="0"/>
        <w:adjustRightInd w:val="0"/>
        <w:spacing w:before="120" w:after="0"/>
        <w:ind w:firstLine="0"/>
        <w:rPr>
          <w:rFonts w:eastAsia="Calibri"/>
          <w:lang w:eastAsia="en-US"/>
        </w:rPr>
      </w:pPr>
    </w:p>
    <w:p w14:paraId="751546AD" w14:textId="77777777" w:rsidR="007E46B2" w:rsidRDefault="007E46B2" w:rsidP="002A5432">
      <w:pPr>
        <w:autoSpaceDE w:val="0"/>
        <w:autoSpaceDN w:val="0"/>
        <w:adjustRightInd w:val="0"/>
        <w:spacing w:before="120" w:after="0"/>
        <w:ind w:firstLine="0"/>
        <w:rPr>
          <w:rFonts w:eastAsia="Calibri"/>
          <w:lang w:eastAsia="en-US"/>
        </w:rPr>
      </w:pPr>
    </w:p>
    <w:p w14:paraId="11997C21" w14:textId="64320945" w:rsidR="002A5432" w:rsidRDefault="002A5432" w:rsidP="00E62ABB">
      <w:pPr>
        <w:autoSpaceDE w:val="0"/>
        <w:autoSpaceDN w:val="0"/>
        <w:adjustRightInd w:val="0"/>
        <w:spacing w:before="240" w:after="0"/>
        <w:ind w:firstLine="0"/>
        <w:rPr>
          <w:rFonts w:eastAsia="Calibri"/>
          <w:lang w:eastAsia="en-US"/>
        </w:rPr>
      </w:pPr>
      <w:r w:rsidRPr="002A5432">
        <w:rPr>
          <w:rFonts w:eastAsia="Calibri"/>
          <w:lang w:eastAsia="en-US"/>
        </w:rPr>
        <w:t xml:space="preserve">Z hľadiska znevýhodnenia, najvyšší počet tvorili občania, ktorí boli dlhodobo nezamestnaný v počte 13 777 UoZ (30,84 %), ďalšiu skupiny tvorili občania, ktorí najmenej 12 po sebe nasledujúcich kalendárnych mesiacov pred zaradením do evidencie UoZ nemali pravidelne platené zamestnanie a to v počte 12 527 UoZ (28,05 %), ďalej nasledovali občania, ktorí dosiahli vzdelanie nižšie ako stredné odborné bolo 11 567 UoZ (25,90 %), UoZ starší ako 50 rokov 5 720 UoZ (12,81 </w:t>
      </w:r>
      <w:r w:rsidRPr="002A5432">
        <w:rPr>
          <w:rFonts w:eastAsia="Calibri"/>
          <w:lang w:val="en-GB" w:eastAsia="en-US"/>
        </w:rPr>
        <w:t>%</w:t>
      </w:r>
      <w:r w:rsidRPr="002A5432">
        <w:rPr>
          <w:rFonts w:eastAsia="Calibri"/>
          <w:lang w:eastAsia="en-US"/>
        </w:rPr>
        <w:t xml:space="preserve">), UoZ, ktorí ukončili poberanie materského alebo poberanie rodičovského príspevku 632 UoZ (1,41 %), občania so zdravotným postihnutím 228 UoZ (0,51 </w:t>
      </w:r>
      <w:r w:rsidRPr="002A5432">
        <w:rPr>
          <w:rFonts w:eastAsia="Calibri"/>
          <w:lang w:val="en-GB" w:eastAsia="en-US"/>
        </w:rPr>
        <w:t>%</w:t>
      </w:r>
      <w:r w:rsidRPr="002A5432">
        <w:rPr>
          <w:rFonts w:eastAsia="Calibri"/>
          <w:lang w:eastAsia="en-US"/>
        </w:rPr>
        <w:t>), osamelý občan – starostlivosť o odkázanú osobu/starajúci sa o dieťa 183 UoZ (0,51 %) absolventi škôl 32 UoZ (0,41%) a štátny príslušníci tretej krajiny 0 UoZ (0 %) v štruktúre podľa grafu nižšie.</w:t>
      </w:r>
    </w:p>
    <w:p w14:paraId="2D5C5E58" w14:textId="1CDEB342" w:rsidR="007E46B2" w:rsidRDefault="007E46B2" w:rsidP="002A5432">
      <w:pPr>
        <w:spacing w:before="120" w:after="0"/>
        <w:ind w:firstLine="0"/>
        <w:rPr>
          <w:rFonts w:eastAsia="Calibri"/>
          <w:lang w:eastAsia="en-US"/>
        </w:rPr>
      </w:pPr>
      <w:r w:rsidRPr="002A5432">
        <w:rPr>
          <w:noProof/>
          <w:sz w:val="20"/>
          <w:szCs w:val="20"/>
        </w:rPr>
        <w:drawing>
          <wp:anchor distT="0" distB="0" distL="114300" distR="114300" simplePos="0" relativeHeight="252646912" behindDoc="0" locked="0" layoutInCell="1" allowOverlap="1" wp14:anchorId="057614CC" wp14:editId="3AC9DC8B">
            <wp:simplePos x="0" y="0"/>
            <wp:positionH relativeFrom="margin">
              <wp:posOffset>-2126</wp:posOffset>
            </wp:positionH>
            <wp:positionV relativeFrom="paragraph">
              <wp:posOffset>46493</wp:posOffset>
            </wp:positionV>
            <wp:extent cx="5838825" cy="3466465"/>
            <wp:effectExtent l="0" t="0" r="9525" b="635"/>
            <wp:wrapNone/>
            <wp:docPr id="228" name="Graf 22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48A24BE7" w14:textId="45440D46" w:rsidR="007E46B2" w:rsidRDefault="007E46B2" w:rsidP="002A5432">
      <w:pPr>
        <w:spacing w:before="120" w:after="0"/>
        <w:ind w:firstLine="0"/>
        <w:rPr>
          <w:rFonts w:eastAsia="Calibri"/>
          <w:lang w:eastAsia="en-US"/>
        </w:rPr>
      </w:pPr>
    </w:p>
    <w:p w14:paraId="5EE645D3" w14:textId="390A9A0D" w:rsidR="007E46B2" w:rsidRDefault="007E46B2" w:rsidP="002A5432">
      <w:pPr>
        <w:spacing w:before="120" w:after="0"/>
        <w:ind w:firstLine="0"/>
        <w:rPr>
          <w:rFonts w:eastAsia="Calibri"/>
          <w:lang w:eastAsia="en-US"/>
        </w:rPr>
      </w:pPr>
    </w:p>
    <w:p w14:paraId="3FCCB9E7" w14:textId="6997DD89" w:rsidR="007E46B2" w:rsidRDefault="007E46B2" w:rsidP="002A5432">
      <w:pPr>
        <w:spacing w:before="120" w:after="0"/>
        <w:ind w:firstLine="0"/>
        <w:rPr>
          <w:rFonts w:eastAsia="Calibri"/>
          <w:lang w:eastAsia="en-US"/>
        </w:rPr>
      </w:pPr>
    </w:p>
    <w:p w14:paraId="68FAAC25" w14:textId="172CCF0D" w:rsidR="007E46B2" w:rsidRDefault="007E46B2" w:rsidP="002A5432">
      <w:pPr>
        <w:spacing w:before="120" w:after="0"/>
        <w:ind w:firstLine="0"/>
        <w:rPr>
          <w:rFonts w:eastAsia="Calibri"/>
          <w:lang w:eastAsia="en-US"/>
        </w:rPr>
      </w:pPr>
    </w:p>
    <w:p w14:paraId="0F28014B" w14:textId="1AAB24E2" w:rsidR="007E46B2" w:rsidRDefault="007E46B2" w:rsidP="002A5432">
      <w:pPr>
        <w:spacing w:before="120" w:after="0"/>
        <w:ind w:firstLine="0"/>
        <w:rPr>
          <w:rFonts w:eastAsia="Calibri"/>
          <w:lang w:eastAsia="en-US"/>
        </w:rPr>
      </w:pPr>
    </w:p>
    <w:p w14:paraId="1DD9A417" w14:textId="75487B30" w:rsidR="007E46B2" w:rsidRDefault="007E46B2" w:rsidP="002A5432">
      <w:pPr>
        <w:spacing w:before="120" w:after="0"/>
        <w:ind w:firstLine="0"/>
        <w:rPr>
          <w:rFonts w:eastAsia="Calibri"/>
          <w:lang w:eastAsia="en-US"/>
        </w:rPr>
      </w:pPr>
    </w:p>
    <w:p w14:paraId="4BC9CD63" w14:textId="706AFDF7" w:rsidR="007E46B2" w:rsidRDefault="007E46B2" w:rsidP="002A5432">
      <w:pPr>
        <w:spacing w:before="120" w:after="0"/>
        <w:ind w:firstLine="0"/>
        <w:rPr>
          <w:rFonts w:eastAsia="Calibri"/>
          <w:lang w:eastAsia="en-US"/>
        </w:rPr>
      </w:pPr>
    </w:p>
    <w:p w14:paraId="27656160" w14:textId="69C4E6BA" w:rsidR="007E46B2" w:rsidRDefault="007E46B2" w:rsidP="002A5432">
      <w:pPr>
        <w:spacing w:before="120" w:after="0"/>
        <w:ind w:firstLine="0"/>
        <w:rPr>
          <w:rFonts w:eastAsia="Calibri"/>
          <w:lang w:eastAsia="en-US"/>
        </w:rPr>
      </w:pPr>
    </w:p>
    <w:p w14:paraId="22905405" w14:textId="5142D086" w:rsidR="007E46B2" w:rsidRDefault="007E46B2" w:rsidP="002A5432">
      <w:pPr>
        <w:spacing w:before="120" w:after="0"/>
        <w:ind w:firstLine="0"/>
        <w:rPr>
          <w:rFonts w:eastAsia="Calibri"/>
          <w:lang w:eastAsia="en-US"/>
        </w:rPr>
      </w:pPr>
    </w:p>
    <w:p w14:paraId="30DE60A9" w14:textId="68DF77E5" w:rsidR="007E46B2" w:rsidRDefault="007E46B2" w:rsidP="002A5432">
      <w:pPr>
        <w:spacing w:before="120" w:after="0"/>
        <w:ind w:firstLine="0"/>
        <w:rPr>
          <w:rFonts w:eastAsia="Calibri"/>
          <w:lang w:eastAsia="en-US"/>
        </w:rPr>
      </w:pPr>
    </w:p>
    <w:p w14:paraId="559BD955" w14:textId="38FCE823" w:rsidR="007E46B2" w:rsidRDefault="007E46B2" w:rsidP="002A5432">
      <w:pPr>
        <w:spacing w:before="120" w:after="0"/>
        <w:ind w:firstLine="0"/>
        <w:rPr>
          <w:rFonts w:eastAsia="Calibri"/>
          <w:lang w:eastAsia="en-US"/>
        </w:rPr>
      </w:pPr>
    </w:p>
    <w:p w14:paraId="528DBFF9" w14:textId="4B7B30B9" w:rsidR="007E46B2" w:rsidRDefault="007E46B2" w:rsidP="002A5432">
      <w:pPr>
        <w:spacing w:before="120" w:after="0"/>
        <w:ind w:firstLine="0"/>
        <w:rPr>
          <w:rFonts w:eastAsia="Calibri"/>
          <w:lang w:eastAsia="en-US"/>
        </w:rPr>
      </w:pPr>
    </w:p>
    <w:p w14:paraId="48BED917" w14:textId="309A8E74" w:rsidR="007E46B2" w:rsidRDefault="007E46B2" w:rsidP="002A5432">
      <w:pPr>
        <w:spacing w:before="120" w:after="0"/>
        <w:ind w:firstLine="0"/>
        <w:rPr>
          <w:rFonts w:eastAsia="Calibri"/>
          <w:lang w:eastAsia="en-US"/>
        </w:rPr>
      </w:pPr>
    </w:p>
    <w:p w14:paraId="2DBC4F2E" w14:textId="3CF8009C" w:rsidR="007E46B2" w:rsidRDefault="007E46B2" w:rsidP="002A5432">
      <w:pPr>
        <w:spacing w:before="120" w:after="0"/>
        <w:ind w:firstLine="0"/>
        <w:rPr>
          <w:rFonts w:eastAsia="Calibri"/>
          <w:lang w:eastAsia="en-US"/>
        </w:rPr>
      </w:pPr>
    </w:p>
    <w:p w14:paraId="25FCA5D5" w14:textId="603F31F3" w:rsidR="002A5432" w:rsidRPr="002A5432" w:rsidRDefault="002A5432" w:rsidP="007E46B2">
      <w:pPr>
        <w:spacing w:before="120" w:after="120"/>
        <w:ind w:firstLine="0"/>
        <w:rPr>
          <w:rFonts w:eastAsia="Calibri"/>
          <w:lang w:eastAsia="en-US"/>
        </w:rPr>
      </w:pPr>
      <w:r w:rsidRPr="002A5432">
        <w:rPr>
          <w:rFonts w:eastAsia="Calibri"/>
          <w:lang w:eastAsia="en-US"/>
        </w:rPr>
        <w:lastRenderedPageBreak/>
        <w:t>Podľa dosiahnutého stupňa vzdelania, najväčšiu skupinu zaradených UoZ tvorili so základným vzdelaním 8 426 UoZ (53,38 %) druhú skupinu predstavujú UoZ, ktorí dosiahli stredné odborné vzdelanie a to v počte 3 436 UoZ (21,77 %) a významne zastúpená bola aj skupina UoZ s neukončeným základným vzdelaním v počte 2 887 UoZ (18,29 %). Ďalšími skupinami boli UoZ s úplným stredným odborným vzdelaním v počte 624 UoZ (3,95 %), s nižším odborným vzdelaním v počte 262 UoZ (3,95 %),s úplným stredným všeobecným vzdelaním v počte 75 UoZ (1,66 %), s nižším odborným vzdelaním v počte 262 UoZ (0,48 %),s vysokoškolským vzdelaním druhého stupňa v počte 55 UoZ (0,35 %), s vyšším odborným vzdelaním v počte 10 UoZ (0,06 %), s vysokoškolským vzdelaním prvého stupňa v počte 9 UoZ (0,06 %) a s vysokoškolským vzdelaním tretieho stupňa v počte 2 UoZ (0,01 %), v štruktúre podľa grafu dolu.</w:t>
      </w:r>
      <w:r w:rsidRPr="002A5432">
        <w:rPr>
          <w:rFonts w:eastAsia="Calibri"/>
          <w:b/>
          <w:noProof/>
          <w:color w:val="FF0000"/>
          <w:sz w:val="20"/>
          <w:szCs w:val="20"/>
        </w:rPr>
        <w:drawing>
          <wp:anchor distT="0" distB="0" distL="114300" distR="114300" simplePos="0" relativeHeight="252647936" behindDoc="0" locked="0" layoutInCell="1" allowOverlap="1" wp14:anchorId="48765275" wp14:editId="621DE625">
            <wp:simplePos x="0" y="0"/>
            <wp:positionH relativeFrom="margin">
              <wp:align>left</wp:align>
            </wp:positionH>
            <wp:positionV relativeFrom="paragraph">
              <wp:posOffset>3175</wp:posOffset>
            </wp:positionV>
            <wp:extent cx="5862955" cy="3466465"/>
            <wp:effectExtent l="0" t="0" r="4445" b="635"/>
            <wp:wrapTopAndBottom/>
            <wp:docPr id="234" name="Graf 23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68729D31" w14:textId="4EBBE016" w:rsidR="002A5432" w:rsidRDefault="002A5432" w:rsidP="002A5432">
      <w:pPr>
        <w:spacing w:before="120" w:after="0"/>
        <w:ind w:firstLine="0"/>
        <w:rPr>
          <w:rFonts w:eastAsia="Calibri"/>
          <w:lang w:eastAsia="en-US"/>
        </w:rPr>
      </w:pPr>
      <w:r w:rsidRPr="002A5432">
        <w:rPr>
          <w:rFonts w:eastAsia="Calibri"/>
          <w:lang w:eastAsia="en-US"/>
        </w:rPr>
        <w:t>Do projektu sa zapojilo 1 805 zamestnávateľov. Z hľadiska právnej formy zamestnávateľa, najväčší záujem o výkon aktivačnej činnosti prejavili obce a mestá – 1 719 (95,29 %) za nimi nasledovali rozpočtové organizácie, ktorých bolo 65 (3,60 %) a príspevkové organizácie, ktorých bolo 20 (1,11 %), v štruktúre podľa grafu nižšie.</w:t>
      </w:r>
    </w:p>
    <w:p w14:paraId="5AAC6F5B" w14:textId="736C183B" w:rsidR="007E46B2" w:rsidRDefault="007E46B2" w:rsidP="002A5432">
      <w:pPr>
        <w:spacing w:before="120" w:after="0"/>
        <w:ind w:firstLine="0"/>
        <w:rPr>
          <w:rFonts w:eastAsia="Calibri"/>
          <w:lang w:eastAsia="en-US"/>
        </w:rPr>
      </w:pPr>
      <w:r w:rsidRPr="002A5432">
        <w:rPr>
          <w:rFonts w:eastAsia="Calibri"/>
          <w:b/>
          <w:noProof/>
          <w:color w:val="FF0000"/>
        </w:rPr>
        <w:drawing>
          <wp:anchor distT="0" distB="0" distL="114300" distR="114300" simplePos="0" relativeHeight="252648960" behindDoc="0" locked="0" layoutInCell="1" allowOverlap="1" wp14:anchorId="657BF980" wp14:editId="37C011EA">
            <wp:simplePos x="0" y="0"/>
            <wp:positionH relativeFrom="margin">
              <wp:posOffset>-2126</wp:posOffset>
            </wp:positionH>
            <wp:positionV relativeFrom="paragraph">
              <wp:posOffset>107343</wp:posOffset>
            </wp:positionV>
            <wp:extent cx="5828030" cy="2918129"/>
            <wp:effectExtent l="0" t="0" r="1270" b="15875"/>
            <wp:wrapNone/>
            <wp:docPr id="243" name="Graf 24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30DF8F53" w14:textId="645E18EC" w:rsidR="007E46B2" w:rsidRDefault="007E46B2" w:rsidP="002A5432">
      <w:pPr>
        <w:spacing w:before="120" w:after="0"/>
        <w:ind w:firstLine="0"/>
        <w:rPr>
          <w:rFonts w:eastAsia="Calibri"/>
          <w:lang w:eastAsia="en-US"/>
        </w:rPr>
      </w:pPr>
    </w:p>
    <w:p w14:paraId="031DFF22" w14:textId="7886C5BC" w:rsidR="007E46B2" w:rsidRPr="002A5432" w:rsidRDefault="007E46B2" w:rsidP="002A5432">
      <w:pPr>
        <w:spacing w:before="120" w:after="0"/>
        <w:ind w:firstLine="0"/>
        <w:rPr>
          <w:rFonts w:eastAsia="Calibri"/>
          <w:lang w:eastAsia="en-US"/>
        </w:rPr>
      </w:pPr>
    </w:p>
    <w:p w14:paraId="10053F37" w14:textId="5E93193A" w:rsidR="002A5432" w:rsidRPr="002A5432" w:rsidRDefault="002A5432" w:rsidP="002A5432">
      <w:pPr>
        <w:spacing w:before="120" w:after="0"/>
        <w:ind w:firstLine="0"/>
        <w:rPr>
          <w:rFonts w:eastAsia="Calibri"/>
          <w:lang w:eastAsia="en-US"/>
        </w:rPr>
      </w:pPr>
    </w:p>
    <w:p w14:paraId="3456CF5D" w14:textId="3B0608F1" w:rsidR="002A5432" w:rsidRDefault="002A5432" w:rsidP="007E46B2">
      <w:pPr>
        <w:spacing w:before="360" w:after="0"/>
        <w:ind w:left="-6" w:firstLine="0"/>
        <w:outlineLvl w:val="2"/>
        <w:rPr>
          <w:rFonts w:eastAsia="Calibri"/>
          <w:b/>
          <w:highlight w:val="yellow"/>
        </w:rPr>
      </w:pPr>
    </w:p>
    <w:p w14:paraId="7191C83C" w14:textId="028721C2" w:rsidR="007E46B2" w:rsidRDefault="007E46B2" w:rsidP="007E46B2">
      <w:pPr>
        <w:spacing w:before="360" w:after="0"/>
        <w:ind w:left="-6" w:firstLine="0"/>
        <w:outlineLvl w:val="2"/>
        <w:rPr>
          <w:rFonts w:eastAsia="Calibri"/>
          <w:b/>
          <w:highlight w:val="yellow"/>
        </w:rPr>
      </w:pPr>
    </w:p>
    <w:p w14:paraId="52E4589D" w14:textId="4815D946" w:rsidR="007E46B2" w:rsidRDefault="007E46B2" w:rsidP="007E46B2">
      <w:pPr>
        <w:spacing w:before="360" w:after="0"/>
        <w:ind w:left="-6" w:firstLine="0"/>
        <w:outlineLvl w:val="2"/>
        <w:rPr>
          <w:rFonts w:eastAsia="Calibri"/>
          <w:b/>
          <w:highlight w:val="yellow"/>
        </w:rPr>
      </w:pPr>
    </w:p>
    <w:p w14:paraId="093D3BB5" w14:textId="5CE5E56D" w:rsidR="007E46B2" w:rsidRDefault="007E46B2" w:rsidP="007E46B2">
      <w:pPr>
        <w:spacing w:before="360" w:after="0"/>
        <w:ind w:left="-6" w:firstLine="0"/>
        <w:outlineLvl w:val="2"/>
        <w:rPr>
          <w:rFonts w:eastAsia="Calibri"/>
          <w:b/>
          <w:highlight w:val="yellow"/>
        </w:rPr>
      </w:pPr>
    </w:p>
    <w:p w14:paraId="7A9F811A" w14:textId="4C6E6EB7" w:rsidR="007E46B2" w:rsidRDefault="007E46B2" w:rsidP="007E46B2">
      <w:pPr>
        <w:spacing w:before="360" w:after="0"/>
        <w:ind w:left="-6" w:firstLine="0"/>
        <w:outlineLvl w:val="2"/>
        <w:rPr>
          <w:rFonts w:eastAsia="Calibri"/>
          <w:b/>
          <w:highlight w:val="yellow"/>
        </w:rPr>
      </w:pPr>
    </w:p>
    <w:p w14:paraId="7587913F" w14:textId="6A918022" w:rsidR="00671BE6" w:rsidRPr="001D4C90" w:rsidRDefault="00671BE6" w:rsidP="001D4C90">
      <w:pPr>
        <w:pStyle w:val="Nadpis3"/>
      </w:pPr>
      <w:bookmarkStart w:id="148" w:name="_Toc199230852"/>
      <w:r w:rsidRPr="001D4C90">
        <w:lastRenderedPageBreak/>
        <w:t>Projekt „Podpora obcí zasiahnutých zemetrasením“</w:t>
      </w:r>
      <w:bookmarkEnd w:id="148"/>
    </w:p>
    <w:p w14:paraId="533CBADE" w14:textId="0B92E3FA" w:rsidR="004241F1" w:rsidRPr="004241F1" w:rsidRDefault="004241F1" w:rsidP="004241F1">
      <w:pPr>
        <w:spacing w:before="120" w:after="0"/>
        <w:rPr>
          <w:bCs/>
        </w:rPr>
      </w:pPr>
      <w:r w:rsidRPr="004241F1">
        <w:rPr>
          <w:bCs/>
        </w:rPr>
        <w:t>Proje</w:t>
      </w:r>
      <w:r>
        <w:rPr>
          <w:bCs/>
        </w:rPr>
        <w:t>kt sa realizoval v období od novembra 2023 do júna 2024. Cieľom projektu bola</w:t>
      </w:r>
      <w:r w:rsidRPr="004241F1">
        <w:rPr>
          <w:bCs/>
        </w:rPr>
        <w:t xml:space="preserve"> pomoc obciam zasiahnutým </w:t>
      </w:r>
      <w:r>
        <w:rPr>
          <w:bCs/>
        </w:rPr>
        <w:t>zemetrasením</w:t>
      </w:r>
      <w:r w:rsidRPr="004241F1">
        <w:rPr>
          <w:bCs/>
        </w:rPr>
        <w:t xml:space="preserve"> pri obnove poškodenej infraštruktúry, budov a verejného majetku obcí. Splnenie stanoveného cieľa sa zabezpečí prostredníctvom podpory vytvorenia pracovného miesta na dobu určitú pre obyvateľov dotknutých obcí za účelom pomoci pri obnove verejného majetku. Projekt je financovaný zo štátneho rozpočtu. </w:t>
      </w:r>
    </w:p>
    <w:p w14:paraId="5BD9C983" w14:textId="1C1B84A0" w:rsidR="004241F1" w:rsidRPr="004241F1" w:rsidRDefault="004241F1" w:rsidP="004241F1">
      <w:pPr>
        <w:spacing w:before="120" w:after="0"/>
        <w:rPr>
          <w:bCs/>
        </w:rPr>
      </w:pPr>
      <w:r w:rsidRPr="004241F1">
        <w:rPr>
          <w:bCs/>
        </w:rPr>
        <w:t xml:space="preserve">Za oprávneného žiadateľa sa považuje obec, ktorá bola zasiahnutá </w:t>
      </w:r>
      <w:r>
        <w:rPr>
          <w:bCs/>
        </w:rPr>
        <w:t>zemetrasením</w:t>
      </w:r>
      <w:r w:rsidRPr="004241F1">
        <w:rPr>
          <w:bCs/>
        </w:rPr>
        <w:t xml:space="preserve"> v rámci okresov Humenné, Stropkov a Vranov nad Topľou.</w:t>
      </w:r>
    </w:p>
    <w:p w14:paraId="4D149D5A" w14:textId="55502F80" w:rsidR="004241F1" w:rsidRPr="004241F1" w:rsidRDefault="004241F1" w:rsidP="004241F1">
      <w:pPr>
        <w:spacing w:before="120" w:after="0"/>
        <w:rPr>
          <w:bCs/>
        </w:rPr>
      </w:pPr>
      <w:r w:rsidRPr="004241F1">
        <w:rPr>
          <w:bCs/>
        </w:rPr>
        <w:t>Oprávnen</w:t>
      </w:r>
      <w:r>
        <w:rPr>
          <w:bCs/>
        </w:rPr>
        <w:t>ou cieľovou skupinou projektu bol UoZ</w:t>
      </w:r>
      <w:r w:rsidRPr="004241F1">
        <w:rPr>
          <w:bCs/>
        </w:rPr>
        <w:t xml:space="preserve">, ktorý </w:t>
      </w:r>
      <w:r>
        <w:rPr>
          <w:bCs/>
        </w:rPr>
        <w:t xml:space="preserve">nepoberal </w:t>
      </w:r>
      <w:r w:rsidRPr="004241F1">
        <w:rPr>
          <w:bCs/>
        </w:rPr>
        <w:t>dá</w:t>
      </w:r>
      <w:r>
        <w:rPr>
          <w:bCs/>
        </w:rPr>
        <w:t>vky v hmotnej núdzi a príspevky</w:t>
      </w:r>
      <w:r w:rsidRPr="004241F1">
        <w:rPr>
          <w:bCs/>
        </w:rPr>
        <w:t xml:space="preserve"> k dávke v zmysle zákona </w:t>
      </w:r>
      <w:r>
        <w:rPr>
          <w:bCs/>
        </w:rPr>
        <w:t>o pomoci v hmotnej núdzi</w:t>
      </w:r>
      <w:r w:rsidRPr="004241F1">
        <w:rPr>
          <w:bCs/>
        </w:rPr>
        <w:t>.</w:t>
      </w:r>
    </w:p>
    <w:p w14:paraId="2AE55BB7" w14:textId="67EE859E" w:rsidR="004241F1" w:rsidRPr="004241F1" w:rsidRDefault="001861D2" w:rsidP="004241F1">
      <w:pPr>
        <w:spacing w:before="120" w:after="0"/>
        <w:rPr>
          <w:bCs/>
        </w:rPr>
      </w:pPr>
      <w:r>
        <w:rPr>
          <w:bCs/>
        </w:rPr>
        <w:t>Príspevok poskytoval zamestnávateľovi (obci)</w:t>
      </w:r>
      <w:r w:rsidR="004241F1" w:rsidRPr="004241F1">
        <w:rPr>
          <w:bCs/>
        </w:rPr>
        <w:t xml:space="preserve"> úrad, v územnom obvode ktorého zamestnávateľ vytvorí pracovné miesto a príjme na vytvorené pracovné miesto UoZ z oprávnenej cieľovej skupiny, ak pracovný pomer je dohodnutý v rozsahu najmenej polovice ustanoveného týždenného pracovného času, na dobu určitú s podmienkou zamestnávania po dobu minimálne 6 mesiacov, resp. na neurčitý čas.</w:t>
      </w:r>
      <w:r w:rsidR="004241F1">
        <w:rPr>
          <w:bCs/>
        </w:rPr>
        <w:t xml:space="preserve"> Finančný príspevok sa poskytoval najdlhšie po dobu </w:t>
      </w:r>
      <w:r w:rsidR="004241F1" w:rsidRPr="004241F1">
        <w:rPr>
          <w:bCs/>
        </w:rPr>
        <w:t>6 mesiac</w:t>
      </w:r>
      <w:r w:rsidR="004241F1">
        <w:rPr>
          <w:bCs/>
        </w:rPr>
        <w:t>ov. Príspevok poskytoval</w:t>
      </w:r>
      <w:r w:rsidR="004241F1" w:rsidRPr="004241F1">
        <w:rPr>
          <w:bCs/>
        </w:rPr>
        <w:t xml:space="preserve"> úrad formou refundácie uhradených oprávnených výdavkov mesačne na základe predloženej žiadosti o úhradu platby (spolu s účtovnými dokladmi preukazujúcimi skutočnú výšku oprávnených výdavkov) vo výške 90 % z minimálnej celkovej ceny práce (ďalej len „MCCP“) ustanovenej na príslušný kalendárny rok, v ktorom sa prís</w:t>
      </w:r>
      <w:r w:rsidR="004241F1">
        <w:rPr>
          <w:bCs/>
        </w:rPr>
        <w:t>pevok poskytuje. Pre rok 2024 bol</w:t>
      </w:r>
      <w:r w:rsidR="004241F1" w:rsidRPr="004241F1">
        <w:rPr>
          <w:bCs/>
        </w:rPr>
        <w:t xml:space="preserve"> príspevok vo výške najviac 919,34 </w:t>
      </w:r>
      <w:r w:rsidR="00790522">
        <w:rPr>
          <w:bCs/>
        </w:rPr>
        <w:t>eur</w:t>
      </w:r>
      <w:r w:rsidR="004241F1" w:rsidRPr="004241F1">
        <w:rPr>
          <w:bCs/>
        </w:rPr>
        <w:t xml:space="preserve"> mesačne na jedno podporené miesto. </w:t>
      </w:r>
    </w:p>
    <w:p w14:paraId="06D49914" w14:textId="51DF2231" w:rsidR="004241F1" w:rsidRDefault="004241F1" w:rsidP="004241F1">
      <w:pPr>
        <w:spacing w:before="120" w:after="0"/>
        <w:rPr>
          <w:bCs/>
        </w:rPr>
      </w:pPr>
      <w:r w:rsidRPr="004241F1">
        <w:rPr>
          <w:bCs/>
        </w:rPr>
        <w:t xml:space="preserve">V roku 2024 už nebola prijatá žiadna nová žiadosť zamestnávateľa o poskytnutie príspevku. </w:t>
      </w:r>
      <w:r w:rsidR="001861D2">
        <w:rPr>
          <w:bCs/>
        </w:rPr>
        <w:t xml:space="preserve">         </w:t>
      </w:r>
      <w:r w:rsidRPr="004241F1">
        <w:rPr>
          <w:bCs/>
        </w:rPr>
        <w:t>V rámci projektu v roku 2024 bolo podporovaných už len 9 osôb, z toho 2 ženy a 7 mužov. Čerpaná suma k 31.</w:t>
      </w:r>
      <w:r w:rsidR="001861D2">
        <w:rPr>
          <w:bCs/>
        </w:rPr>
        <w:t xml:space="preserve"> </w:t>
      </w:r>
      <w:r w:rsidRPr="004241F1">
        <w:rPr>
          <w:bCs/>
        </w:rPr>
        <w:t>12.</w:t>
      </w:r>
      <w:r w:rsidR="001861D2">
        <w:rPr>
          <w:bCs/>
        </w:rPr>
        <w:t xml:space="preserve"> </w:t>
      </w:r>
      <w:r w:rsidRPr="004241F1">
        <w:rPr>
          <w:bCs/>
        </w:rPr>
        <w:t xml:space="preserve">2024 bola vo výške 335 974 </w:t>
      </w:r>
      <w:r w:rsidR="00790522">
        <w:rPr>
          <w:bCs/>
        </w:rPr>
        <w:t>eur</w:t>
      </w:r>
      <w:r w:rsidRPr="004241F1">
        <w:rPr>
          <w:bCs/>
        </w:rPr>
        <w:t xml:space="preserve">. </w:t>
      </w:r>
    </w:p>
    <w:p w14:paraId="60EAF541" w14:textId="77777777" w:rsidR="004241F1" w:rsidRPr="004241F1" w:rsidRDefault="004241F1" w:rsidP="004241F1">
      <w:pPr>
        <w:spacing w:before="120" w:after="0"/>
        <w:ind w:firstLine="0"/>
        <w:rPr>
          <w:lang w:eastAsia="en-US"/>
        </w:rPr>
      </w:pPr>
      <w:r w:rsidRPr="004241F1">
        <w:rPr>
          <w:lang w:eastAsia="en-US"/>
        </w:rPr>
        <w:t xml:space="preserve">Z hľadiska vekovej štruktúry, najväčšiu skupinu tvorili UoZ vo veku od 30 do 49 rokov  4 </w:t>
      </w:r>
      <w:r w:rsidRPr="004241F1">
        <w:rPr>
          <w:bCs/>
          <w:lang w:eastAsia="en-US"/>
        </w:rPr>
        <w:t>UoZ</w:t>
      </w:r>
      <w:r w:rsidRPr="004241F1">
        <w:rPr>
          <w:lang w:eastAsia="en-US"/>
        </w:rPr>
        <w:t>, čo je 43,10 % zo všetkých zaradených UoZ. Druhou skupinou boli 3 UoZ vo veku od 50 rokov  (37,93 %). Najmenšiu skupinu tvorili UoZ v skupine do 24 rokov v počte 1 UoZ (%), v rovnakom počte 1 UoZ tvorila skupina od 25 do 29 rokov (%). Počet zaradených UoZ  podľa vekovej štruktúry je vyjadrený v nasledujúcom grafe.</w:t>
      </w:r>
    </w:p>
    <w:p w14:paraId="096AD873" w14:textId="420106E2" w:rsidR="00361BE3" w:rsidRDefault="004241F1" w:rsidP="001E230D">
      <w:pPr>
        <w:spacing w:before="120" w:after="0"/>
        <w:ind w:firstLine="0"/>
        <w:rPr>
          <w:lang w:eastAsia="en-US"/>
        </w:rPr>
      </w:pPr>
      <w:r>
        <w:rPr>
          <w:rFonts w:ascii="Calibri" w:hAnsi="Calibri"/>
          <w:bCs/>
          <w:iCs/>
          <w:noProof/>
          <w:color w:val="FF0000"/>
          <w:sz w:val="22"/>
          <w:szCs w:val="22"/>
        </w:rPr>
        <w:drawing>
          <wp:inline distT="0" distB="0" distL="0" distR="0" wp14:anchorId="3C71D336" wp14:editId="7622A5B4">
            <wp:extent cx="5812404" cy="2934970"/>
            <wp:effectExtent l="0" t="0" r="17145" b="1778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C0F15D1" w14:textId="4D5EAFB8" w:rsidR="00F80BF5" w:rsidRPr="00F80BF5" w:rsidRDefault="00F80BF5" w:rsidP="00F80BF5">
      <w:pPr>
        <w:kinsoku w:val="0"/>
        <w:overflowPunct w:val="0"/>
        <w:spacing w:before="120" w:after="0"/>
        <w:ind w:firstLine="0"/>
        <w:textAlignment w:val="baseline"/>
        <w:rPr>
          <w:rFonts w:eastAsia="Calibri"/>
        </w:rPr>
      </w:pPr>
      <w:r w:rsidRPr="00F80BF5">
        <w:rPr>
          <w:rFonts w:eastAsia="Calibri"/>
          <w:bCs/>
        </w:rPr>
        <w:t>Z hľadiska doby evidencie</w:t>
      </w:r>
      <w:r w:rsidRPr="00F80BF5">
        <w:rPr>
          <w:rFonts w:eastAsia="Calibri"/>
        </w:rPr>
        <w:t xml:space="preserve"> bolo v roku 2024 najviac – 3 UoZ (53 %) v evidencii UoZ do 3 mesiacov, 2 UoZ boli v evidencii nad 24 mesiacov (22,22 %), od 7 do 12 mesiacov bol v evidencii 1 UoZ (11,11 %), od 13 do 24 mesiacov boli v evidencii 2 UoZ (22,22%), od 4 do 6 mesiacov bol v evidencii 1 UoZ (11,11 %), čo znázorňuje graf pod textom.</w:t>
      </w:r>
    </w:p>
    <w:p w14:paraId="56599C12" w14:textId="1EA9DC5E" w:rsidR="00671BE6" w:rsidRDefault="00F80BF5" w:rsidP="00671BE6">
      <w:pPr>
        <w:kinsoku w:val="0"/>
        <w:overflowPunct w:val="0"/>
        <w:spacing w:before="120" w:after="0"/>
        <w:ind w:firstLine="0"/>
        <w:textAlignment w:val="baseline"/>
        <w:rPr>
          <w:rFonts w:eastAsia="Calibri"/>
        </w:rPr>
      </w:pPr>
      <w:r>
        <w:rPr>
          <w:rFonts w:asciiTheme="minorHAnsi" w:hAnsiTheme="minorHAnsi"/>
          <w:noProof/>
        </w:rPr>
        <w:lastRenderedPageBreak/>
        <w:drawing>
          <wp:inline distT="0" distB="0" distL="0" distR="0" wp14:anchorId="7577C68E" wp14:editId="3BB5F57B">
            <wp:extent cx="5850890" cy="3338195"/>
            <wp:effectExtent l="0" t="0" r="16510" b="14605"/>
            <wp:docPr id="57" name="Graf 57">
              <a:extLst xmlns:a="http://schemas.openxmlformats.org/drawingml/2006/main">
                <a:ext uri="{FF2B5EF4-FFF2-40B4-BE49-F238E27FC236}">
                  <a16:creationId xmlns:a16="http://schemas.microsoft.com/office/drawing/2014/main" id="{7E89C702-14E9-706F-E1F2-035269984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E20A258" w14:textId="093D3BB5" w:rsidR="00F80BF5" w:rsidRDefault="00F80BF5" w:rsidP="00F80BF5">
      <w:pPr>
        <w:spacing w:before="120" w:after="120"/>
        <w:ind w:hanging="6"/>
      </w:pPr>
      <w:r w:rsidRPr="00F80BF5">
        <w:t xml:space="preserve">Z hľadiska znevýhodnenia, najvyšší počet tvorili občania, ktorí najmenej 12 po sebe nasledujúcich kalendárnych mesiacov pred zaradením do evidencie UoZ nemali pravidelne platené zamestnanie a to v počte 6 UoZ (40 %), ďalšiu skupinu tvorili občania , ktorí boli dlhodobo nezamestnaný v počte 4 UoZ (26,67 %), ďalej nasledovali UoZ starší ako 50 rokov v počte 3 UoZ (20 </w:t>
      </w:r>
      <w:r w:rsidRPr="00F80BF5">
        <w:rPr>
          <w:lang w:val="en-GB"/>
        </w:rPr>
        <w:t>%</w:t>
      </w:r>
      <w:r w:rsidRPr="00F80BF5">
        <w:t>), absolventi škôl  a občania so vzdelaním nižším ako stredným odborným  boli zhodne s počtom 1 UoZ. Ostatné skupiny znevýhodnenia sú v počte 0 UoZ, v štruktúre podľa grafu nižšie.</w:t>
      </w:r>
    </w:p>
    <w:p w14:paraId="3E58B076" w14:textId="01AEE8AB" w:rsidR="00F80BF5" w:rsidRPr="00F80BF5" w:rsidRDefault="00F80BF5" w:rsidP="00F80BF5">
      <w:pPr>
        <w:spacing w:before="240" w:after="0"/>
        <w:ind w:hanging="6"/>
      </w:pPr>
      <w:r w:rsidRPr="00F80BF5">
        <w:rPr>
          <w:rFonts w:eastAsia="Calibri"/>
          <w:lang w:eastAsia="en-US"/>
        </w:rPr>
        <w:t xml:space="preserve">Podľa dosiahnutého stupňa vzdelania, najväčšiu skupinu zaradených UoZ </w:t>
      </w:r>
      <w:r>
        <w:rPr>
          <w:noProof/>
          <w:sz w:val="20"/>
          <w:szCs w:val="20"/>
        </w:rPr>
        <w:drawing>
          <wp:anchor distT="0" distB="0" distL="114300" distR="114300" simplePos="0" relativeHeight="252652032" behindDoc="0" locked="0" layoutInCell="1" allowOverlap="1" wp14:anchorId="24AB6523" wp14:editId="16B3DE40">
            <wp:simplePos x="0" y="0"/>
            <wp:positionH relativeFrom="margin">
              <wp:posOffset>-24130</wp:posOffset>
            </wp:positionH>
            <wp:positionV relativeFrom="paragraph">
              <wp:posOffset>0</wp:posOffset>
            </wp:positionV>
            <wp:extent cx="5848350" cy="3324225"/>
            <wp:effectExtent l="0" t="0" r="0" b="9525"/>
            <wp:wrapTopAndBottom/>
            <wp:docPr id="227" name="Graf 22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F80BF5">
        <w:rPr>
          <w:rFonts w:eastAsia="Calibri"/>
          <w:lang w:eastAsia="en-US"/>
        </w:rPr>
        <w:t>tvorili so stredným odborným vzdelaním 5 UoZ (55,56 %) druhú skupinu predstavujú UoZ, ktorí dosiahli úplné stredné odborné vzdelanie a to v počte 3 UoZ (33,33 %), skupina UoZ so základným vzdelaním je v počte 1 UoZ (11,11%). Ostatné skupiny znevýhodnenia sú v počte 0 UoZ, v štruktúre podľa grafu nižšie.</w:t>
      </w:r>
    </w:p>
    <w:p w14:paraId="79E29736" w14:textId="5A0D44F6" w:rsidR="00F80BF5" w:rsidRDefault="00F80BF5" w:rsidP="00671BE6">
      <w:pPr>
        <w:spacing w:before="120" w:after="120"/>
        <w:ind w:firstLine="0"/>
        <w:rPr>
          <w:rFonts w:eastAsiaTheme="minorHAnsi"/>
          <w:lang w:eastAsia="en-US"/>
        </w:rPr>
      </w:pPr>
    </w:p>
    <w:p w14:paraId="1BB60726" w14:textId="5B07D4AD" w:rsidR="00426908" w:rsidRDefault="00426908" w:rsidP="00671BE6">
      <w:pPr>
        <w:spacing w:before="120" w:after="120"/>
        <w:ind w:firstLine="0"/>
        <w:rPr>
          <w:rFonts w:eastAsiaTheme="minorHAnsi"/>
          <w:lang w:eastAsia="en-US"/>
        </w:rPr>
      </w:pPr>
      <w:r>
        <w:rPr>
          <w:noProof/>
          <w:color w:val="FF0000"/>
          <w:sz w:val="20"/>
          <w:szCs w:val="20"/>
        </w:rPr>
        <w:lastRenderedPageBreak/>
        <w:drawing>
          <wp:inline distT="0" distB="0" distL="0" distR="0" wp14:anchorId="5676E955" wp14:editId="452FBEAD">
            <wp:extent cx="5850890" cy="3278586"/>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50890" cy="3278586"/>
                    </a:xfrm>
                    <a:prstGeom prst="rect">
                      <a:avLst/>
                    </a:prstGeom>
                    <a:noFill/>
                  </pic:spPr>
                </pic:pic>
              </a:graphicData>
            </a:graphic>
          </wp:inline>
        </w:drawing>
      </w:r>
    </w:p>
    <w:p w14:paraId="1411FC13" w14:textId="77777777" w:rsidR="00F80BF5" w:rsidRPr="00F80BF5" w:rsidRDefault="00F80BF5" w:rsidP="008D15C2">
      <w:pPr>
        <w:pStyle w:val="Nadpis3"/>
        <w:spacing w:before="240" w:after="0"/>
        <w:rPr>
          <w:lang w:eastAsia="en-US"/>
        </w:rPr>
      </w:pPr>
      <w:bookmarkStart w:id="149" w:name="_Toc199230853"/>
      <w:r w:rsidRPr="00F80BF5">
        <w:rPr>
          <w:lang w:eastAsia="en-US"/>
        </w:rPr>
        <w:t>Projekt „Podpora obcí zasiahnutých zemetrasením 2“</w:t>
      </w:r>
      <w:bookmarkEnd w:id="149"/>
    </w:p>
    <w:p w14:paraId="11001BE7" w14:textId="3B41BCF7" w:rsidR="00F80BF5" w:rsidRPr="00F80BF5" w:rsidRDefault="00F80BF5" w:rsidP="00F80BF5">
      <w:pPr>
        <w:spacing w:before="120" w:after="120"/>
        <w:ind w:firstLine="0"/>
        <w:rPr>
          <w:rFonts w:eastAsiaTheme="minorHAnsi"/>
          <w:lang w:eastAsia="en-US"/>
        </w:rPr>
      </w:pPr>
      <w:r w:rsidRPr="00F80BF5">
        <w:rPr>
          <w:rFonts w:eastAsiaTheme="minorHAnsi"/>
          <w:bCs/>
          <w:lang w:eastAsia="en-US"/>
        </w:rPr>
        <w:t>Projekt</w:t>
      </w:r>
      <w:r w:rsidR="005A1E7D">
        <w:rPr>
          <w:rFonts w:eastAsiaTheme="minorHAnsi"/>
          <w:lang w:eastAsia="en-US"/>
        </w:rPr>
        <w:t xml:space="preserve"> sa realizuje </w:t>
      </w:r>
      <w:r w:rsidRPr="00F80BF5">
        <w:rPr>
          <w:rFonts w:eastAsiaTheme="minorHAnsi"/>
          <w:lang w:eastAsia="en-US"/>
        </w:rPr>
        <w:t>od</w:t>
      </w:r>
      <w:r w:rsidR="005A1E7D">
        <w:rPr>
          <w:rFonts w:eastAsiaTheme="minorHAnsi"/>
          <w:lang w:eastAsia="en-US"/>
        </w:rPr>
        <w:t xml:space="preserve"> mája 2024 do februára </w:t>
      </w:r>
      <w:r w:rsidRPr="00F80BF5">
        <w:rPr>
          <w:rFonts w:eastAsiaTheme="minorHAnsi"/>
          <w:lang w:eastAsia="en-US"/>
        </w:rPr>
        <w:t>2025 v rámci územia, zasiahnuté</w:t>
      </w:r>
      <w:r w:rsidR="005A1E7D">
        <w:rPr>
          <w:rFonts w:eastAsiaTheme="minorHAnsi"/>
          <w:lang w:eastAsia="en-US"/>
        </w:rPr>
        <w:t>ho</w:t>
      </w:r>
      <w:r w:rsidRPr="00F80BF5">
        <w:rPr>
          <w:rFonts w:eastAsiaTheme="minorHAnsi"/>
          <w:lang w:eastAsia="en-US"/>
        </w:rPr>
        <w:t xml:space="preserve"> </w:t>
      </w:r>
      <w:r w:rsidR="005A1E7D">
        <w:rPr>
          <w:rFonts w:eastAsiaTheme="minorHAnsi"/>
          <w:lang w:eastAsia="en-US"/>
        </w:rPr>
        <w:t xml:space="preserve">zemetrasením </w:t>
      </w:r>
      <w:r w:rsidRPr="00F80BF5">
        <w:rPr>
          <w:rFonts w:eastAsiaTheme="minorHAnsi"/>
          <w:lang w:eastAsia="en-US"/>
        </w:rPr>
        <w:t>v rámci okresov Humenné</w:t>
      </w:r>
      <w:r w:rsidR="005A1E7D">
        <w:rPr>
          <w:rFonts w:eastAsiaTheme="minorHAnsi"/>
          <w:lang w:eastAsia="en-US"/>
        </w:rPr>
        <w:t>, Stropkov a Vranov nad Topľou., s c</w:t>
      </w:r>
      <w:r w:rsidRPr="00F80BF5">
        <w:rPr>
          <w:rFonts w:eastAsiaTheme="minorHAnsi"/>
          <w:lang w:eastAsia="en-US"/>
        </w:rPr>
        <w:t xml:space="preserve">ieľom </w:t>
      </w:r>
      <w:r w:rsidR="005A1E7D">
        <w:rPr>
          <w:rFonts w:eastAsiaTheme="minorHAnsi"/>
          <w:lang w:eastAsia="en-US"/>
        </w:rPr>
        <w:t xml:space="preserve">poskytnúť </w:t>
      </w:r>
      <w:r w:rsidRPr="00F80BF5">
        <w:rPr>
          <w:rFonts w:eastAsiaTheme="minorHAnsi"/>
          <w:lang w:eastAsia="en-US"/>
        </w:rPr>
        <w:t xml:space="preserve">pomoc </w:t>
      </w:r>
      <w:r w:rsidR="005A1E7D">
        <w:rPr>
          <w:rFonts w:eastAsiaTheme="minorHAnsi"/>
          <w:lang w:eastAsia="en-US"/>
        </w:rPr>
        <w:t xml:space="preserve">postihnutým </w:t>
      </w:r>
      <w:r w:rsidRPr="00F80BF5">
        <w:rPr>
          <w:rFonts w:eastAsiaTheme="minorHAnsi"/>
          <w:lang w:eastAsia="en-US"/>
        </w:rPr>
        <w:t xml:space="preserve">obciam pri obnove poškodenej infraštruktúry, budov a verejného majetku obcí. </w:t>
      </w:r>
      <w:r w:rsidR="005A1E7D">
        <w:rPr>
          <w:rFonts w:eastAsiaTheme="minorHAnsi"/>
          <w:lang w:eastAsia="en-US"/>
        </w:rPr>
        <w:t xml:space="preserve">Dosiahnutie </w:t>
      </w:r>
      <w:r w:rsidRPr="00F80BF5">
        <w:rPr>
          <w:rFonts w:eastAsiaTheme="minorHAnsi"/>
          <w:lang w:eastAsia="en-US"/>
        </w:rPr>
        <w:t>cieľa sa zabezpečilo prostredníctvom podpory vytvorenia pracovného miesta alebo udržania pracovného miesta na dobu určitú pre obyvateľov dotknutých obcí za účelom pomoci pri obnove verejného majetku.</w:t>
      </w:r>
    </w:p>
    <w:p w14:paraId="4C3B2CD5" w14:textId="4764A29C" w:rsidR="00F80BF5" w:rsidRPr="00F80BF5" w:rsidRDefault="00F80BF5" w:rsidP="00F80BF5">
      <w:pPr>
        <w:spacing w:before="120" w:after="120"/>
        <w:ind w:firstLine="0"/>
        <w:rPr>
          <w:rFonts w:eastAsiaTheme="minorHAnsi"/>
          <w:lang w:eastAsia="en-US"/>
        </w:rPr>
      </w:pPr>
      <w:r w:rsidRPr="00F80BF5">
        <w:rPr>
          <w:rFonts w:eastAsiaTheme="minorHAnsi"/>
          <w:lang w:eastAsia="en-US"/>
        </w:rPr>
        <w:t xml:space="preserve">Za oprávneného žiadateľa sa považovala obec, zasiahnutá prírodnou katastrofou v rámci </w:t>
      </w:r>
      <w:r w:rsidR="005A1E7D">
        <w:rPr>
          <w:rFonts w:eastAsiaTheme="minorHAnsi"/>
          <w:lang w:eastAsia="en-US"/>
        </w:rPr>
        <w:t>dotknutých vyššie menovaných okresov, zapojených</w:t>
      </w:r>
      <w:r w:rsidRPr="00F80BF5">
        <w:rPr>
          <w:rFonts w:eastAsiaTheme="minorHAnsi"/>
          <w:lang w:eastAsia="en-US"/>
        </w:rPr>
        <w:t xml:space="preserve"> do</w:t>
      </w:r>
      <w:r w:rsidR="005A1E7D">
        <w:rPr>
          <w:rFonts w:eastAsiaTheme="minorHAnsi"/>
          <w:lang w:eastAsia="en-US"/>
        </w:rPr>
        <w:t xml:space="preserve"> predošlého </w:t>
      </w:r>
      <w:r w:rsidRPr="00F80BF5">
        <w:rPr>
          <w:rFonts w:eastAsiaTheme="minorHAnsi"/>
          <w:lang w:eastAsia="en-US"/>
        </w:rPr>
        <w:t xml:space="preserve"> projektu „Podpora obcí zasiahnutých zemetrasením“.</w:t>
      </w:r>
    </w:p>
    <w:p w14:paraId="1533BEE6" w14:textId="398F7D26" w:rsidR="00F80BF5" w:rsidRPr="00F80BF5" w:rsidRDefault="00F80BF5" w:rsidP="00F80BF5">
      <w:pPr>
        <w:spacing w:before="120" w:after="120"/>
        <w:ind w:firstLine="0"/>
        <w:rPr>
          <w:rFonts w:eastAsiaTheme="minorHAnsi"/>
          <w:lang w:eastAsia="en-US"/>
        </w:rPr>
      </w:pPr>
      <w:r w:rsidRPr="00F80BF5">
        <w:rPr>
          <w:rFonts w:eastAsiaTheme="minorHAnsi"/>
          <w:lang w:eastAsia="en-US"/>
        </w:rPr>
        <w:t xml:space="preserve">Oprávnenou cieľovou skupinou projektu bol UoZ, ktorý </w:t>
      </w:r>
      <w:r w:rsidR="001E440D">
        <w:rPr>
          <w:rFonts w:eastAsiaTheme="minorHAnsi"/>
          <w:lang w:eastAsia="en-US"/>
        </w:rPr>
        <w:t xml:space="preserve">nebol </w:t>
      </w:r>
      <w:r w:rsidRPr="00F80BF5">
        <w:rPr>
          <w:rFonts w:eastAsiaTheme="minorHAnsi"/>
          <w:lang w:eastAsia="en-US"/>
        </w:rPr>
        <w:t xml:space="preserve"> poberateľom dávky v hmotnej núdzi a príspevkov k dávke v zmysle zákona o pomoci v hmotnej núdzi </w:t>
      </w:r>
      <w:r w:rsidR="001E440D">
        <w:rPr>
          <w:rFonts w:eastAsiaTheme="minorHAnsi"/>
          <w:lang w:eastAsia="en-US"/>
        </w:rPr>
        <w:t xml:space="preserve">a zároveň bol </w:t>
      </w:r>
      <w:r w:rsidRPr="00F80BF5">
        <w:rPr>
          <w:rFonts w:eastAsiaTheme="minorHAnsi"/>
          <w:lang w:eastAsia="en-US"/>
        </w:rPr>
        <w:t>evidovaný v rámci oprávneného územia alebo zamestnanci oprávneného žiadateľa, ktorí sa podieľali na realizácii aktivít projektu „Podpora obcí zasiahnutých zemetrasením“, v období od 1. decembra 2023 do 30. júna 2024.</w:t>
      </w:r>
    </w:p>
    <w:p w14:paraId="77DE40B7" w14:textId="394836CD" w:rsidR="00F80BF5" w:rsidRPr="00F80BF5" w:rsidRDefault="00F80BF5" w:rsidP="00F80BF5">
      <w:pPr>
        <w:spacing w:before="120" w:after="120"/>
        <w:ind w:firstLine="0"/>
        <w:rPr>
          <w:rFonts w:eastAsiaTheme="minorHAnsi"/>
          <w:lang w:eastAsia="en-US"/>
        </w:rPr>
      </w:pPr>
      <w:r w:rsidRPr="00F80BF5">
        <w:rPr>
          <w:rFonts w:eastAsiaTheme="minorHAnsi"/>
          <w:lang w:eastAsia="en-US"/>
        </w:rPr>
        <w:t>Finančný príspevok na pomocného zamestnanca sa poskytoval vo výške 90</w:t>
      </w:r>
      <w:r w:rsidR="001E440D">
        <w:rPr>
          <w:rFonts w:eastAsiaTheme="minorHAnsi"/>
          <w:lang w:eastAsia="en-US"/>
        </w:rPr>
        <w:t xml:space="preserve"> </w:t>
      </w:r>
      <w:r w:rsidRPr="00F80BF5">
        <w:rPr>
          <w:rFonts w:eastAsiaTheme="minorHAnsi"/>
          <w:lang w:eastAsia="en-US"/>
        </w:rPr>
        <w:t>% minimálnej celkovej ceny práce (</w:t>
      </w:r>
      <w:r w:rsidR="001E440D">
        <w:rPr>
          <w:rFonts w:eastAsiaTheme="minorHAnsi"/>
          <w:lang w:eastAsia="en-US"/>
        </w:rPr>
        <w:t>MCCP</w:t>
      </w:r>
      <w:r w:rsidRPr="00F80BF5">
        <w:rPr>
          <w:rFonts w:eastAsiaTheme="minorHAnsi"/>
          <w:lang w:eastAsia="en-US"/>
        </w:rPr>
        <w:t>) zamestnanca ustanovenej na príslušný kalendárny rok, v ktorom</w:t>
      </w:r>
      <w:r w:rsidR="001E440D">
        <w:rPr>
          <w:rFonts w:eastAsiaTheme="minorHAnsi"/>
          <w:lang w:eastAsia="en-US"/>
        </w:rPr>
        <w:t xml:space="preserve"> sa finančný príspevok poskytoval. Pre rok 2024 bol </w:t>
      </w:r>
      <w:r w:rsidRPr="00F80BF5">
        <w:rPr>
          <w:rFonts w:eastAsiaTheme="minorHAnsi"/>
          <w:lang w:eastAsia="en-US"/>
        </w:rPr>
        <w:t xml:space="preserve">príspevok vo výške </w:t>
      </w:r>
      <w:r w:rsidR="001E440D" w:rsidRPr="00F80BF5">
        <w:rPr>
          <w:rFonts w:eastAsiaTheme="minorHAnsi"/>
          <w:lang w:eastAsia="en-US"/>
        </w:rPr>
        <w:t xml:space="preserve">najviac </w:t>
      </w:r>
      <w:r w:rsidRPr="00F80BF5">
        <w:rPr>
          <w:rFonts w:eastAsiaTheme="minorHAnsi"/>
          <w:lang w:eastAsia="en-US"/>
        </w:rPr>
        <w:t xml:space="preserve">919,34 </w:t>
      </w:r>
      <w:r w:rsidR="00790522">
        <w:rPr>
          <w:rFonts w:eastAsiaTheme="minorHAnsi"/>
          <w:lang w:eastAsia="en-US"/>
        </w:rPr>
        <w:t>eur</w:t>
      </w:r>
      <w:r w:rsidRPr="00F80BF5">
        <w:rPr>
          <w:rFonts w:eastAsiaTheme="minorHAnsi"/>
          <w:lang w:eastAsia="en-US"/>
        </w:rPr>
        <w:t xml:space="preserve">. </w:t>
      </w:r>
      <w:r w:rsidR="001E440D">
        <w:rPr>
          <w:rFonts w:eastAsiaTheme="minorHAnsi"/>
          <w:lang w:eastAsia="en-US"/>
        </w:rPr>
        <w:t>P</w:t>
      </w:r>
      <w:r w:rsidRPr="00F80BF5">
        <w:rPr>
          <w:rFonts w:eastAsiaTheme="minorHAnsi"/>
          <w:lang w:eastAsia="en-US"/>
        </w:rPr>
        <w:t>ríspevok na samostatného zamestnanca sa poskytoval vo výške 90</w:t>
      </w:r>
      <w:r w:rsidR="001E440D">
        <w:rPr>
          <w:rFonts w:eastAsiaTheme="minorHAnsi"/>
          <w:lang w:eastAsia="en-US"/>
        </w:rPr>
        <w:t xml:space="preserve"> </w:t>
      </w:r>
      <w:r w:rsidRPr="00F80BF5">
        <w:rPr>
          <w:rFonts w:eastAsiaTheme="minorHAnsi"/>
          <w:lang w:eastAsia="en-US"/>
        </w:rPr>
        <w:t>% z 1,2 násobku MCCP zamestnanca ustanovenej na príslušný kalendárny rok, v ktorom</w:t>
      </w:r>
      <w:r w:rsidR="001E440D">
        <w:rPr>
          <w:rFonts w:eastAsiaTheme="minorHAnsi"/>
          <w:lang w:eastAsia="en-US"/>
        </w:rPr>
        <w:t xml:space="preserve"> sa finančný príspevok poskytoval</w:t>
      </w:r>
      <w:r w:rsidRPr="00F80BF5">
        <w:rPr>
          <w:rFonts w:eastAsiaTheme="minorHAnsi"/>
          <w:lang w:eastAsia="en-US"/>
        </w:rPr>
        <w:t xml:space="preserve">. Pre rok 2024 bol príspevok vo výške </w:t>
      </w:r>
      <w:r w:rsidR="00A93CCB" w:rsidRPr="00F80BF5">
        <w:rPr>
          <w:rFonts w:eastAsiaTheme="minorHAnsi"/>
          <w:lang w:eastAsia="en-US"/>
        </w:rPr>
        <w:t xml:space="preserve">najviac </w:t>
      </w:r>
      <w:r w:rsidRPr="00F80BF5">
        <w:rPr>
          <w:rFonts w:eastAsiaTheme="minorHAnsi"/>
          <w:lang w:eastAsia="en-US"/>
        </w:rPr>
        <w:t xml:space="preserve">1 103,21 </w:t>
      </w:r>
      <w:r w:rsidR="00790522">
        <w:rPr>
          <w:rFonts w:eastAsiaTheme="minorHAnsi"/>
          <w:lang w:eastAsia="en-US"/>
        </w:rPr>
        <w:t>eur</w:t>
      </w:r>
      <w:r w:rsidRPr="00F80BF5">
        <w:rPr>
          <w:rFonts w:eastAsiaTheme="minorHAnsi"/>
          <w:lang w:eastAsia="en-US"/>
        </w:rPr>
        <w:t>. Výška príspevku zodpovedá pracovnému pomeru dohodnutému na ustanovený týždenný pracovný čas. Ak bol pracovný pomer dohodnutý v rozsahu menej ako bol rozsah ustanoveného týždenného pracovného času, príspev</w:t>
      </w:r>
      <w:r w:rsidR="00A93CCB">
        <w:rPr>
          <w:rFonts w:eastAsiaTheme="minorHAnsi"/>
          <w:lang w:eastAsia="en-US"/>
        </w:rPr>
        <w:t>ok sa pomerne krátil</w:t>
      </w:r>
      <w:r w:rsidRPr="00F80BF5">
        <w:rPr>
          <w:rFonts w:eastAsiaTheme="minorHAnsi"/>
          <w:lang w:eastAsia="en-US"/>
        </w:rPr>
        <w:t>.</w:t>
      </w:r>
      <w:r w:rsidR="00A93CCB">
        <w:rPr>
          <w:rFonts w:eastAsiaTheme="minorHAnsi"/>
          <w:lang w:eastAsia="en-US"/>
        </w:rPr>
        <w:t xml:space="preserve"> </w:t>
      </w:r>
      <w:r w:rsidRPr="00F80BF5">
        <w:rPr>
          <w:rFonts w:eastAsiaTheme="minorHAnsi"/>
          <w:lang w:eastAsia="en-US"/>
        </w:rPr>
        <w:t>Dohodnutá výška príspevku sa počas trvania záväzku menila v závislosti od valorizácie</w:t>
      </w:r>
      <w:r w:rsidR="00A93CCB">
        <w:rPr>
          <w:rFonts w:eastAsiaTheme="minorHAnsi"/>
          <w:lang w:eastAsia="en-US"/>
        </w:rPr>
        <w:t xml:space="preserve"> </w:t>
      </w:r>
      <w:r w:rsidRPr="00F80BF5">
        <w:rPr>
          <w:rFonts w:eastAsiaTheme="minorHAnsi"/>
          <w:lang w:eastAsia="en-US"/>
        </w:rPr>
        <w:t>minimálnej mzdy ustanovenej na príslušný kalendárny rok.</w:t>
      </w:r>
    </w:p>
    <w:p w14:paraId="6C0BC267" w14:textId="1EC58B10" w:rsidR="00F80BF5" w:rsidRDefault="00F80BF5" w:rsidP="00F80BF5">
      <w:pPr>
        <w:spacing w:before="120" w:after="120"/>
        <w:ind w:firstLine="0"/>
        <w:rPr>
          <w:rFonts w:eastAsiaTheme="minorHAnsi"/>
          <w:lang w:eastAsia="en-US"/>
        </w:rPr>
      </w:pPr>
      <w:r w:rsidRPr="00F80BF5">
        <w:rPr>
          <w:rFonts w:eastAsiaTheme="minorHAnsi"/>
          <w:lang w:eastAsia="en-US"/>
        </w:rPr>
        <w:t xml:space="preserve">V roku 2024 bolo prijatých v rámci projektu 44 žiadostí zamestnávateľov, z toho bolo 44 schválených (100 %) na 89 PM v celkovej dohodnutej sume 584 730 </w:t>
      </w:r>
      <w:r w:rsidR="00790522">
        <w:rPr>
          <w:rFonts w:eastAsiaTheme="minorHAnsi"/>
          <w:lang w:eastAsia="en-US"/>
        </w:rPr>
        <w:t>eur</w:t>
      </w:r>
      <w:r w:rsidRPr="00F80BF5">
        <w:rPr>
          <w:rFonts w:eastAsiaTheme="minorHAnsi"/>
          <w:lang w:eastAsia="en-US"/>
        </w:rPr>
        <w:t xml:space="preserve">. Do projektu bolo od marca 2024 </w:t>
      </w:r>
      <w:r w:rsidRPr="00F80BF5">
        <w:rPr>
          <w:rFonts w:eastAsiaTheme="minorHAnsi"/>
          <w:bCs/>
          <w:lang w:eastAsia="en-US"/>
        </w:rPr>
        <w:t>zaradených 92 UoZ,</w:t>
      </w:r>
      <w:r w:rsidRPr="00F80BF5">
        <w:rPr>
          <w:rFonts w:eastAsiaTheme="minorHAnsi"/>
          <w:lang w:eastAsia="en-US"/>
        </w:rPr>
        <w:t xml:space="preserve"> z toho 28 žien, 64 mužov. Celková čerpaná suma finančných prostriedkov v roku 2024 je 406 484 </w:t>
      </w:r>
      <w:r w:rsidR="00790522">
        <w:rPr>
          <w:rFonts w:eastAsiaTheme="minorHAnsi"/>
          <w:lang w:eastAsia="en-US"/>
        </w:rPr>
        <w:t>eur</w:t>
      </w:r>
      <w:r w:rsidRPr="00F80BF5">
        <w:rPr>
          <w:rFonts w:eastAsiaTheme="minorHAnsi"/>
          <w:lang w:eastAsia="en-US"/>
        </w:rPr>
        <w:t>.</w:t>
      </w:r>
    </w:p>
    <w:p w14:paraId="1A2DECFF" w14:textId="62DC1376" w:rsidR="00F80BF5" w:rsidRPr="00F80BF5" w:rsidRDefault="00E62ABB" w:rsidP="00F80BF5">
      <w:pPr>
        <w:spacing w:before="120" w:after="120"/>
        <w:ind w:firstLine="0"/>
        <w:rPr>
          <w:rFonts w:eastAsiaTheme="minorHAnsi"/>
          <w:lang w:eastAsia="en-US"/>
        </w:rPr>
      </w:pPr>
      <w:r w:rsidRPr="00F80BF5">
        <w:rPr>
          <w:rFonts w:eastAsiaTheme="minorHAnsi"/>
          <w:noProof/>
        </w:rPr>
        <w:lastRenderedPageBreak/>
        <w:drawing>
          <wp:anchor distT="0" distB="0" distL="114300" distR="114300" simplePos="0" relativeHeight="252656128" behindDoc="0" locked="0" layoutInCell="1" allowOverlap="1" wp14:anchorId="7470C422" wp14:editId="190318AA">
            <wp:simplePos x="0" y="0"/>
            <wp:positionH relativeFrom="margin">
              <wp:posOffset>-17835</wp:posOffset>
            </wp:positionH>
            <wp:positionV relativeFrom="paragraph">
              <wp:posOffset>912633</wp:posOffset>
            </wp:positionV>
            <wp:extent cx="5862955" cy="2886324"/>
            <wp:effectExtent l="0" t="0" r="4445" b="9525"/>
            <wp:wrapNone/>
            <wp:docPr id="244" name="Graf 24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00F80BF5" w:rsidRPr="00F80BF5">
        <w:rPr>
          <w:rFonts w:eastAsiaTheme="minorHAnsi"/>
          <w:bCs/>
          <w:lang w:eastAsia="en-US"/>
        </w:rPr>
        <w:t xml:space="preserve">Z hľadiska </w:t>
      </w:r>
      <w:r w:rsidR="00A93CCB">
        <w:rPr>
          <w:rFonts w:eastAsiaTheme="minorHAnsi"/>
          <w:bCs/>
          <w:lang w:eastAsia="en-US"/>
        </w:rPr>
        <w:t xml:space="preserve">dĺžky </w:t>
      </w:r>
      <w:r w:rsidR="00F80BF5" w:rsidRPr="00F80BF5">
        <w:rPr>
          <w:rFonts w:eastAsiaTheme="minorHAnsi"/>
          <w:bCs/>
          <w:lang w:eastAsia="en-US"/>
        </w:rPr>
        <w:t>evidencie</w:t>
      </w:r>
      <w:r w:rsidR="00A93CCB">
        <w:rPr>
          <w:rFonts w:eastAsiaTheme="minorHAnsi"/>
          <w:bCs/>
          <w:lang w:eastAsia="en-US"/>
        </w:rPr>
        <w:t xml:space="preserve"> UoZ </w:t>
      </w:r>
      <w:r w:rsidR="00F80BF5" w:rsidRPr="00F80BF5">
        <w:rPr>
          <w:rFonts w:eastAsiaTheme="minorHAnsi"/>
          <w:lang w:eastAsia="en-US"/>
        </w:rPr>
        <w:t xml:space="preserve"> pred </w:t>
      </w:r>
      <w:r w:rsidR="00A93CCB">
        <w:rPr>
          <w:rFonts w:eastAsiaTheme="minorHAnsi"/>
          <w:lang w:eastAsia="en-US"/>
        </w:rPr>
        <w:t xml:space="preserve">ich </w:t>
      </w:r>
      <w:r w:rsidR="00F80BF5" w:rsidRPr="00F80BF5">
        <w:rPr>
          <w:rFonts w:eastAsiaTheme="minorHAnsi"/>
          <w:lang w:eastAsia="en-US"/>
        </w:rPr>
        <w:t>zaradením na vykonávanie aktivačnej</w:t>
      </w:r>
      <w:r w:rsidR="00A93CCB">
        <w:rPr>
          <w:rFonts w:eastAsiaTheme="minorHAnsi"/>
          <w:lang w:eastAsia="en-US"/>
        </w:rPr>
        <w:t xml:space="preserve"> činnosti bolo v roku 2024 (od 4. 3.</w:t>
      </w:r>
      <w:r w:rsidR="00F80BF5" w:rsidRPr="00F80BF5">
        <w:rPr>
          <w:rFonts w:eastAsiaTheme="minorHAnsi"/>
          <w:lang w:eastAsia="en-US"/>
        </w:rPr>
        <w:t xml:space="preserve"> 2024) najviac – 28</w:t>
      </w:r>
      <w:r w:rsidR="00A93CCB">
        <w:rPr>
          <w:rFonts w:eastAsiaTheme="minorHAnsi"/>
          <w:lang w:eastAsia="en-US"/>
        </w:rPr>
        <w:t xml:space="preserve"> </w:t>
      </w:r>
      <w:r w:rsidR="00F80BF5" w:rsidRPr="00F80BF5">
        <w:rPr>
          <w:rFonts w:eastAsiaTheme="minorHAnsi"/>
          <w:lang w:eastAsia="en-US"/>
        </w:rPr>
        <w:t>UoZ (30,43 %) v evidencii UoZ od 7-12 mesiacov, nad 24 mesiacov bolo v evidencii 25 UoZ (21,17 %), od 4 do 6 mesiacov bolo v evidencii 18 UoZ (19,57 %), od 13 do 24 mesiacov bolo v evidencii 15 UoZ (16,30 %) , do 3 mesiacov v evidencii 6 UoZ (6,52 %), čo znázorňuje graf.</w:t>
      </w:r>
    </w:p>
    <w:p w14:paraId="67A217D6" w14:textId="492D0916" w:rsidR="00426908" w:rsidRDefault="00426908" w:rsidP="00426908">
      <w:pPr>
        <w:spacing w:before="120" w:after="0"/>
        <w:ind w:firstLine="0"/>
        <w:rPr>
          <w:rFonts w:eastAsiaTheme="minorHAnsi"/>
          <w:lang w:eastAsia="en-US"/>
        </w:rPr>
      </w:pPr>
    </w:p>
    <w:p w14:paraId="285717BF" w14:textId="47AAB4C7" w:rsidR="008D15C2" w:rsidRDefault="008D15C2" w:rsidP="00426908">
      <w:pPr>
        <w:spacing w:after="120"/>
        <w:ind w:firstLine="0"/>
        <w:rPr>
          <w:rFonts w:eastAsiaTheme="minorHAnsi"/>
          <w:lang w:eastAsia="en-US"/>
        </w:rPr>
      </w:pPr>
    </w:p>
    <w:p w14:paraId="1FDDDFA8" w14:textId="312F3401" w:rsidR="008D15C2" w:rsidRDefault="008D15C2" w:rsidP="00426908">
      <w:pPr>
        <w:spacing w:after="120"/>
        <w:ind w:firstLine="0"/>
        <w:rPr>
          <w:rFonts w:eastAsiaTheme="minorHAnsi"/>
          <w:lang w:eastAsia="en-US"/>
        </w:rPr>
      </w:pPr>
    </w:p>
    <w:p w14:paraId="0E056397" w14:textId="635C6FD0" w:rsidR="008D15C2" w:rsidRDefault="008D15C2" w:rsidP="00426908">
      <w:pPr>
        <w:spacing w:after="120"/>
        <w:ind w:firstLine="0"/>
        <w:rPr>
          <w:rFonts w:eastAsiaTheme="minorHAnsi"/>
          <w:lang w:eastAsia="en-US"/>
        </w:rPr>
      </w:pPr>
    </w:p>
    <w:p w14:paraId="53D7F023" w14:textId="665BADA9" w:rsidR="008D15C2" w:rsidRDefault="008D15C2" w:rsidP="00426908">
      <w:pPr>
        <w:spacing w:after="120"/>
        <w:ind w:firstLine="0"/>
        <w:rPr>
          <w:rFonts w:eastAsiaTheme="minorHAnsi"/>
          <w:lang w:eastAsia="en-US"/>
        </w:rPr>
      </w:pPr>
    </w:p>
    <w:p w14:paraId="0F9F1136" w14:textId="70AE7785" w:rsidR="008D15C2" w:rsidRDefault="008D15C2" w:rsidP="00426908">
      <w:pPr>
        <w:spacing w:after="120"/>
        <w:ind w:firstLine="0"/>
        <w:rPr>
          <w:rFonts w:eastAsiaTheme="minorHAnsi"/>
          <w:lang w:eastAsia="en-US"/>
        </w:rPr>
      </w:pPr>
    </w:p>
    <w:p w14:paraId="37D674E2" w14:textId="71EF00CF" w:rsidR="008D15C2" w:rsidRDefault="008D15C2" w:rsidP="00426908">
      <w:pPr>
        <w:spacing w:after="120"/>
        <w:ind w:firstLine="0"/>
        <w:rPr>
          <w:rFonts w:eastAsiaTheme="minorHAnsi"/>
          <w:lang w:eastAsia="en-US"/>
        </w:rPr>
      </w:pPr>
    </w:p>
    <w:p w14:paraId="331DA484" w14:textId="6E72E364" w:rsidR="008D15C2" w:rsidRDefault="008D15C2" w:rsidP="00426908">
      <w:pPr>
        <w:spacing w:after="120"/>
        <w:ind w:firstLine="0"/>
        <w:rPr>
          <w:rFonts w:eastAsiaTheme="minorHAnsi"/>
          <w:lang w:eastAsia="en-US"/>
        </w:rPr>
      </w:pPr>
    </w:p>
    <w:p w14:paraId="7D7E1516" w14:textId="48BED917" w:rsidR="008D15C2" w:rsidRDefault="008D15C2" w:rsidP="00426908">
      <w:pPr>
        <w:spacing w:after="120"/>
        <w:ind w:firstLine="0"/>
        <w:rPr>
          <w:rFonts w:eastAsiaTheme="minorHAnsi"/>
          <w:lang w:eastAsia="en-US"/>
        </w:rPr>
      </w:pPr>
    </w:p>
    <w:p w14:paraId="53F70871" w14:textId="1BCA9A29" w:rsidR="008D15C2" w:rsidRDefault="008D15C2" w:rsidP="00426908">
      <w:pPr>
        <w:spacing w:after="120"/>
        <w:ind w:firstLine="0"/>
        <w:rPr>
          <w:rFonts w:eastAsiaTheme="minorHAnsi"/>
          <w:lang w:eastAsia="en-US"/>
        </w:rPr>
      </w:pPr>
    </w:p>
    <w:p w14:paraId="5B262895" w14:textId="6F0A117F" w:rsidR="008D15C2" w:rsidRDefault="008D15C2" w:rsidP="00426908">
      <w:pPr>
        <w:spacing w:after="120"/>
        <w:ind w:firstLine="0"/>
        <w:rPr>
          <w:rFonts w:eastAsiaTheme="minorHAnsi"/>
          <w:lang w:eastAsia="en-US"/>
        </w:rPr>
      </w:pPr>
    </w:p>
    <w:p w14:paraId="76748E8C" w14:textId="77777777" w:rsidR="00E62ABB" w:rsidRDefault="00E62ABB" w:rsidP="00426908">
      <w:pPr>
        <w:spacing w:after="120"/>
        <w:ind w:firstLine="0"/>
        <w:rPr>
          <w:rFonts w:eastAsiaTheme="minorHAnsi"/>
          <w:lang w:eastAsia="en-US"/>
        </w:rPr>
      </w:pPr>
    </w:p>
    <w:p w14:paraId="4E0E1CFB" w14:textId="51B3B6B1" w:rsidR="00F80BF5" w:rsidRPr="00F80BF5" w:rsidRDefault="00F80BF5" w:rsidP="00426908">
      <w:pPr>
        <w:spacing w:after="120"/>
        <w:ind w:firstLine="0"/>
        <w:rPr>
          <w:rFonts w:eastAsiaTheme="minorHAnsi"/>
          <w:lang w:eastAsia="en-US"/>
        </w:rPr>
      </w:pPr>
      <w:r w:rsidRPr="00F80BF5">
        <w:rPr>
          <w:rFonts w:eastAsiaTheme="minorHAnsi"/>
          <w:lang w:eastAsia="en-US"/>
        </w:rPr>
        <w:t>Najväčší podiel zaradených UoZ bol vo veku od 30 do 49 rokov a to v počte 44 UoZ (47,83%). Nasledovali UoZ vo veku 50 rokov a viac, ktorých bolo 30 (32,61 %), a vo veku od 25 do 29 rokov a to v počte 10 UoZ (10,87 %). Najmenší podiel zaradených v tomto projekte boli UoZ vo veku do 24 rokov v počte 8 UoZ (8,70 %) - v štruktúre podľa grafu.</w:t>
      </w:r>
    </w:p>
    <w:p w14:paraId="0E7A9DDB" w14:textId="42EE1B45" w:rsidR="00F80BF5" w:rsidRPr="00F80BF5" w:rsidRDefault="00E62ABB" w:rsidP="00A93CCB">
      <w:pPr>
        <w:spacing w:before="120" w:after="120"/>
        <w:ind w:firstLine="0"/>
        <w:rPr>
          <w:rFonts w:eastAsiaTheme="minorHAnsi"/>
          <w:b/>
          <w:lang w:eastAsia="en-US"/>
        </w:rPr>
      </w:pPr>
      <w:r w:rsidRPr="00F80BF5">
        <w:rPr>
          <w:rFonts w:eastAsiaTheme="minorHAnsi"/>
          <w:b/>
          <w:bCs/>
          <w:iCs/>
          <w:noProof/>
        </w:rPr>
        <w:drawing>
          <wp:anchor distT="0" distB="0" distL="114300" distR="114300" simplePos="0" relativeHeight="252674560" behindDoc="1" locked="0" layoutInCell="1" allowOverlap="1" wp14:anchorId="19669F52" wp14:editId="7967D1B6">
            <wp:simplePos x="0" y="0"/>
            <wp:positionH relativeFrom="column">
              <wp:posOffset>-17835</wp:posOffset>
            </wp:positionH>
            <wp:positionV relativeFrom="paragraph">
              <wp:posOffset>50248</wp:posOffset>
            </wp:positionV>
            <wp:extent cx="5850890" cy="2862469"/>
            <wp:effectExtent l="0" t="0" r="16510" b="14605"/>
            <wp:wrapNone/>
            <wp:docPr id="465" name="Graf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V relativeFrom="margin">
              <wp14:pctHeight>0</wp14:pctHeight>
            </wp14:sizeRelV>
          </wp:anchor>
        </w:drawing>
      </w:r>
    </w:p>
    <w:p w14:paraId="611FAC08" w14:textId="7DCC428F" w:rsidR="00A93CCB" w:rsidRDefault="00A93CCB" w:rsidP="00F80BF5">
      <w:pPr>
        <w:spacing w:before="120" w:after="120"/>
        <w:ind w:firstLine="0"/>
        <w:rPr>
          <w:rFonts w:eastAsiaTheme="minorHAnsi"/>
          <w:lang w:eastAsia="en-US"/>
        </w:rPr>
      </w:pPr>
    </w:p>
    <w:p w14:paraId="7D213C50" w14:textId="762CB384" w:rsidR="00A93CCB" w:rsidRDefault="00A93CCB" w:rsidP="00F80BF5">
      <w:pPr>
        <w:spacing w:before="120" w:after="120"/>
        <w:ind w:firstLine="0"/>
        <w:rPr>
          <w:rFonts w:eastAsiaTheme="minorHAnsi"/>
          <w:lang w:eastAsia="en-US"/>
        </w:rPr>
      </w:pPr>
    </w:p>
    <w:p w14:paraId="73A337FE" w14:textId="797A404D" w:rsidR="00A93CCB" w:rsidRDefault="00A93CCB" w:rsidP="00F80BF5">
      <w:pPr>
        <w:spacing w:before="120" w:after="120"/>
        <w:ind w:firstLine="0"/>
        <w:rPr>
          <w:rFonts w:eastAsiaTheme="minorHAnsi"/>
          <w:lang w:eastAsia="en-US"/>
        </w:rPr>
      </w:pPr>
    </w:p>
    <w:p w14:paraId="2F63FFA5" w14:textId="0FFAB00E" w:rsidR="00A93CCB" w:rsidRDefault="00A93CCB" w:rsidP="00F80BF5">
      <w:pPr>
        <w:spacing w:before="120" w:after="120"/>
        <w:ind w:firstLine="0"/>
        <w:rPr>
          <w:rFonts w:eastAsiaTheme="minorHAnsi"/>
          <w:lang w:eastAsia="en-US"/>
        </w:rPr>
      </w:pPr>
    </w:p>
    <w:p w14:paraId="4B2FFBF9" w14:textId="04AC47CA" w:rsidR="00A93CCB" w:rsidRDefault="00A93CCB" w:rsidP="00F80BF5">
      <w:pPr>
        <w:spacing w:before="120" w:after="120"/>
        <w:ind w:firstLine="0"/>
        <w:rPr>
          <w:rFonts w:eastAsiaTheme="minorHAnsi"/>
          <w:lang w:eastAsia="en-US"/>
        </w:rPr>
      </w:pPr>
    </w:p>
    <w:p w14:paraId="7DBBD3B4" w14:textId="04633B02" w:rsidR="00A93CCB" w:rsidRDefault="00A93CCB" w:rsidP="00F80BF5">
      <w:pPr>
        <w:spacing w:before="120" w:after="120"/>
        <w:ind w:firstLine="0"/>
        <w:rPr>
          <w:rFonts w:eastAsiaTheme="minorHAnsi"/>
          <w:lang w:eastAsia="en-US"/>
        </w:rPr>
      </w:pPr>
    </w:p>
    <w:p w14:paraId="465E1E09" w14:textId="598E256A" w:rsidR="00A93CCB" w:rsidRDefault="00A93CCB" w:rsidP="00F80BF5">
      <w:pPr>
        <w:spacing w:before="120" w:after="120"/>
        <w:ind w:firstLine="0"/>
        <w:rPr>
          <w:rFonts w:eastAsiaTheme="minorHAnsi"/>
          <w:lang w:eastAsia="en-US"/>
        </w:rPr>
      </w:pPr>
    </w:p>
    <w:p w14:paraId="744D39EE" w14:textId="24099FF2" w:rsidR="00A93CCB" w:rsidRDefault="00A93CCB" w:rsidP="00F80BF5">
      <w:pPr>
        <w:spacing w:before="120" w:after="120"/>
        <w:ind w:firstLine="0"/>
        <w:rPr>
          <w:rFonts w:eastAsiaTheme="minorHAnsi"/>
          <w:lang w:eastAsia="en-US"/>
        </w:rPr>
      </w:pPr>
    </w:p>
    <w:p w14:paraId="1514CB87" w14:textId="77777777" w:rsidR="008D15C2" w:rsidRDefault="008D15C2" w:rsidP="00F80BF5">
      <w:pPr>
        <w:spacing w:before="120" w:after="120"/>
        <w:ind w:firstLine="0"/>
        <w:rPr>
          <w:rFonts w:eastAsiaTheme="minorHAnsi"/>
          <w:lang w:eastAsia="en-US"/>
        </w:rPr>
      </w:pPr>
    </w:p>
    <w:p w14:paraId="5AFC934A" w14:textId="77777777" w:rsidR="008D15C2" w:rsidRDefault="008D15C2" w:rsidP="00F80BF5">
      <w:pPr>
        <w:spacing w:before="120" w:after="120"/>
        <w:ind w:firstLine="0"/>
        <w:rPr>
          <w:rFonts w:eastAsiaTheme="minorHAnsi"/>
          <w:lang w:eastAsia="en-US"/>
        </w:rPr>
      </w:pPr>
    </w:p>
    <w:p w14:paraId="4C48FE39" w14:textId="77777777" w:rsidR="008D15C2" w:rsidRDefault="008D15C2" w:rsidP="00F80BF5">
      <w:pPr>
        <w:spacing w:before="120" w:after="120"/>
        <w:ind w:firstLine="0"/>
        <w:rPr>
          <w:rFonts w:eastAsiaTheme="minorHAnsi"/>
          <w:lang w:eastAsia="en-US"/>
        </w:rPr>
      </w:pPr>
    </w:p>
    <w:p w14:paraId="110697C7" w14:textId="3D9834E1" w:rsidR="00F80BF5" w:rsidRDefault="00F80BF5" w:rsidP="00F80BF5">
      <w:pPr>
        <w:spacing w:before="120" w:after="120"/>
        <w:ind w:firstLine="0"/>
        <w:rPr>
          <w:rFonts w:eastAsiaTheme="minorHAnsi"/>
          <w:lang w:eastAsia="en-US"/>
        </w:rPr>
      </w:pPr>
      <w:r w:rsidRPr="00F80BF5">
        <w:rPr>
          <w:rFonts w:eastAsiaTheme="minorHAnsi"/>
          <w:lang w:eastAsia="en-US"/>
        </w:rPr>
        <w:t xml:space="preserve">Z hľadiska znevýhodnenia, najvyšší počet tvorili občania, ktorí najmenej 12 po sebe nasledujúcich kalendárnych mesiacov pred zaradením do evidencie UoZ nemali pravidelne platené zamestnanie a to v počte 50 UoZ (32,05 %), ďalšiu skupinu tvorili občania , ktorí boli dlhodobo nezamestnaný v počte 33 UoZ (21,15 %), ďalej nasledovali občania, ktorí dosiahli vzdelanie nižšie ako stredné odborné v počte 31 UoZ (19,87 %), UoZ starší ako 50 rokov v počte 29 UoZ (18,59 </w:t>
      </w:r>
      <w:r w:rsidRPr="00F80BF5">
        <w:rPr>
          <w:rFonts w:eastAsiaTheme="minorHAnsi"/>
          <w:lang w:val="en-GB" w:eastAsia="en-US"/>
        </w:rPr>
        <w:t>%</w:t>
      </w:r>
      <w:r w:rsidRPr="00F80BF5">
        <w:rPr>
          <w:rFonts w:eastAsiaTheme="minorHAnsi"/>
          <w:lang w:eastAsia="en-US"/>
        </w:rPr>
        <w:t xml:space="preserve">), občania so zdravotným postihnutím v počte 7 UoZ (4,49 %), UoZ, ktorí ukončili poberanie materského alebo poberanie rodičovského príspevku v počte 3 UoZ (1,92 %), osamelý občan – starostlivosť o odkázanú osobu/starajúci sa o dieťa v počte 2 UoZ (1,28 %) </w:t>
      </w:r>
      <w:r w:rsidRPr="00F80BF5">
        <w:rPr>
          <w:rFonts w:eastAsiaTheme="minorHAnsi"/>
          <w:lang w:eastAsia="en-US"/>
        </w:rPr>
        <w:lastRenderedPageBreak/>
        <w:t>absolventi škôl v počte 1 UoZ (0,64 %) a štátny príslušníci tretej krajiny 0 UoZ (0 %) v štruktúre podľa grafu nižšie.</w:t>
      </w:r>
    </w:p>
    <w:p w14:paraId="0A5BA60C" w14:textId="3AEEECD1" w:rsidR="00426908" w:rsidRDefault="008D15C2" w:rsidP="00426908">
      <w:pPr>
        <w:spacing w:before="120" w:after="0"/>
        <w:ind w:firstLine="0"/>
        <w:rPr>
          <w:rFonts w:eastAsiaTheme="minorHAnsi"/>
          <w:lang w:eastAsia="en-US"/>
        </w:rPr>
      </w:pPr>
      <w:r w:rsidRPr="00F609F3">
        <w:rPr>
          <w:noProof/>
          <w:sz w:val="20"/>
          <w:szCs w:val="20"/>
        </w:rPr>
        <w:drawing>
          <wp:anchor distT="0" distB="0" distL="114300" distR="114300" simplePos="0" relativeHeight="252662272" behindDoc="0" locked="0" layoutInCell="1" allowOverlap="1" wp14:anchorId="224C1E94" wp14:editId="7B728DA4">
            <wp:simplePos x="0" y="0"/>
            <wp:positionH relativeFrom="margin">
              <wp:posOffset>-10961</wp:posOffset>
            </wp:positionH>
            <wp:positionV relativeFrom="paragraph">
              <wp:posOffset>41469</wp:posOffset>
            </wp:positionV>
            <wp:extent cx="5833745" cy="2989580"/>
            <wp:effectExtent l="0" t="0" r="14605" b="1270"/>
            <wp:wrapNone/>
            <wp:docPr id="15" name="Graf 1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5E93193A" w14:textId="77777777" w:rsidR="008D15C2" w:rsidRDefault="008D15C2" w:rsidP="00426908">
      <w:pPr>
        <w:spacing w:after="120"/>
        <w:ind w:firstLine="0"/>
        <w:rPr>
          <w:rFonts w:eastAsiaTheme="minorHAnsi"/>
          <w:lang w:eastAsia="en-US"/>
        </w:rPr>
      </w:pPr>
    </w:p>
    <w:p w14:paraId="10D3EEFF" w14:textId="77777777" w:rsidR="008D15C2" w:rsidRDefault="008D15C2" w:rsidP="00426908">
      <w:pPr>
        <w:spacing w:after="120"/>
        <w:ind w:firstLine="0"/>
        <w:rPr>
          <w:rFonts w:eastAsiaTheme="minorHAnsi"/>
          <w:lang w:eastAsia="en-US"/>
        </w:rPr>
      </w:pPr>
    </w:p>
    <w:p w14:paraId="7886C5BC" w14:textId="77777777" w:rsidR="008D15C2" w:rsidRDefault="008D15C2" w:rsidP="00426908">
      <w:pPr>
        <w:spacing w:after="120"/>
        <w:ind w:firstLine="0"/>
        <w:rPr>
          <w:rFonts w:eastAsiaTheme="minorHAnsi"/>
          <w:lang w:eastAsia="en-US"/>
        </w:rPr>
      </w:pPr>
    </w:p>
    <w:p w14:paraId="59AF6637" w14:textId="77777777" w:rsidR="008D15C2" w:rsidRDefault="008D15C2" w:rsidP="00426908">
      <w:pPr>
        <w:spacing w:after="120"/>
        <w:ind w:firstLine="0"/>
        <w:rPr>
          <w:rFonts w:eastAsiaTheme="minorHAnsi"/>
          <w:lang w:eastAsia="en-US"/>
        </w:rPr>
      </w:pPr>
    </w:p>
    <w:p w14:paraId="1E886253" w14:textId="77777777" w:rsidR="008D15C2" w:rsidRDefault="008D15C2" w:rsidP="00426908">
      <w:pPr>
        <w:spacing w:after="120"/>
        <w:ind w:firstLine="0"/>
        <w:rPr>
          <w:rFonts w:eastAsiaTheme="minorHAnsi"/>
          <w:lang w:eastAsia="en-US"/>
        </w:rPr>
      </w:pPr>
    </w:p>
    <w:p w14:paraId="1428D007" w14:textId="77777777" w:rsidR="008D15C2" w:rsidRDefault="008D15C2" w:rsidP="00426908">
      <w:pPr>
        <w:spacing w:after="120"/>
        <w:ind w:firstLine="0"/>
        <w:rPr>
          <w:rFonts w:eastAsiaTheme="minorHAnsi"/>
          <w:lang w:eastAsia="en-US"/>
        </w:rPr>
      </w:pPr>
    </w:p>
    <w:p w14:paraId="0F8C20CF" w14:textId="77777777" w:rsidR="008D15C2" w:rsidRDefault="008D15C2" w:rsidP="00426908">
      <w:pPr>
        <w:spacing w:after="120"/>
        <w:ind w:firstLine="0"/>
        <w:rPr>
          <w:rFonts w:eastAsiaTheme="minorHAnsi"/>
          <w:lang w:eastAsia="en-US"/>
        </w:rPr>
      </w:pPr>
    </w:p>
    <w:p w14:paraId="122285BF" w14:textId="77777777" w:rsidR="008D15C2" w:rsidRDefault="008D15C2" w:rsidP="00426908">
      <w:pPr>
        <w:spacing w:after="120"/>
        <w:ind w:firstLine="0"/>
        <w:rPr>
          <w:rFonts w:eastAsiaTheme="minorHAnsi"/>
          <w:lang w:eastAsia="en-US"/>
        </w:rPr>
      </w:pPr>
    </w:p>
    <w:p w14:paraId="5FF3BB24" w14:textId="77777777" w:rsidR="008D15C2" w:rsidRDefault="008D15C2" w:rsidP="00426908">
      <w:pPr>
        <w:spacing w:after="120"/>
        <w:ind w:firstLine="0"/>
        <w:rPr>
          <w:rFonts w:eastAsiaTheme="minorHAnsi"/>
          <w:lang w:eastAsia="en-US"/>
        </w:rPr>
      </w:pPr>
    </w:p>
    <w:p w14:paraId="372FAE93" w14:textId="77777777" w:rsidR="008D15C2" w:rsidRDefault="008D15C2" w:rsidP="00426908">
      <w:pPr>
        <w:spacing w:after="120"/>
        <w:ind w:firstLine="0"/>
        <w:rPr>
          <w:rFonts w:eastAsiaTheme="minorHAnsi"/>
          <w:lang w:eastAsia="en-US"/>
        </w:rPr>
      </w:pPr>
    </w:p>
    <w:p w14:paraId="1B6BEA54" w14:textId="77777777" w:rsidR="008D15C2" w:rsidRDefault="008D15C2" w:rsidP="00426908">
      <w:pPr>
        <w:spacing w:after="120"/>
        <w:ind w:firstLine="0"/>
        <w:rPr>
          <w:rFonts w:eastAsiaTheme="minorHAnsi"/>
          <w:lang w:eastAsia="en-US"/>
        </w:rPr>
      </w:pPr>
    </w:p>
    <w:p w14:paraId="3EEFE89E" w14:textId="77777777" w:rsidR="008D15C2" w:rsidRDefault="008D15C2" w:rsidP="00426908">
      <w:pPr>
        <w:spacing w:after="120"/>
        <w:ind w:firstLine="0"/>
        <w:rPr>
          <w:rFonts w:eastAsiaTheme="minorHAnsi"/>
          <w:lang w:eastAsia="en-US"/>
        </w:rPr>
      </w:pPr>
    </w:p>
    <w:p w14:paraId="304F7CBA" w14:textId="18574719" w:rsidR="00F80BF5" w:rsidRDefault="00F80BF5" w:rsidP="00426908">
      <w:pPr>
        <w:spacing w:after="120"/>
        <w:ind w:firstLine="0"/>
        <w:rPr>
          <w:rFonts w:eastAsiaTheme="minorHAnsi"/>
          <w:lang w:eastAsia="en-US"/>
        </w:rPr>
      </w:pPr>
      <w:r w:rsidRPr="00F80BF5">
        <w:rPr>
          <w:rFonts w:eastAsiaTheme="minorHAnsi"/>
          <w:lang w:eastAsia="en-US"/>
        </w:rPr>
        <w:t>Podľa dosiahnutého stupňa vzdelania, najväčšiu skupinu zaradených UoZ tvorili so stredným odborným vzdelaním 42 UoZ (45,65 %) druhú skupinu predstavujú UoZ, ktorí dosiahli základné vzdelanie a to v počte 25 UoZ (21,17 %) a významne zastúpená bola aj skupina UoZ s úplne stredným odborným vzdelaním v počte 18 UoZ (19,57 %). Ďalšími skupinami boli UoZ s neukončeným základným vzdelaním v počte 5 UoZ (5,43 %), s nižším stredným odborným vzdelaním v počte 1 UoZ (1,09 %), s vysokoškolským vzdelaním druhého stupňa v počte 1 UoZ (1,09 %), v štruktúre podľa grafu dolu.</w:t>
      </w:r>
    </w:p>
    <w:p w14:paraId="44D9E4D6" w14:textId="50BF87C1" w:rsidR="00426908" w:rsidRDefault="005E1411" w:rsidP="00426908">
      <w:pPr>
        <w:spacing w:after="120"/>
        <w:ind w:firstLine="0"/>
        <w:rPr>
          <w:rFonts w:eastAsiaTheme="minorHAnsi"/>
          <w:lang w:eastAsia="en-US"/>
        </w:rPr>
      </w:pPr>
      <w:r w:rsidRPr="00F80BF5">
        <w:rPr>
          <w:rFonts w:eastAsiaTheme="minorHAnsi"/>
          <w:noProof/>
        </w:rPr>
        <w:drawing>
          <wp:anchor distT="0" distB="0" distL="114300" distR="114300" simplePos="0" relativeHeight="252669440" behindDoc="0" locked="0" layoutInCell="1" allowOverlap="1" wp14:anchorId="21743377" wp14:editId="55D43516">
            <wp:simplePos x="0" y="0"/>
            <wp:positionH relativeFrom="margin">
              <wp:posOffset>61678</wp:posOffset>
            </wp:positionH>
            <wp:positionV relativeFrom="paragraph">
              <wp:posOffset>18774</wp:posOffset>
            </wp:positionV>
            <wp:extent cx="5890895" cy="3028950"/>
            <wp:effectExtent l="0" t="0" r="14605" b="0"/>
            <wp:wrapNone/>
            <wp:docPr id="11" name="Graf 1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14:paraId="5057240D" w14:textId="0EC92F06" w:rsidR="00426908" w:rsidRDefault="00426908" w:rsidP="00426908">
      <w:pPr>
        <w:spacing w:after="120"/>
        <w:ind w:firstLine="0"/>
        <w:rPr>
          <w:rFonts w:eastAsiaTheme="minorHAnsi"/>
          <w:lang w:eastAsia="en-US"/>
        </w:rPr>
      </w:pPr>
    </w:p>
    <w:p w14:paraId="5BE082E8" w14:textId="68024DE7" w:rsidR="00426908" w:rsidRDefault="00426908" w:rsidP="00426908">
      <w:pPr>
        <w:spacing w:after="120"/>
        <w:ind w:firstLine="0"/>
        <w:rPr>
          <w:rFonts w:eastAsiaTheme="minorHAnsi"/>
          <w:lang w:eastAsia="en-US"/>
        </w:rPr>
      </w:pPr>
    </w:p>
    <w:p w14:paraId="1599ED88" w14:textId="447130A7" w:rsidR="00426908" w:rsidRDefault="00426908" w:rsidP="00426908">
      <w:pPr>
        <w:spacing w:after="120"/>
        <w:ind w:firstLine="0"/>
        <w:rPr>
          <w:rFonts w:eastAsiaTheme="minorHAnsi"/>
          <w:lang w:eastAsia="en-US"/>
        </w:rPr>
      </w:pPr>
    </w:p>
    <w:p w14:paraId="6EFB588A" w14:textId="4D435241" w:rsidR="008D15C2" w:rsidRDefault="008D15C2" w:rsidP="005E1411">
      <w:pPr>
        <w:pStyle w:val="Nadpis3"/>
        <w:numPr>
          <w:ilvl w:val="0"/>
          <w:numId w:val="0"/>
        </w:numPr>
        <w:spacing w:before="360" w:after="0"/>
        <w:rPr>
          <w:lang w:eastAsia="en-US"/>
        </w:rPr>
      </w:pPr>
    </w:p>
    <w:p w14:paraId="5C9B20D2" w14:textId="4DDC4941" w:rsidR="008D15C2" w:rsidRDefault="008D15C2" w:rsidP="008D15C2">
      <w:pPr>
        <w:rPr>
          <w:lang w:eastAsia="en-US"/>
        </w:rPr>
      </w:pPr>
    </w:p>
    <w:p w14:paraId="141EB42F" w14:textId="25948588" w:rsidR="008D15C2" w:rsidRDefault="008D15C2" w:rsidP="008D15C2">
      <w:pPr>
        <w:rPr>
          <w:lang w:eastAsia="en-US"/>
        </w:rPr>
      </w:pPr>
    </w:p>
    <w:p w14:paraId="72B1BF2A" w14:textId="41123050" w:rsidR="008D15C2" w:rsidRDefault="008D15C2" w:rsidP="008D15C2">
      <w:pPr>
        <w:rPr>
          <w:lang w:eastAsia="en-US"/>
        </w:rPr>
      </w:pPr>
    </w:p>
    <w:p w14:paraId="3854BB0C" w14:textId="516953C5" w:rsidR="008D15C2" w:rsidRDefault="008D15C2" w:rsidP="008D15C2">
      <w:pPr>
        <w:rPr>
          <w:lang w:eastAsia="en-US"/>
        </w:rPr>
      </w:pPr>
    </w:p>
    <w:p w14:paraId="1FB4067F" w14:textId="130531EF" w:rsidR="008D15C2" w:rsidRDefault="008D15C2" w:rsidP="008D15C2">
      <w:pPr>
        <w:rPr>
          <w:lang w:eastAsia="en-US"/>
        </w:rPr>
      </w:pPr>
    </w:p>
    <w:p w14:paraId="49618B5C" w14:textId="437556AD" w:rsidR="008D15C2" w:rsidRDefault="008D15C2" w:rsidP="008D15C2">
      <w:pPr>
        <w:rPr>
          <w:lang w:eastAsia="en-US"/>
        </w:rPr>
      </w:pPr>
    </w:p>
    <w:p w14:paraId="078AF362" w14:textId="2EF15E71" w:rsidR="008D15C2" w:rsidRDefault="008D15C2" w:rsidP="008D15C2">
      <w:pPr>
        <w:rPr>
          <w:lang w:eastAsia="en-US"/>
        </w:rPr>
      </w:pPr>
    </w:p>
    <w:p w14:paraId="7CC0DA82" w14:textId="2DB96198" w:rsidR="005E1411" w:rsidRDefault="005E1411" w:rsidP="008D15C2">
      <w:pPr>
        <w:rPr>
          <w:lang w:eastAsia="en-US"/>
        </w:rPr>
      </w:pPr>
    </w:p>
    <w:p w14:paraId="3BE1DBCF" w14:textId="77777777" w:rsidR="005E1411" w:rsidRDefault="005E1411" w:rsidP="008D15C2">
      <w:pPr>
        <w:rPr>
          <w:lang w:eastAsia="en-US"/>
        </w:rPr>
      </w:pPr>
    </w:p>
    <w:p w14:paraId="6B622C57" w14:textId="25F97B49" w:rsidR="0072127D" w:rsidRPr="0072127D" w:rsidRDefault="0072127D" w:rsidP="005E1411">
      <w:pPr>
        <w:pStyle w:val="Nadpis3"/>
        <w:spacing w:after="0"/>
        <w:rPr>
          <w:lang w:eastAsia="en-US"/>
        </w:rPr>
      </w:pPr>
      <w:bookmarkStart w:id="150" w:name="_Toc199230854"/>
      <w:r w:rsidRPr="0072127D">
        <w:rPr>
          <w:lang w:eastAsia="en-US"/>
        </w:rPr>
        <w:t>Projekt „Podpora obcí a miest zasiahnutých živelnou pohromou“</w:t>
      </w:r>
      <w:bookmarkEnd w:id="150"/>
    </w:p>
    <w:p w14:paraId="6C238F00" w14:textId="14BDD77E" w:rsidR="0072127D" w:rsidRPr="0072127D" w:rsidRDefault="0072127D" w:rsidP="0072127D">
      <w:pPr>
        <w:spacing w:before="120" w:after="120"/>
        <w:ind w:firstLine="0"/>
        <w:rPr>
          <w:rFonts w:eastAsiaTheme="minorHAnsi"/>
          <w:lang w:eastAsia="en-US"/>
        </w:rPr>
      </w:pPr>
      <w:r w:rsidRPr="0072127D">
        <w:rPr>
          <w:rFonts w:eastAsiaTheme="minorHAnsi"/>
          <w:bCs/>
          <w:lang w:eastAsia="en-US"/>
        </w:rPr>
        <w:t>Projekt</w:t>
      </w:r>
      <w:r>
        <w:rPr>
          <w:rFonts w:eastAsiaTheme="minorHAnsi"/>
          <w:lang w:eastAsia="en-US"/>
        </w:rPr>
        <w:t xml:space="preserve"> sa realizoval v období od septembra 2024 do februára </w:t>
      </w:r>
      <w:r w:rsidRPr="0072127D">
        <w:rPr>
          <w:rFonts w:eastAsiaTheme="minorHAnsi"/>
          <w:lang w:eastAsia="en-US"/>
        </w:rPr>
        <w:t xml:space="preserve">2025 na území SR, v rámci ktorého sa v zmysle tohto projektu poskytoval finančný </w:t>
      </w:r>
      <w:r>
        <w:rPr>
          <w:rFonts w:eastAsiaTheme="minorHAnsi"/>
          <w:lang w:eastAsia="en-US"/>
        </w:rPr>
        <w:t>príspevok. Oprávneným prijímateľmi pomoci boli</w:t>
      </w:r>
      <w:r w:rsidRPr="0072127D">
        <w:rPr>
          <w:rFonts w:eastAsiaTheme="minorHAnsi"/>
          <w:lang w:eastAsia="en-US"/>
        </w:rPr>
        <w:t xml:space="preserve"> obce/mestá dotknuté živelnou pohromou z</w:t>
      </w:r>
      <w:r>
        <w:rPr>
          <w:rFonts w:eastAsiaTheme="minorHAnsi"/>
          <w:lang w:eastAsia="en-US"/>
        </w:rPr>
        <w:t xml:space="preserve"> o</w:t>
      </w:r>
      <w:r w:rsidRPr="0072127D">
        <w:rPr>
          <w:rFonts w:eastAsiaTheme="minorHAnsi"/>
          <w:lang w:eastAsia="en-US"/>
        </w:rPr>
        <w:t xml:space="preserve">kresov Bratislavského  kraja (Bratislava, Pezinok, Senec, Malacky), Trnavského kraja (Dunajská Streda, Senica, Skalica), Nitrianskeho </w:t>
      </w:r>
      <w:r w:rsidRPr="0072127D">
        <w:rPr>
          <w:rFonts w:eastAsiaTheme="minorHAnsi"/>
          <w:lang w:eastAsia="en-US"/>
        </w:rPr>
        <w:lastRenderedPageBreak/>
        <w:t>kraja (Nové Zámky, Komárno), Trenčianskeho kraja (Nové Mesto nad Váhom, Myjava) a Žilinského kraja (Čadca).</w:t>
      </w:r>
    </w:p>
    <w:p w14:paraId="2B31E44B" w14:textId="3DFE1EA0" w:rsidR="0072127D" w:rsidRPr="0072127D" w:rsidRDefault="0072127D" w:rsidP="0072127D">
      <w:pPr>
        <w:spacing w:before="120" w:after="120"/>
        <w:ind w:firstLine="0"/>
        <w:rPr>
          <w:rFonts w:eastAsiaTheme="minorHAnsi"/>
          <w:lang w:eastAsia="en-US"/>
        </w:rPr>
      </w:pPr>
      <w:r w:rsidRPr="0072127D">
        <w:rPr>
          <w:rFonts w:eastAsiaTheme="minorHAnsi"/>
          <w:lang w:eastAsia="en-US"/>
        </w:rPr>
        <w:t xml:space="preserve">Cieľom projektu je pomoc obciam/mestám zasiahnutým živelnou pohromou </w:t>
      </w:r>
      <w:r>
        <w:rPr>
          <w:rFonts w:eastAsiaTheme="minorHAnsi"/>
          <w:lang w:eastAsia="en-US"/>
        </w:rPr>
        <w:t>pri</w:t>
      </w:r>
      <w:r w:rsidRPr="0072127D">
        <w:rPr>
          <w:rFonts w:eastAsiaTheme="minorHAnsi"/>
          <w:lang w:eastAsia="en-US"/>
        </w:rPr>
        <w:t xml:space="preserve"> obnove poškodenej infraštruktúry, budov a verejného majetku. Hlavnou aktivitou projektu </w:t>
      </w:r>
      <w:r>
        <w:rPr>
          <w:rFonts w:eastAsiaTheme="minorHAnsi"/>
          <w:lang w:eastAsia="en-US"/>
        </w:rPr>
        <w:t>bolo</w:t>
      </w:r>
      <w:r w:rsidRPr="0072127D">
        <w:rPr>
          <w:rFonts w:eastAsiaTheme="minorHAnsi"/>
          <w:lang w:eastAsia="en-US"/>
        </w:rPr>
        <w:t xml:space="preserve"> poskytnutie </w:t>
      </w:r>
      <w:r>
        <w:rPr>
          <w:rFonts w:eastAsiaTheme="minorHAnsi"/>
          <w:lang w:eastAsia="en-US"/>
        </w:rPr>
        <w:t>finančného príspevku</w:t>
      </w:r>
      <w:r w:rsidRPr="0072127D">
        <w:rPr>
          <w:rFonts w:eastAsiaTheme="minorHAnsi"/>
          <w:lang w:eastAsia="en-US"/>
        </w:rPr>
        <w:t xml:space="preserve"> obciam/mestám zasiahnutým živelnou pohromou, na úhradu časti nevyhnutných nákladov súvisiacich s vykonávaním prác pri odstraňovaní následkov živelnej pohromy a UoZ zaradeným na vykonávanie predmetných prác v rámci </w:t>
      </w:r>
      <w:r>
        <w:rPr>
          <w:rFonts w:eastAsiaTheme="minorHAnsi"/>
          <w:lang w:eastAsia="en-US"/>
        </w:rPr>
        <w:t xml:space="preserve">tohto </w:t>
      </w:r>
      <w:r w:rsidRPr="0072127D">
        <w:rPr>
          <w:rFonts w:eastAsiaTheme="minorHAnsi"/>
          <w:lang w:eastAsia="en-US"/>
        </w:rPr>
        <w:t>projektu.</w:t>
      </w:r>
    </w:p>
    <w:p w14:paraId="340FDD4D" w14:textId="77777777" w:rsidR="0072127D" w:rsidRPr="0072127D" w:rsidRDefault="0072127D" w:rsidP="0072127D">
      <w:pPr>
        <w:spacing w:before="120" w:after="120"/>
        <w:ind w:firstLine="0"/>
        <w:rPr>
          <w:rFonts w:eastAsiaTheme="minorHAnsi"/>
          <w:lang w:eastAsia="en-US"/>
        </w:rPr>
      </w:pPr>
      <w:r w:rsidRPr="0072127D">
        <w:rPr>
          <w:rFonts w:eastAsiaTheme="minorHAnsi"/>
          <w:lang w:eastAsia="en-US"/>
        </w:rPr>
        <w:t>Za oprávneného žiadateľa (ďalej aj „žiadateľ“ alebo „obec/mesto“) sa považuje obec/mesto, ktoré bolo zasiahnuté živelnou pohromou v rámci zasiahnutých okresov Bratislavského kraja (Bratislava, Pezinok, Senec, Malacky), Trnavského kraja (Dunajská streda, Senica, Skalica), Nitrianskeho kraja (Nové Zámky, Komárno), Trenčianskeho kraja (Nové Mesto nad Váhom, Myjava) a Žilinského kraja (Čadca).</w:t>
      </w:r>
    </w:p>
    <w:p w14:paraId="5FA99475" w14:textId="2D6F7482" w:rsidR="0072127D" w:rsidRPr="0072127D" w:rsidRDefault="0072127D" w:rsidP="0072127D">
      <w:pPr>
        <w:spacing w:before="120" w:after="120"/>
        <w:ind w:firstLine="0"/>
        <w:rPr>
          <w:rFonts w:eastAsiaTheme="minorHAnsi"/>
          <w:lang w:eastAsia="en-US"/>
        </w:rPr>
      </w:pPr>
      <w:r w:rsidRPr="0072127D">
        <w:rPr>
          <w:rFonts w:eastAsiaTheme="minorHAnsi"/>
          <w:lang w:eastAsia="en-US"/>
        </w:rPr>
        <w:t xml:space="preserve">Oprávnenou cieľovou skupinou projektu </w:t>
      </w:r>
      <w:r>
        <w:rPr>
          <w:rFonts w:eastAsiaTheme="minorHAnsi"/>
          <w:lang w:eastAsia="en-US"/>
        </w:rPr>
        <w:t>boli</w:t>
      </w:r>
      <w:r w:rsidRPr="0072127D">
        <w:rPr>
          <w:rFonts w:eastAsiaTheme="minorHAnsi"/>
          <w:lang w:eastAsia="en-US"/>
        </w:rPr>
        <w:t xml:space="preserve"> UoZ </w:t>
      </w:r>
      <w:r>
        <w:rPr>
          <w:rFonts w:eastAsiaTheme="minorHAnsi"/>
          <w:lang w:eastAsia="en-US"/>
        </w:rPr>
        <w:t>vedení</w:t>
      </w:r>
      <w:r w:rsidRPr="0072127D">
        <w:rPr>
          <w:rFonts w:eastAsiaTheme="minorHAnsi"/>
          <w:lang w:eastAsia="en-US"/>
        </w:rPr>
        <w:t xml:space="preserve"> v evidencii UoZ príslušného úradu (bez podmienky stanovenia minimálnej doby trvania evidencie UoZ).</w:t>
      </w:r>
    </w:p>
    <w:p w14:paraId="430E49C4" w14:textId="67F277B7" w:rsidR="0072127D" w:rsidRPr="0072127D" w:rsidRDefault="0072127D" w:rsidP="0072127D">
      <w:pPr>
        <w:spacing w:before="120" w:after="120"/>
        <w:ind w:firstLine="0"/>
        <w:rPr>
          <w:rFonts w:eastAsiaTheme="minorHAnsi"/>
          <w:lang w:eastAsia="en-US"/>
        </w:rPr>
      </w:pPr>
      <w:r>
        <w:rPr>
          <w:rFonts w:eastAsiaTheme="minorHAnsi"/>
          <w:lang w:eastAsia="en-US"/>
        </w:rPr>
        <w:t>Úrad poskytoval</w:t>
      </w:r>
      <w:r w:rsidRPr="0072127D">
        <w:rPr>
          <w:rFonts w:eastAsiaTheme="minorHAnsi"/>
          <w:lang w:eastAsia="en-US"/>
        </w:rPr>
        <w:t xml:space="preserve"> oprávnenému žiadateľovi, ktorý zaradí UoZ z oprávnenej cieľovej skupiny, finančný príspevok jednorazovo vo výške najviac 5 % celkovej ceny práce vypočítanej </w:t>
      </w:r>
      <w:r>
        <w:rPr>
          <w:rFonts w:eastAsiaTheme="minorHAnsi"/>
          <w:lang w:eastAsia="en-US"/>
        </w:rPr>
        <w:t xml:space="preserve">        </w:t>
      </w:r>
      <w:r w:rsidRPr="0072127D">
        <w:rPr>
          <w:rFonts w:eastAsiaTheme="minorHAnsi"/>
          <w:lang w:eastAsia="en-US"/>
        </w:rPr>
        <w:t xml:space="preserve">z priemernej mzdy zamestnanca v hospodárstve Slovenskej republiky za prvý až tretí štvrťrok roku 2023, v sume 94,18 </w:t>
      </w:r>
      <w:r w:rsidR="00790522">
        <w:rPr>
          <w:rFonts w:eastAsiaTheme="minorHAnsi"/>
          <w:lang w:eastAsia="en-US"/>
        </w:rPr>
        <w:t>eur</w:t>
      </w:r>
      <w:r w:rsidRPr="0072127D">
        <w:rPr>
          <w:rFonts w:eastAsiaTheme="minorHAnsi"/>
          <w:lang w:eastAsia="en-US"/>
        </w:rPr>
        <w:t xml:space="preserve"> na 1 UoZ po dobu minimálne 1 mesiaca a maximálne 3 mesiacov (max. výška príspevku 282,54 Eur na 1 UoZ na celú dobu podporovania).</w:t>
      </w:r>
    </w:p>
    <w:p w14:paraId="63E6C0F9" w14:textId="37225BD7" w:rsidR="0072127D" w:rsidRPr="0072127D" w:rsidRDefault="0072127D" w:rsidP="0072127D">
      <w:pPr>
        <w:spacing w:before="120" w:after="120"/>
        <w:ind w:firstLine="0"/>
        <w:rPr>
          <w:rFonts w:eastAsiaTheme="minorHAnsi"/>
          <w:lang w:eastAsia="en-US"/>
        </w:rPr>
      </w:pPr>
      <w:r>
        <w:rPr>
          <w:rFonts w:eastAsiaTheme="minorHAnsi"/>
          <w:lang w:eastAsia="en-US"/>
        </w:rPr>
        <w:t>Úrad poskytoval</w:t>
      </w:r>
      <w:r w:rsidRPr="0072127D">
        <w:rPr>
          <w:rFonts w:eastAsiaTheme="minorHAnsi"/>
          <w:lang w:eastAsia="en-US"/>
        </w:rPr>
        <w:t xml:space="preserve"> finančný príspevok pre UoZ</w:t>
      </w:r>
      <w:r>
        <w:rPr>
          <w:rFonts w:eastAsiaTheme="minorHAnsi"/>
          <w:lang w:eastAsia="en-US"/>
        </w:rPr>
        <w:t>,</w:t>
      </w:r>
      <w:r w:rsidRPr="0072127D">
        <w:rPr>
          <w:rFonts w:eastAsiaTheme="minorHAnsi"/>
          <w:lang w:eastAsia="en-US"/>
        </w:rPr>
        <w:t xml:space="preserve"> a to v sume aktuálne platnej výšky životného minima pre jednu plnoletú fyzickú osobu po dobu najviac 3 mesiacov (t. j. 273,99 </w:t>
      </w:r>
      <w:r w:rsidR="00790522">
        <w:rPr>
          <w:rFonts w:eastAsiaTheme="minorHAnsi"/>
          <w:lang w:eastAsia="en-US"/>
        </w:rPr>
        <w:t>eur</w:t>
      </w:r>
      <w:r w:rsidRPr="0072127D">
        <w:rPr>
          <w:rFonts w:eastAsiaTheme="minorHAnsi"/>
          <w:lang w:eastAsia="en-US"/>
        </w:rPr>
        <w:t xml:space="preserve"> na 1 UoZ na 1 mesiac, maximálna výška príspevku na 1 UoZ na 3 mesiace vo výške 821,97 </w:t>
      </w:r>
      <w:r w:rsidR="00790522">
        <w:rPr>
          <w:rFonts w:eastAsiaTheme="minorHAnsi"/>
          <w:lang w:eastAsia="en-US"/>
        </w:rPr>
        <w:t>eur</w:t>
      </w:r>
      <w:r w:rsidRPr="0072127D">
        <w:rPr>
          <w:rFonts w:eastAsiaTheme="minorHAnsi"/>
          <w:lang w:eastAsia="en-US"/>
        </w:rPr>
        <w:t>).</w:t>
      </w:r>
    </w:p>
    <w:p w14:paraId="7C490275" w14:textId="35394CDE" w:rsidR="0072127D" w:rsidRPr="0072127D" w:rsidRDefault="0072127D" w:rsidP="0072127D">
      <w:pPr>
        <w:spacing w:before="120" w:after="120"/>
        <w:ind w:firstLine="0"/>
        <w:rPr>
          <w:rFonts w:eastAsiaTheme="minorHAnsi"/>
          <w:lang w:eastAsia="en-US"/>
        </w:rPr>
      </w:pPr>
      <w:r w:rsidRPr="0072127D">
        <w:rPr>
          <w:rFonts w:eastAsiaTheme="minorHAnsi"/>
          <w:lang w:eastAsia="en-US"/>
        </w:rPr>
        <w:t xml:space="preserve">V roku 2024 bolo prijatých v rámci projektu 42 žiadostí zamestnávateľov o poskytnutie finančného príspevku, z toho bolo schválených všetkých 42 žiadostí  na 154 PM v celkovej dohodnutej výške 145 002 Eur. V hodnotenom roku 2024 bolo do projektu zapojených 146 UoZ, z toho 61 žien a 85 mužov.. Čerpaná suma finančných prostriedkov v roku 2024 bola vo výške 97 930 </w:t>
      </w:r>
      <w:r w:rsidR="00790522">
        <w:rPr>
          <w:rFonts w:eastAsiaTheme="minorHAnsi"/>
          <w:lang w:eastAsia="en-US"/>
        </w:rPr>
        <w:t>eur</w:t>
      </w:r>
      <w:r w:rsidRPr="0072127D">
        <w:rPr>
          <w:rFonts w:eastAsiaTheme="minorHAnsi"/>
          <w:lang w:eastAsia="en-US"/>
        </w:rPr>
        <w:t>.</w:t>
      </w:r>
    </w:p>
    <w:p w14:paraId="75789FE0" w14:textId="3D927234" w:rsidR="0072127D" w:rsidRPr="0072127D" w:rsidRDefault="0072127D" w:rsidP="0072127D">
      <w:pPr>
        <w:spacing w:before="120" w:after="120"/>
        <w:ind w:firstLine="0"/>
        <w:rPr>
          <w:rFonts w:eastAsiaTheme="minorHAnsi"/>
          <w:lang w:eastAsia="en-US"/>
        </w:rPr>
      </w:pPr>
      <w:r w:rsidRPr="0072127D">
        <w:rPr>
          <w:rFonts w:eastAsiaTheme="minorHAnsi"/>
          <w:bCs/>
          <w:lang w:eastAsia="en-US"/>
        </w:rPr>
        <w:t>Z hľadiska d</w:t>
      </w:r>
      <w:r>
        <w:rPr>
          <w:rFonts w:eastAsiaTheme="minorHAnsi"/>
          <w:bCs/>
          <w:lang w:eastAsia="en-US"/>
        </w:rPr>
        <w:t>ĺžky</w:t>
      </w:r>
      <w:r w:rsidRPr="0072127D">
        <w:rPr>
          <w:rFonts w:eastAsiaTheme="minorHAnsi"/>
          <w:bCs/>
          <w:lang w:eastAsia="en-US"/>
        </w:rPr>
        <w:t xml:space="preserve"> evidencie</w:t>
      </w:r>
      <w:r w:rsidRPr="0072127D">
        <w:rPr>
          <w:rFonts w:eastAsiaTheme="minorHAnsi"/>
          <w:lang w:eastAsia="en-US"/>
        </w:rPr>
        <w:t xml:space="preserve">, pred zaradením na vykonávanie aktivačnej činnosti bolo v roku 2024 najviac – 53 UoZ (36,30 %) v evidencii UoZ od 0 do 3 mesiacov, od 7 do 12 mesiacov bolo v evidencii 30 UoZ (20,55 %), nad 24 mesiacov bolo v evidencii 24 UoZ (16,44 %) , od 13 do 24 mesiacov v evidencii 20 UoZ (13,70 %), od 4 do 6 mesiacov v evidencii 19 UoZ(13,01 %), čo znázorňuje </w:t>
      </w:r>
      <w:r>
        <w:rPr>
          <w:rFonts w:eastAsiaTheme="minorHAnsi"/>
          <w:lang w:eastAsia="en-US"/>
        </w:rPr>
        <w:t xml:space="preserve">nasledovný </w:t>
      </w:r>
      <w:r w:rsidRPr="0072127D">
        <w:rPr>
          <w:rFonts w:eastAsiaTheme="minorHAnsi"/>
          <w:lang w:eastAsia="en-US"/>
        </w:rPr>
        <w:t>graf.</w:t>
      </w:r>
    </w:p>
    <w:p w14:paraId="26D8AC82" w14:textId="4BCC141B" w:rsidR="00426908" w:rsidRDefault="00426908" w:rsidP="0072127D">
      <w:pPr>
        <w:spacing w:before="240" w:after="120"/>
        <w:ind w:firstLine="0"/>
        <w:rPr>
          <w:rFonts w:eastAsiaTheme="minorHAnsi"/>
          <w:lang w:eastAsia="en-US"/>
        </w:rPr>
      </w:pPr>
      <w:r w:rsidRPr="0072127D">
        <w:rPr>
          <w:rFonts w:eastAsiaTheme="minorHAnsi"/>
          <w:noProof/>
        </w:rPr>
        <w:drawing>
          <wp:anchor distT="0" distB="0" distL="114300" distR="114300" simplePos="0" relativeHeight="252671488" behindDoc="0" locked="0" layoutInCell="1" allowOverlap="1" wp14:anchorId="330AA609" wp14:editId="330B2735">
            <wp:simplePos x="0" y="0"/>
            <wp:positionH relativeFrom="margin">
              <wp:posOffset>-1933</wp:posOffset>
            </wp:positionH>
            <wp:positionV relativeFrom="paragraph">
              <wp:posOffset>-1132</wp:posOffset>
            </wp:positionV>
            <wp:extent cx="5862955" cy="2822713"/>
            <wp:effectExtent l="0" t="0" r="4445" b="15875"/>
            <wp:wrapNone/>
            <wp:docPr id="60" name="Graf 6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7F9E4BC7" w14:textId="6D099DFD" w:rsidR="00426908" w:rsidRDefault="00426908" w:rsidP="0072127D">
      <w:pPr>
        <w:spacing w:before="240" w:after="120"/>
        <w:ind w:firstLine="0"/>
        <w:rPr>
          <w:rFonts w:eastAsiaTheme="minorHAnsi"/>
          <w:lang w:eastAsia="en-US"/>
        </w:rPr>
      </w:pPr>
    </w:p>
    <w:p w14:paraId="0A427952" w14:textId="04A73480" w:rsidR="00426908" w:rsidRDefault="00426908" w:rsidP="0072127D">
      <w:pPr>
        <w:spacing w:before="240" w:after="120"/>
        <w:ind w:firstLine="0"/>
        <w:rPr>
          <w:rFonts w:eastAsiaTheme="minorHAnsi"/>
          <w:lang w:eastAsia="en-US"/>
        </w:rPr>
      </w:pPr>
    </w:p>
    <w:p w14:paraId="13B7672B" w14:textId="2F63FFA5" w:rsidR="00426908" w:rsidRDefault="00426908" w:rsidP="0072127D">
      <w:pPr>
        <w:spacing w:before="240" w:after="120"/>
        <w:ind w:firstLine="0"/>
        <w:rPr>
          <w:rFonts w:eastAsiaTheme="minorHAnsi"/>
          <w:lang w:eastAsia="en-US"/>
        </w:rPr>
      </w:pPr>
    </w:p>
    <w:p w14:paraId="22CCF2CF" w14:textId="4288906C" w:rsidR="00426908" w:rsidRDefault="00426908" w:rsidP="0072127D">
      <w:pPr>
        <w:spacing w:before="240" w:after="120"/>
        <w:ind w:firstLine="0"/>
        <w:rPr>
          <w:rFonts w:eastAsiaTheme="minorHAnsi"/>
          <w:lang w:eastAsia="en-US"/>
        </w:rPr>
      </w:pPr>
    </w:p>
    <w:p w14:paraId="45594CD9" w14:textId="075C9010" w:rsidR="00426908" w:rsidRDefault="00426908" w:rsidP="0072127D">
      <w:pPr>
        <w:spacing w:before="240" w:after="120"/>
        <w:ind w:firstLine="0"/>
        <w:rPr>
          <w:rFonts w:eastAsiaTheme="minorHAnsi"/>
          <w:lang w:eastAsia="en-US"/>
        </w:rPr>
      </w:pPr>
    </w:p>
    <w:p w14:paraId="484D700E" w14:textId="24C2B860" w:rsidR="00426908" w:rsidRDefault="00426908" w:rsidP="0072127D">
      <w:pPr>
        <w:spacing w:before="240" w:after="120"/>
        <w:ind w:firstLine="0"/>
        <w:rPr>
          <w:rFonts w:eastAsiaTheme="minorHAnsi"/>
          <w:lang w:eastAsia="en-US"/>
        </w:rPr>
      </w:pPr>
    </w:p>
    <w:p w14:paraId="6D66D761" w14:textId="2C78EAE3" w:rsidR="00426908" w:rsidRDefault="00426908" w:rsidP="0072127D">
      <w:pPr>
        <w:spacing w:before="240" w:after="120"/>
        <w:ind w:firstLine="0"/>
        <w:rPr>
          <w:rFonts w:eastAsiaTheme="minorHAnsi"/>
          <w:lang w:eastAsia="en-US"/>
        </w:rPr>
      </w:pPr>
    </w:p>
    <w:p w14:paraId="3DF62AF4" w14:textId="78346D3E" w:rsidR="00426908" w:rsidRDefault="00426908" w:rsidP="0072127D">
      <w:pPr>
        <w:spacing w:before="240" w:after="120"/>
        <w:ind w:firstLine="0"/>
        <w:rPr>
          <w:rFonts w:eastAsiaTheme="minorHAnsi"/>
          <w:lang w:eastAsia="en-US"/>
        </w:rPr>
      </w:pPr>
    </w:p>
    <w:p w14:paraId="756BE2AE" w14:textId="689EDDD3" w:rsidR="0072127D" w:rsidRPr="0072127D" w:rsidRDefault="0072127D" w:rsidP="0072127D">
      <w:pPr>
        <w:spacing w:before="240" w:after="120"/>
        <w:ind w:firstLine="0"/>
        <w:rPr>
          <w:rFonts w:eastAsiaTheme="minorHAnsi"/>
          <w:lang w:eastAsia="en-US"/>
        </w:rPr>
      </w:pPr>
      <w:r w:rsidRPr="0072127D">
        <w:rPr>
          <w:rFonts w:eastAsiaTheme="minorHAnsi"/>
          <w:lang w:eastAsia="en-US"/>
        </w:rPr>
        <w:lastRenderedPageBreak/>
        <w:t xml:space="preserve">Najväčší podiel zaradených UoZ bol vo veku od 30 do 49 rokov a to v počte 60 UoZ (41,10 %), v rovnakom počte boli UoZ vo veku 50 rokov a viac, ktorých bolo 60 UoZ (41,10 %), ďalej nasledovali UoZ vo veku do 24 rokov a to v počte 19 UoZ (13,01 %). Najmenší podiel zaradených v tomto projekte boli UoZ vo veku od 25 do 29 rokov v počte 7 UoZ (4,79 %) - v štruktúre podľa grafu. </w:t>
      </w:r>
    </w:p>
    <w:p w14:paraId="46E41CC7" w14:textId="5F9FAF28" w:rsidR="0072127D" w:rsidRPr="0072127D" w:rsidRDefault="005E1411" w:rsidP="0072127D">
      <w:pPr>
        <w:spacing w:before="120" w:after="120"/>
        <w:ind w:firstLine="0"/>
        <w:rPr>
          <w:rFonts w:eastAsiaTheme="minorHAnsi"/>
          <w:lang w:eastAsia="en-US"/>
        </w:rPr>
      </w:pPr>
      <w:r>
        <w:rPr>
          <w:rFonts w:ascii="Calibri" w:eastAsia="Calibri" w:hAnsi="Calibri"/>
          <w:bCs/>
          <w:iCs/>
          <w:noProof/>
          <w:color w:val="FF0000"/>
          <w:sz w:val="22"/>
          <w:szCs w:val="22"/>
        </w:rPr>
        <w:drawing>
          <wp:inline distT="0" distB="0" distL="0" distR="0" wp14:anchorId="0C0F81A1" wp14:editId="38BE0AC3">
            <wp:extent cx="5850890" cy="2981325"/>
            <wp:effectExtent l="0" t="0" r="16510" b="9525"/>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830E9F7" w14:textId="5ECCD308" w:rsidR="0072127D" w:rsidRPr="0072127D" w:rsidRDefault="0072127D" w:rsidP="0072127D">
      <w:pPr>
        <w:spacing w:before="120" w:after="120"/>
        <w:ind w:firstLine="0"/>
        <w:rPr>
          <w:rFonts w:eastAsiaTheme="minorHAnsi"/>
          <w:lang w:eastAsia="en-US"/>
        </w:rPr>
      </w:pPr>
      <w:r w:rsidRPr="0072127D">
        <w:rPr>
          <w:rFonts w:eastAsiaTheme="minorHAnsi"/>
          <w:noProof/>
        </w:rPr>
        <w:drawing>
          <wp:anchor distT="0" distB="0" distL="114300" distR="114300" simplePos="0" relativeHeight="252666368" behindDoc="0" locked="0" layoutInCell="1" allowOverlap="1" wp14:anchorId="42E9038E" wp14:editId="03C8D605">
            <wp:simplePos x="0" y="0"/>
            <wp:positionH relativeFrom="page">
              <wp:posOffset>903605</wp:posOffset>
            </wp:positionH>
            <wp:positionV relativeFrom="paragraph">
              <wp:posOffset>1675765</wp:posOffset>
            </wp:positionV>
            <wp:extent cx="5833745" cy="2917825"/>
            <wp:effectExtent l="0" t="0" r="14605" b="15875"/>
            <wp:wrapTopAndBottom/>
            <wp:docPr id="320" name="Graf 32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72127D">
        <w:rPr>
          <w:rFonts w:eastAsiaTheme="minorHAnsi"/>
          <w:lang w:eastAsia="en-US"/>
        </w:rPr>
        <w:t xml:space="preserve">Z hľadiska znevýhodnenia, najvyšší počet tvorili občania, ktorí najmenej 12 po sebe nasledujúcich kalendárnych mesiacov pred zaradením do evidencie UoZ nemali pravidelne platené zamestnanie a to v počte 95 UoZ (33,57 %), ďalšiu skupiny tvorili občania starší ako 50 rokov a to v počte 60 UoZ (21,20 %), ďalej nasledovali občania, ktorí dosiahli vzdelanie nižšie ako stredné odborné v počte 57 UoZ (20,14 %), UoZ  ktorí sú dlhodobo nezamestnaný v počte 45 UoZ (15,90 </w:t>
      </w:r>
      <w:r w:rsidRPr="0072127D">
        <w:rPr>
          <w:rFonts w:eastAsiaTheme="minorHAnsi"/>
          <w:lang w:val="en-GB" w:eastAsia="en-US"/>
        </w:rPr>
        <w:t>%</w:t>
      </w:r>
      <w:r w:rsidRPr="0072127D">
        <w:rPr>
          <w:rFonts w:eastAsiaTheme="minorHAnsi"/>
          <w:lang w:eastAsia="en-US"/>
        </w:rPr>
        <w:t>), občania so zdravotným postihnutím v počte 14 UoZ (4,95 %), absolventi škôl v počte  9 UoZ (3,18 %) občania ktorí ukončili poberanie materského alebo poberanie rodičovského príspevku v počte 2 UoZ (0,71 %), osamelý občan – starostlivosť o odkázanú osobu/starajúci sa o dieťa 1 UoZ (0,35 %), v štruktúre podľa grafu nižšie.</w:t>
      </w:r>
    </w:p>
    <w:p w14:paraId="478C833E" w14:textId="4A4E0619" w:rsidR="0072127D" w:rsidRPr="0072127D" w:rsidRDefault="0072127D" w:rsidP="005E1411">
      <w:pPr>
        <w:spacing w:before="240" w:after="120"/>
        <w:ind w:firstLine="0"/>
        <w:rPr>
          <w:rFonts w:eastAsiaTheme="minorHAnsi"/>
          <w:lang w:eastAsia="en-US"/>
        </w:rPr>
      </w:pPr>
      <w:r w:rsidRPr="0072127D">
        <w:rPr>
          <w:rFonts w:eastAsiaTheme="minorHAnsi"/>
          <w:lang w:eastAsia="en-US"/>
        </w:rPr>
        <w:t xml:space="preserve">Podľa dosiahnutého stupňa vzdelania, najväčšiu skupinu zaradených UoZ tvorili so stredným odborným vzdelaním 51 UoZ (34,93 %) druhú skupinu predstavujú UoZ, ktorí základné vzdelanie a to v počte 50 UoZ (34,25 %) a významne zastúpená bola aj skupina UoZ s úplným </w:t>
      </w:r>
      <w:r w:rsidRPr="0072127D">
        <w:rPr>
          <w:rFonts w:eastAsiaTheme="minorHAnsi"/>
          <w:lang w:eastAsia="en-US"/>
        </w:rPr>
        <w:lastRenderedPageBreak/>
        <w:t>stredným odborným vzdelaním v počte 29 UoZ (19,86 %). S úplným stredným všeobecným vzdelaním v počte 7 UoZ (4,79 %), ďalšími skupinami boli UoZ s neukončeným základným vzdelaním v počte 4 UoZ (2,74 %), s nižším stredným odborným vzdelaním v počte 3 UoZ (2,05 %),s vyšším odborným vzdelaním v počte 1 UoZ (0,68 %), s vysokoškolským vzdelaním druhého stupňa v počte 1 UoZ (0,68 %), v štruktúre podľa grafu dolu.</w:t>
      </w:r>
    </w:p>
    <w:p w14:paraId="34AB6164" w14:textId="2E4CD54F" w:rsidR="00F80BF5" w:rsidRDefault="005E1411" w:rsidP="00671BE6">
      <w:pPr>
        <w:spacing w:before="120" w:after="120"/>
        <w:ind w:firstLine="0"/>
        <w:rPr>
          <w:rFonts w:eastAsiaTheme="minorHAnsi"/>
          <w:lang w:eastAsia="en-US"/>
        </w:rPr>
      </w:pPr>
      <w:r w:rsidRPr="0072127D">
        <w:rPr>
          <w:rFonts w:eastAsiaTheme="minorHAnsi"/>
          <w:noProof/>
        </w:rPr>
        <w:drawing>
          <wp:anchor distT="0" distB="0" distL="114300" distR="114300" simplePos="0" relativeHeight="252676608" behindDoc="0" locked="0" layoutInCell="1" allowOverlap="1" wp14:anchorId="013A6CB6" wp14:editId="5A1D8ECA">
            <wp:simplePos x="0" y="0"/>
            <wp:positionH relativeFrom="page">
              <wp:posOffset>890546</wp:posOffset>
            </wp:positionH>
            <wp:positionV relativeFrom="paragraph">
              <wp:posOffset>55549</wp:posOffset>
            </wp:positionV>
            <wp:extent cx="5815247" cy="3164205"/>
            <wp:effectExtent l="0" t="0" r="14605" b="17145"/>
            <wp:wrapNone/>
            <wp:docPr id="321" name="Graf 32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14:paraId="74C32720" w14:textId="2657CE2F" w:rsidR="00F80BF5" w:rsidRDefault="00F80BF5" w:rsidP="00671BE6">
      <w:pPr>
        <w:spacing w:before="120" w:after="120"/>
        <w:ind w:firstLine="0"/>
        <w:rPr>
          <w:rFonts w:eastAsiaTheme="minorHAnsi"/>
          <w:lang w:eastAsia="en-US"/>
        </w:rPr>
      </w:pPr>
    </w:p>
    <w:p w14:paraId="0DE1E275" w14:textId="1D36A36E" w:rsidR="00F80BF5" w:rsidRDefault="00F80BF5" w:rsidP="00671BE6">
      <w:pPr>
        <w:spacing w:before="120" w:after="120"/>
        <w:ind w:firstLine="0"/>
        <w:rPr>
          <w:rFonts w:eastAsiaTheme="minorHAnsi"/>
          <w:lang w:eastAsia="en-US"/>
        </w:rPr>
      </w:pPr>
    </w:p>
    <w:p w14:paraId="6EAA6313" w14:textId="4BCC31BB" w:rsidR="00F80BF5" w:rsidRDefault="00F80BF5" w:rsidP="00671BE6">
      <w:pPr>
        <w:spacing w:before="120" w:after="120"/>
        <w:ind w:firstLine="0"/>
        <w:rPr>
          <w:rFonts w:eastAsiaTheme="minorHAnsi"/>
          <w:lang w:eastAsia="en-US"/>
        </w:rPr>
      </w:pPr>
    </w:p>
    <w:p w14:paraId="65227DE4" w14:textId="7E9AC259" w:rsidR="00F80BF5" w:rsidRDefault="00F80BF5" w:rsidP="00671BE6">
      <w:pPr>
        <w:spacing w:before="120" w:after="120"/>
        <w:ind w:firstLine="0"/>
        <w:rPr>
          <w:rFonts w:eastAsiaTheme="minorHAnsi"/>
          <w:lang w:eastAsia="en-US"/>
        </w:rPr>
      </w:pPr>
    </w:p>
    <w:p w14:paraId="25332603" w14:textId="4C089078" w:rsidR="00A93CCB" w:rsidRDefault="00A93CCB" w:rsidP="00671BE6">
      <w:pPr>
        <w:spacing w:before="120" w:after="120"/>
        <w:ind w:firstLine="0"/>
        <w:rPr>
          <w:rFonts w:eastAsiaTheme="minorHAnsi"/>
          <w:lang w:eastAsia="en-US"/>
        </w:rPr>
      </w:pPr>
    </w:p>
    <w:p w14:paraId="57167EA8" w14:textId="50EE81FE" w:rsidR="00A93CCB" w:rsidRDefault="00A93CCB" w:rsidP="00671BE6">
      <w:pPr>
        <w:spacing w:before="120" w:after="120"/>
        <w:ind w:firstLine="0"/>
        <w:rPr>
          <w:rFonts w:eastAsiaTheme="minorHAnsi"/>
          <w:lang w:eastAsia="en-US"/>
        </w:rPr>
      </w:pPr>
    </w:p>
    <w:p w14:paraId="28733B8C" w14:textId="5F6758EE" w:rsidR="00A93CCB" w:rsidRDefault="00A93CCB" w:rsidP="00671BE6">
      <w:pPr>
        <w:spacing w:before="120" w:after="120"/>
        <w:ind w:firstLine="0"/>
        <w:rPr>
          <w:rFonts w:eastAsiaTheme="minorHAnsi"/>
          <w:lang w:eastAsia="en-US"/>
        </w:rPr>
      </w:pPr>
    </w:p>
    <w:p w14:paraId="28BCFA4A" w14:textId="2EF5294B" w:rsidR="00A93CCB" w:rsidRDefault="00A93CCB" w:rsidP="00671BE6">
      <w:pPr>
        <w:spacing w:before="120" w:after="120"/>
        <w:ind w:firstLine="0"/>
        <w:rPr>
          <w:rFonts w:eastAsiaTheme="minorHAnsi"/>
          <w:lang w:eastAsia="en-US"/>
        </w:rPr>
      </w:pPr>
    </w:p>
    <w:p w14:paraId="6FA45CD3" w14:textId="5CD64DF2" w:rsidR="00A93CCB" w:rsidRDefault="00A93CCB" w:rsidP="00671BE6">
      <w:pPr>
        <w:spacing w:before="120" w:after="120"/>
        <w:ind w:firstLine="0"/>
        <w:rPr>
          <w:rFonts w:eastAsiaTheme="minorHAnsi"/>
          <w:lang w:eastAsia="en-US"/>
        </w:rPr>
      </w:pPr>
    </w:p>
    <w:p w14:paraId="5669D30A" w14:textId="45AF9274" w:rsidR="00A93CCB" w:rsidRDefault="00A93CCB" w:rsidP="00671BE6">
      <w:pPr>
        <w:spacing w:before="120" w:after="120"/>
        <w:ind w:firstLine="0"/>
        <w:rPr>
          <w:rFonts w:eastAsiaTheme="minorHAnsi"/>
          <w:lang w:eastAsia="en-US"/>
        </w:rPr>
      </w:pPr>
    </w:p>
    <w:p w14:paraId="05335810" w14:textId="720637B8" w:rsidR="00A93CCB" w:rsidRDefault="00A93CCB" w:rsidP="00671BE6">
      <w:pPr>
        <w:spacing w:before="120" w:after="120"/>
        <w:ind w:firstLine="0"/>
        <w:rPr>
          <w:rFonts w:eastAsiaTheme="minorHAnsi"/>
          <w:lang w:eastAsia="en-US"/>
        </w:rPr>
      </w:pPr>
    </w:p>
    <w:p w14:paraId="73948C9F" w14:textId="77777777" w:rsidR="00A93CCB" w:rsidRDefault="00A93CCB" w:rsidP="00671BE6">
      <w:pPr>
        <w:spacing w:before="120" w:after="120"/>
        <w:ind w:firstLine="0"/>
        <w:rPr>
          <w:rFonts w:eastAsiaTheme="minorHAnsi"/>
          <w:lang w:eastAsia="en-US"/>
        </w:rPr>
      </w:pPr>
    </w:p>
    <w:p w14:paraId="00295F3C" w14:textId="19011887" w:rsidR="00361BE3" w:rsidRPr="005E1411" w:rsidRDefault="00361BE3" w:rsidP="00E62ABB">
      <w:pPr>
        <w:pStyle w:val="Nadpis3"/>
        <w:spacing w:before="240" w:after="0"/>
      </w:pPr>
      <w:bookmarkStart w:id="151" w:name="_Toc199230855"/>
      <w:r w:rsidRPr="005E1411">
        <w:t>Projekt „Právo na prvé zamestnanie"</w:t>
      </w:r>
      <w:bookmarkEnd w:id="151"/>
    </w:p>
    <w:p w14:paraId="6E73AEF1" w14:textId="4E143523" w:rsidR="00361BE3" w:rsidRPr="005E1411" w:rsidRDefault="00361BE3" w:rsidP="005E1411">
      <w:pPr>
        <w:spacing w:before="120" w:after="0"/>
        <w:ind w:hanging="6"/>
      </w:pPr>
      <w:r w:rsidRPr="005E1411">
        <w:rPr>
          <w:bCs/>
        </w:rPr>
        <w:t>Projekt</w:t>
      </w:r>
      <w:r w:rsidRPr="005E1411">
        <w:t xml:space="preserve"> sa realizuje od 04/2024 do 12/2025 na celom území SR. Cieľom projektu je podpora vytvárania pracovných miest pre uchádzačov o zamestnanie (ďalej len „UoZ“) u zamestnávateľa. Cieľom je zlepšenie postavenia UoZ na trhu práce, zvýšenie zamestnateľnosti a zamestnanosti UoZ. Oprávneným žiadateľom projektu sa považuje zamestnávateľ v zmysle § 3 zákona o službách zamestnanosti. Oprávnenou cieľovou skupinou projektu je UoZ podľa § 6 zákona o službách zamestnanosti, vedený v evidencii minimálne 2 mesiace, ktorý nemal pravidelne platené zamestnanie.</w:t>
      </w:r>
      <w:r w:rsidR="00CF3164" w:rsidRPr="005E1411">
        <w:t xml:space="preserve"> </w:t>
      </w:r>
      <w:r w:rsidRPr="005E1411">
        <w:t xml:space="preserve">Finančný príspevok poskytuje úrad práce, sociálnych vecí a rodiny zamestnávateľovi na úhradu časti celkovej ceny práce (ďalej len „CCP“) na jedno vytvorené miesto na jeden mesiac vo výške 90 % z CCP zamestnanca, najviac vo výške 1 318,53 </w:t>
      </w:r>
      <w:r w:rsidR="009418BA" w:rsidRPr="005E1411">
        <w:t>eur</w:t>
      </w:r>
      <w:r w:rsidRPr="005E1411">
        <w:t xml:space="preserve"> (70 % z CCP vypočítanej z priemernej mzdy v hospodárstve SR za I. - III. štvrťrok 2023). Výška poskytovaného finančného príspevku sa počas podporovania nevalorizuje. Výška finančného príspevku zodpovedá pracovnému pomeru dohodnutému na ustanovený týždenný pracovný čas. Ak bude pracovný pomer dohodnutý v rozsahu menej ako je rozsah ustanoveného týždenného pracovného času, výška finančného príspevku sa pomerne kráti. Finančný príspevok sa poskytuje na dobu 6 kalendárnych mesiacov jednorazovo, do 15 kalendárnych dní odo dňa nadobudnutia účinnosti dohody o poskytnutí finančného príspevku. Po uplynutí podpornej doby je zamestnávateľ povinný podporené pracovné miesto, na ktoré mu bol poskytnutý finančný príspevok, udržať najmenej po dobu 6 mesiacov.</w:t>
      </w:r>
    </w:p>
    <w:p w14:paraId="39427D4E" w14:textId="2E90B5AA" w:rsidR="00361BE3" w:rsidRPr="005E1411" w:rsidRDefault="00361BE3" w:rsidP="005E1411">
      <w:pPr>
        <w:spacing w:before="120" w:after="0"/>
      </w:pPr>
      <w:r w:rsidRPr="005E1411">
        <w:t xml:space="preserve">V roku 2024 bolo prijatých v rámci projektu 1 833 žiadostí zamestnávateľov o finančné príspevky, ktorí na tento účel vytvoria nové PM, z toho bolo schválených 1 598 žiadostí na 1 906 PM v celkovej dohodnutej výške 13 462 021 </w:t>
      </w:r>
      <w:r w:rsidR="009418BA" w:rsidRPr="005E1411">
        <w:t>Eur</w:t>
      </w:r>
      <w:r w:rsidRPr="005E1411">
        <w:t>. K 31.</w:t>
      </w:r>
      <w:r w:rsidR="001B196E">
        <w:t xml:space="preserve"> </w:t>
      </w:r>
      <w:r w:rsidRPr="005E1411">
        <w:t>12.</w:t>
      </w:r>
      <w:r w:rsidR="001B196E">
        <w:t xml:space="preserve"> </w:t>
      </w:r>
      <w:r w:rsidRPr="005E1411">
        <w:t xml:space="preserve">2024 v rámci projektu bolo zaradených UoZ 1 830, s čerpaním finančných prostriedkov vo výške 13 289 104 </w:t>
      </w:r>
      <w:r w:rsidR="009418BA" w:rsidRPr="005E1411">
        <w:t>eur</w:t>
      </w:r>
      <w:r w:rsidRPr="005E1411">
        <w:t>.</w:t>
      </w:r>
    </w:p>
    <w:p w14:paraId="5C40B0A0" w14:textId="3F1BB055" w:rsidR="00361BE3" w:rsidRPr="005E1411" w:rsidRDefault="00361BE3" w:rsidP="005E1411">
      <w:pPr>
        <w:spacing w:before="120" w:after="0"/>
        <w:ind w:firstLine="0"/>
      </w:pPr>
      <w:r w:rsidRPr="005E1411">
        <w:t xml:space="preserve">Z hľadiska právnej formy zamestnávateľa, najväčší záujem o vytváranie PM prejavili spol. s. r. o. v počte 943 (59,01 </w:t>
      </w:r>
      <w:r w:rsidRPr="005E1411">
        <w:rPr>
          <w:lang w:val="en-GB"/>
        </w:rPr>
        <w:t>%</w:t>
      </w:r>
      <w:r w:rsidRPr="005E1411">
        <w:t xml:space="preserve">), za nimi nasledovali živnostníci, ktorých bolo 227 (14,21 </w:t>
      </w:r>
      <w:r w:rsidRPr="005E1411">
        <w:rPr>
          <w:lang w:val="en-GB"/>
        </w:rPr>
        <w:t>%</w:t>
      </w:r>
      <w:r w:rsidRPr="005E1411">
        <w:t xml:space="preserve">) a 135 (8,45 </w:t>
      </w:r>
      <w:r w:rsidRPr="005E1411">
        <w:rPr>
          <w:lang w:val="en-GB"/>
        </w:rPr>
        <w:t>%</w:t>
      </w:r>
      <w:r w:rsidRPr="005E1411">
        <w:t xml:space="preserve">) bolo obcí a miest. Ďalšie kategórie zamestnávateľov tvorili rozpočtové organizácie 76 (4,76 %) združenia 35  (2,19 %), mimovládne organizácie v počte 32 (2 %) a akciové spoločnosti, </w:t>
      </w:r>
      <w:r w:rsidR="001B196E">
        <w:t xml:space="preserve">         </w:t>
      </w:r>
      <w:r w:rsidRPr="005E1411">
        <w:lastRenderedPageBreak/>
        <w:t>v počte 30 (1,88 %), príspevkové organizácie v počte 23 (1,44 %), cirkevné organizácie v počte 5 (0,31 %), SHR v počte 3 (0,19 %) a v rovnakom počte záujmové združenie a živnostník a SHR v počte 1 (0,06 %). Inú právnu formu malo 87 zamestnávateľov (5,44 %), v štruktúre podľa grafu</w:t>
      </w:r>
    </w:p>
    <w:p w14:paraId="660AF61D" w14:textId="5F3B9A2C" w:rsidR="00361BE3" w:rsidRPr="005E1411" w:rsidRDefault="00367883" w:rsidP="00361BE3">
      <w:pPr>
        <w:spacing w:after="0"/>
        <w:ind w:firstLine="0"/>
      </w:pPr>
      <w:r w:rsidRPr="005E1411">
        <w:rPr>
          <w:noProof/>
          <w:sz w:val="20"/>
          <w:szCs w:val="20"/>
        </w:rPr>
        <w:drawing>
          <wp:anchor distT="0" distB="0" distL="114300" distR="114300" simplePos="0" relativeHeight="252587520" behindDoc="0" locked="0" layoutInCell="1" allowOverlap="1" wp14:anchorId="12AFE58A" wp14:editId="65EFE521">
            <wp:simplePos x="0" y="0"/>
            <wp:positionH relativeFrom="margin">
              <wp:posOffset>5715</wp:posOffset>
            </wp:positionH>
            <wp:positionV relativeFrom="paragraph">
              <wp:posOffset>259080</wp:posOffset>
            </wp:positionV>
            <wp:extent cx="5833110" cy="3147695"/>
            <wp:effectExtent l="0" t="0" r="15240" b="14605"/>
            <wp:wrapTopAndBottom/>
            <wp:docPr id="29" name="Graf 2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00361BE3" w:rsidRPr="005E1411">
        <w:t>nižšie.</w:t>
      </w:r>
    </w:p>
    <w:bookmarkEnd w:id="138"/>
    <w:bookmarkEnd w:id="139"/>
    <w:p w14:paraId="59109059" w14:textId="551206D3" w:rsidR="00CF3164" w:rsidRPr="00AB2E67" w:rsidRDefault="00CF3164" w:rsidP="00CF3164">
      <w:pPr>
        <w:spacing w:after="0"/>
        <w:ind w:firstLine="0"/>
        <w:rPr>
          <w:rFonts w:eastAsia="Calibri"/>
        </w:rPr>
      </w:pPr>
      <w:r w:rsidRPr="00AB2E67">
        <w:rPr>
          <w:rFonts w:eastAsia="Calibri"/>
        </w:rPr>
        <w:t xml:space="preserve">V roku 2024 bolo do projektu zaradených 1 830 UoZ, z toho 832 (45,46%) mužov a 998 </w:t>
      </w:r>
      <w:r w:rsidR="00AB2E67">
        <w:rPr>
          <w:rFonts w:eastAsia="Calibri"/>
        </w:rPr>
        <w:t xml:space="preserve">       </w:t>
      </w:r>
      <w:r w:rsidRPr="00AB2E67">
        <w:rPr>
          <w:rFonts w:eastAsia="Calibri"/>
        </w:rPr>
        <w:t xml:space="preserve">(54,54 %) žien. </w:t>
      </w:r>
    </w:p>
    <w:p w14:paraId="7360579B" w14:textId="3B2AA490" w:rsidR="00CF3164" w:rsidRPr="00AB2E67" w:rsidRDefault="00CF3164" w:rsidP="00AB2E67">
      <w:pPr>
        <w:spacing w:before="120" w:after="120"/>
        <w:ind w:firstLine="0"/>
        <w:rPr>
          <w:rFonts w:eastAsia="Calibri"/>
        </w:rPr>
      </w:pPr>
      <w:r w:rsidRPr="00AB2E67">
        <w:rPr>
          <w:noProof/>
          <w:sz w:val="20"/>
          <w:szCs w:val="20"/>
        </w:rPr>
        <w:drawing>
          <wp:anchor distT="0" distB="0" distL="114300" distR="114300" simplePos="0" relativeHeight="252589568" behindDoc="0" locked="0" layoutInCell="1" allowOverlap="1" wp14:anchorId="0BF48DC6" wp14:editId="3B6EC483">
            <wp:simplePos x="0" y="0"/>
            <wp:positionH relativeFrom="margin">
              <wp:align>right</wp:align>
            </wp:positionH>
            <wp:positionV relativeFrom="paragraph">
              <wp:posOffset>831850</wp:posOffset>
            </wp:positionV>
            <wp:extent cx="5833745" cy="2790825"/>
            <wp:effectExtent l="0" t="0" r="14605" b="9525"/>
            <wp:wrapTopAndBottom/>
            <wp:docPr id="226" name="Graf 22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AB2E67">
        <w:rPr>
          <w:rFonts w:eastAsia="Calibri"/>
        </w:rPr>
        <w:t xml:space="preserve">Z hľadiska veku UoZ, najvyšší podiel zaradených do projektu tvorili UoZ vo veku do 24 rokov v počte 1 278 (69,84 %). Za nimi nasledovali UoZ vo veku 25 - 29 rokov v počte 364 (19,89 %) a veková kategória 30 - 49 rokov v počte 176 (9,62 %). Najmenej zastúpená kategória 12 osôb (0,66 %) boli ľudia vo veku 50 a viac rokov - </w:t>
      </w:r>
      <w:r w:rsidRPr="00AB2E67">
        <w:t>v štruktúre podľa grafu nižšie.</w:t>
      </w:r>
    </w:p>
    <w:p w14:paraId="7162CF23" w14:textId="500906F1" w:rsidR="00CF3164" w:rsidRPr="00AB2E67" w:rsidRDefault="00CF3164" w:rsidP="00E62ABB">
      <w:pPr>
        <w:spacing w:before="240" w:after="0"/>
        <w:ind w:hanging="6"/>
      </w:pPr>
      <w:r w:rsidRPr="00AB2E67">
        <w:t>Z hľadiska dĺžky evidencie bolo v roku 2024 najviac 582 (31,80 %) zaradených UoZ, ktorí boli v evidencii UoZ do 3 mesiacov, druhú skupinu tvorili UoZ, ktorí boli vedení v evidencii 4 - 6 mesiacov 496 (27,10 %). Tretiu najpočetnejšiu skupinu tvorili UoZ vedení v evidencii UoZ od 7 do 12 mesiacov, ktorých bolo 384 (20,98 %). Najmenej zastúpenými kategóriami boli evidovaní od 13 do 24 mesiacov 199 (10,87 %) a dlhšie ako 24 mesiacov v počte 169 (9,23 %) v štruktúre podľa grafu nižšie.</w:t>
      </w:r>
    </w:p>
    <w:p w14:paraId="054F62F6" w14:textId="63DA0104" w:rsidR="00CF3164" w:rsidRPr="00971493" w:rsidRDefault="00CF3164" w:rsidP="00D817AC">
      <w:pPr>
        <w:spacing w:after="0"/>
        <w:rPr>
          <w:highlight w:val="yellow"/>
        </w:rPr>
      </w:pPr>
    </w:p>
    <w:p w14:paraId="08F0408C" w14:textId="5B998BD2" w:rsidR="00AB2E67" w:rsidRDefault="006E0E8A" w:rsidP="00CF3164">
      <w:pPr>
        <w:rPr>
          <w:bCs/>
          <w:highlight w:val="yellow"/>
        </w:rPr>
      </w:pPr>
      <w:r w:rsidRPr="00971493">
        <w:rPr>
          <w:noProof/>
          <w:sz w:val="20"/>
          <w:szCs w:val="20"/>
          <w:highlight w:val="yellow"/>
        </w:rPr>
        <w:lastRenderedPageBreak/>
        <w:drawing>
          <wp:anchor distT="0" distB="0" distL="114300" distR="114300" simplePos="0" relativeHeight="252678656" behindDoc="0" locked="0" layoutInCell="1" allowOverlap="1" wp14:anchorId="57B2812B" wp14:editId="140DCC42">
            <wp:simplePos x="0" y="0"/>
            <wp:positionH relativeFrom="margin">
              <wp:posOffset>-2540</wp:posOffset>
            </wp:positionH>
            <wp:positionV relativeFrom="paragraph">
              <wp:posOffset>251874</wp:posOffset>
            </wp:positionV>
            <wp:extent cx="5835650" cy="3005455"/>
            <wp:effectExtent l="0" t="0" r="12700" b="4445"/>
            <wp:wrapTopAndBottom/>
            <wp:docPr id="452" name="Graf 45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p>
    <w:p w14:paraId="00B9F522" w14:textId="29A28A1F" w:rsidR="00AB2E67" w:rsidRDefault="00AB2E67" w:rsidP="006E0E8A">
      <w:pPr>
        <w:spacing w:after="0"/>
        <w:ind w:hanging="6"/>
        <w:rPr>
          <w:bCs/>
          <w:highlight w:val="yellow"/>
        </w:rPr>
      </w:pPr>
    </w:p>
    <w:p w14:paraId="3D65E067" w14:textId="5D94C816" w:rsidR="00CF3164" w:rsidRPr="00AB2E67" w:rsidRDefault="00AB2E67" w:rsidP="006E0E8A">
      <w:pPr>
        <w:spacing w:after="0"/>
        <w:ind w:hanging="6"/>
      </w:pPr>
      <w:r w:rsidRPr="00971493">
        <w:rPr>
          <w:noProof/>
          <w:sz w:val="20"/>
          <w:szCs w:val="20"/>
          <w:highlight w:val="yellow"/>
        </w:rPr>
        <w:drawing>
          <wp:anchor distT="0" distB="0" distL="114300" distR="114300" simplePos="0" relativeHeight="252680704" behindDoc="0" locked="0" layoutInCell="1" allowOverlap="1" wp14:anchorId="4E5A6E5D" wp14:editId="5273B91B">
            <wp:simplePos x="0" y="0"/>
            <wp:positionH relativeFrom="margin">
              <wp:posOffset>-2540</wp:posOffset>
            </wp:positionH>
            <wp:positionV relativeFrom="paragraph">
              <wp:posOffset>1805305</wp:posOffset>
            </wp:positionV>
            <wp:extent cx="5835650" cy="3220085"/>
            <wp:effectExtent l="0" t="0" r="12700" b="18415"/>
            <wp:wrapTopAndBottom/>
            <wp:docPr id="3" name="Graf 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CF3164" w:rsidRPr="00AB2E67">
        <w:rPr>
          <w:bCs/>
        </w:rPr>
        <w:t>Z hľadiska profesie</w:t>
      </w:r>
      <w:r w:rsidR="00CF3164" w:rsidRPr="00AB2E67">
        <w:t xml:space="preserve"> (SK ISCO), ktorú v rámci projektu najväčšiu skupinu tvorili UoZ, ktorí pracovali ako pomocní a nekvalifikovaní pracovníci v počte 371 UoZ, čo je 20,27 % z celkového počtu 1 830 zaradených UoZ. Ďalšou väčšou skupinou boli špecialisti, ktorých bolo 360 UoZ (19,67 %) a pracovníci v službách a obchode v počte 338 UoZ (18,47 %). Za nimi nasledovali administratívni pracovníci v počte 300 UoZ (16,39 %), technici a odborní pracovníci v počte 217 UoZ (11,86 %), kvalifikovaný pracovníci a remeselníci v počte 140 UoZ (7,65 %), operátori a montéri strojov a zariadení v počte 63 UoZ (3,44 %). Najmenej zastúpenými kategóriami boli zákonodarcovia, riadiaci pracovníci v počte 29 UoZ (1,58 %) a kvalifikovaný pracovníci v poľnohospodárstve, lesníctve a rybárstve v počte 12 UoZ (0,66 %) v štruktúre podľa grafu nižšie.</w:t>
      </w:r>
    </w:p>
    <w:p w14:paraId="78B058E9" w14:textId="29184394" w:rsidR="00AB2E67" w:rsidRDefault="00CF3164" w:rsidP="00AB2E67">
      <w:pPr>
        <w:spacing w:after="0"/>
        <w:ind w:firstLine="0"/>
        <w:rPr>
          <w:rFonts w:eastAsia="Calibri"/>
          <w:highlight w:val="yellow"/>
        </w:rPr>
      </w:pPr>
      <w:r w:rsidRPr="00971493">
        <w:rPr>
          <w:highlight w:val="yellow"/>
        </w:rPr>
        <w:t xml:space="preserve"> </w:t>
      </w:r>
    </w:p>
    <w:p w14:paraId="2227C291" w14:textId="3445E6B4" w:rsidR="00CF3164" w:rsidRPr="00C95A8E" w:rsidRDefault="003F130E" w:rsidP="00CF3164">
      <w:pPr>
        <w:spacing w:after="120"/>
        <w:ind w:firstLine="0"/>
      </w:pPr>
      <w:r w:rsidRPr="00AB2E67">
        <w:rPr>
          <w:noProof/>
          <w:sz w:val="20"/>
          <w:szCs w:val="20"/>
        </w:rPr>
        <w:lastRenderedPageBreak/>
        <w:drawing>
          <wp:anchor distT="0" distB="0" distL="114300" distR="114300" simplePos="0" relativeHeight="252595712" behindDoc="0" locked="0" layoutInCell="1" allowOverlap="1" wp14:anchorId="42C6F810" wp14:editId="1E665C4C">
            <wp:simplePos x="0" y="0"/>
            <wp:positionH relativeFrom="margin">
              <wp:align>left</wp:align>
            </wp:positionH>
            <wp:positionV relativeFrom="paragraph">
              <wp:posOffset>1389380</wp:posOffset>
            </wp:positionV>
            <wp:extent cx="5835650" cy="3309620"/>
            <wp:effectExtent l="0" t="0" r="12700" b="5080"/>
            <wp:wrapTopAndBottom/>
            <wp:docPr id="462" name="Graf 46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AB2E67">
        <w:rPr>
          <w:rFonts w:eastAsia="Calibri"/>
        </w:rPr>
        <w:t>Z hľadiska vzdelania tvorilo najviac UoZ v počte 684 (37,40 %) s úplným stredným odborným vzdelaním, s  VŠ II. stupňa vytvorilo 456 UoZ (24,93 %), so stredným odborným vzdelaním 188 UoZ (10,28 %), UoZ so základným vzdelaním v počte 187 (10,22 %), s VŠ I. stupňa 130 UoZ (7,11 %), s úplným stredným všeobecným vzdelaním 105 UoZ (5,74 %), neukončené základné vzdelanie mali 41 UoZ (2,24%), nižšie stredné odborné vzdelanie mal 22 UoZ (1,20 %), vyššie odborné vzdelanie malo 15 UoZ (0,82 %) a s VŠ III. stupňa 1 UoZ (0,05 %) v štruktúre podľa grafu nižšie.</w:t>
      </w:r>
    </w:p>
    <w:p w14:paraId="7C4EB424" w14:textId="1C667F33" w:rsidR="00CF3164" w:rsidRDefault="00CF3164" w:rsidP="00043263">
      <w:pPr>
        <w:autoSpaceDE w:val="0"/>
        <w:autoSpaceDN w:val="0"/>
        <w:adjustRightInd w:val="0"/>
        <w:spacing w:after="0"/>
        <w:ind w:firstLine="0"/>
        <w:jc w:val="left"/>
        <w:rPr>
          <w:lang w:eastAsia="cs-CZ"/>
        </w:rPr>
      </w:pPr>
    </w:p>
    <w:p w14:paraId="15ABB1A4" w14:textId="0B2FF9E3" w:rsidR="009C496A" w:rsidRPr="009C496A" w:rsidRDefault="009C496A" w:rsidP="009C496A">
      <w:pPr>
        <w:pStyle w:val="Nadpis3"/>
      </w:pPr>
      <w:bookmarkStart w:id="152" w:name="_Toc199230856"/>
      <w:r w:rsidRPr="009C496A">
        <w:t>Projekt „Motivuj sa k zamestnaniu“</w:t>
      </w:r>
      <w:bookmarkEnd w:id="152"/>
    </w:p>
    <w:p w14:paraId="26AA88D5" w14:textId="1A8A8BD5" w:rsidR="009C496A" w:rsidRPr="009C496A" w:rsidRDefault="009C496A" w:rsidP="009C496A">
      <w:pPr>
        <w:tabs>
          <w:tab w:val="left" w:pos="709"/>
        </w:tabs>
        <w:spacing w:before="120" w:after="120"/>
        <w:rPr>
          <w:rFonts w:eastAsia="Calibri"/>
        </w:rPr>
      </w:pPr>
      <w:r>
        <w:rPr>
          <w:rFonts w:eastAsia="Calibri"/>
        </w:rPr>
        <w:t>Projekt</w:t>
      </w:r>
      <w:r w:rsidRPr="009C496A">
        <w:rPr>
          <w:rFonts w:eastAsia="Calibri"/>
        </w:rPr>
        <w:t xml:space="preserve"> Motivuj sa k zamestnaniu </w:t>
      </w:r>
      <w:r>
        <w:rPr>
          <w:rFonts w:eastAsia="Calibri"/>
        </w:rPr>
        <w:t xml:space="preserve">sa realizoval v období od mája 2024 do decembra 2024 s celkovým </w:t>
      </w:r>
      <w:r w:rsidRPr="009C496A">
        <w:rPr>
          <w:rFonts w:eastAsia="Calibri"/>
        </w:rPr>
        <w:t>rozpočt</w:t>
      </w:r>
      <w:r>
        <w:rPr>
          <w:rFonts w:eastAsia="Calibri"/>
        </w:rPr>
        <w:t>om</w:t>
      </w:r>
      <w:r w:rsidRPr="009C496A">
        <w:rPr>
          <w:rFonts w:eastAsia="Calibri"/>
        </w:rPr>
        <w:t xml:space="preserve"> 1 080 000 </w:t>
      </w:r>
      <w:r w:rsidR="00790522">
        <w:rPr>
          <w:rFonts w:eastAsia="Calibri"/>
        </w:rPr>
        <w:t>eur</w:t>
      </w:r>
      <w:r w:rsidRPr="009C496A">
        <w:rPr>
          <w:rFonts w:eastAsia="Calibri"/>
        </w:rPr>
        <w:t xml:space="preserve">. </w:t>
      </w:r>
    </w:p>
    <w:p w14:paraId="594E15BD" w14:textId="73983B39" w:rsidR="009C496A" w:rsidRPr="009C496A" w:rsidRDefault="009C496A" w:rsidP="009C496A">
      <w:pPr>
        <w:spacing w:before="120" w:after="120"/>
        <w:rPr>
          <w:rFonts w:eastAsia="Calibri"/>
        </w:rPr>
      </w:pPr>
      <w:r w:rsidRPr="009C496A">
        <w:rPr>
          <w:rFonts w:eastAsia="Calibri"/>
        </w:rPr>
        <w:t>Cieľom projektu bolo</w:t>
      </w:r>
      <w:r w:rsidRPr="009C496A">
        <w:rPr>
          <w:rFonts w:eastAsia="Calibri"/>
          <w:bCs/>
        </w:rPr>
        <w:t xml:space="preserve"> </w:t>
      </w:r>
      <w:r w:rsidRPr="009C496A">
        <w:rPr>
          <w:rFonts w:eastAsia="Calibri"/>
        </w:rPr>
        <w:t xml:space="preserve">zlepšenie postavenia UoZ na trhu práce a zvýšenie ich zamestnateľnosti prostredníctvom motivácie k zvýšenej aktivite pri riešení ich nezamestnanosti. Súčasne sa tým podporil aj rozvoj miestnej a regionálnej zamestnanosti v menej rozvinutých regiónoch </w:t>
      </w:r>
      <w:r>
        <w:rPr>
          <w:rFonts w:eastAsia="Calibri"/>
        </w:rPr>
        <w:t xml:space="preserve">                   </w:t>
      </w:r>
      <w:r w:rsidRPr="009C496A">
        <w:rPr>
          <w:rFonts w:eastAsia="Calibri"/>
        </w:rPr>
        <w:t xml:space="preserve">v Slovenskej republike. </w:t>
      </w:r>
    </w:p>
    <w:p w14:paraId="07BF52E5" w14:textId="60080A64" w:rsidR="009C496A" w:rsidRPr="009C496A" w:rsidRDefault="009C496A" w:rsidP="009C496A">
      <w:pPr>
        <w:spacing w:before="120" w:after="120"/>
        <w:ind w:left="5"/>
        <w:rPr>
          <w:rFonts w:eastAsia="Calibri"/>
        </w:rPr>
      </w:pPr>
      <w:r w:rsidRPr="009C496A">
        <w:rPr>
          <w:rFonts w:eastAsia="Calibri"/>
        </w:rPr>
        <w:t>Oprávneným žiadateľom projektu bol zamestnanec v pracovnom pomere, resp. v obdobnom pracovnom vzťahu u zamestnávateľa (predtým UoZ), bol bezprostredne pred nástupom do pracovného pomeru, resp. obdobného pracovného vzťahu vedený v evidencii UoZ najmenej dva mesiace, nemal pravidelne platené zamestnanie, bol vyradený z evidencie UoZ z dôvodu vzniku pracovného pomeru alebo obdobného pracovného vzťahu v súlade s ustanovením § 36 ods. 1 písm. a) zákona o službách zamestnanosti, ak pracovný pomer alebo obdobný pracovný vzťah je dohodnutý najmenej v rozsahu polovice ustanoveného týždenného pracovného času, okrem pracovnoprávneho vzťahu založeného dohodami o prácach vykonávaných mimo pracovného pomeru alebo obdobného pracovného vzťahu (dohoda o vykonaní práce, dohoda o pracovnej činnosti, dohoda o brigádnickej práci študentov), nastúpil do zamestnania  v lehote stanovenej vo zverejn</w:t>
      </w:r>
      <w:r>
        <w:rPr>
          <w:rFonts w:eastAsia="Calibri"/>
        </w:rPr>
        <w:t xml:space="preserve">enom oznámení, tzn. najskôr od 1. </w:t>
      </w:r>
      <w:r w:rsidRPr="009C496A">
        <w:rPr>
          <w:rFonts w:eastAsia="Calibri"/>
        </w:rPr>
        <w:t>5.</w:t>
      </w:r>
      <w:r>
        <w:rPr>
          <w:rFonts w:eastAsia="Calibri"/>
        </w:rPr>
        <w:t xml:space="preserve"> 2024 a najneskôr do </w:t>
      </w:r>
      <w:r w:rsidRPr="009C496A">
        <w:rPr>
          <w:rFonts w:eastAsia="Calibri"/>
        </w:rPr>
        <w:t>1.</w:t>
      </w:r>
      <w:r>
        <w:rPr>
          <w:rFonts w:eastAsia="Calibri"/>
        </w:rPr>
        <w:t xml:space="preserve"> </w:t>
      </w:r>
      <w:r w:rsidRPr="009C496A">
        <w:rPr>
          <w:rFonts w:eastAsia="Calibri"/>
        </w:rPr>
        <w:t>10.</w:t>
      </w:r>
      <w:r>
        <w:rPr>
          <w:rFonts w:eastAsia="Calibri"/>
        </w:rPr>
        <w:t xml:space="preserve"> </w:t>
      </w:r>
      <w:r w:rsidRPr="009C496A">
        <w:rPr>
          <w:rFonts w:eastAsia="Calibri"/>
        </w:rPr>
        <w:t xml:space="preserve">2024, predložil písomnú žiadosť spolu s relevantnými prílohami v lehote stanovenej vo zverejnenom oznámení, tzn. do konca kalendárneho mesiaca nasledujúceho po kalendárnom mesiaci, v ktorom prišlo </w:t>
      </w:r>
      <w:r>
        <w:rPr>
          <w:rFonts w:eastAsia="Calibri"/>
        </w:rPr>
        <w:t xml:space="preserve">         </w:t>
      </w:r>
      <w:r w:rsidRPr="009C496A">
        <w:rPr>
          <w:rFonts w:eastAsia="Calibri"/>
        </w:rPr>
        <w:t>k nástupu do zamestnania, najneskôr však do 15.11.2024 (v prí</w:t>
      </w:r>
      <w:r>
        <w:rPr>
          <w:rFonts w:eastAsia="Calibri"/>
        </w:rPr>
        <w:t xml:space="preserve">pade nástupu do zamestnania od     </w:t>
      </w:r>
      <w:r w:rsidRPr="009C496A">
        <w:rPr>
          <w:rFonts w:eastAsia="Calibri"/>
        </w:rPr>
        <w:t>1.</w:t>
      </w:r>
      <w:r>
        <w:rPr>
          <w:rFonts w:eastAsia="Calibri"/>
        </w:rPr>
        <w:t xml:space="preserve"> </w:t>
      </w:r>
      <w:r w:rsidRPr="009C496A">
        <w:rPr>
          <w:rFonts w:eastAsia="Calibri"/>
        </w:rPr>
        <w:t>10.</w:t>
      </w:r>
      <w:r>
        <w:rPr>
          <w:rFonts w:eastAsia="Calibri"/>
        </w:rPr>
        <w:t xml:space="preserve"> </w:t>
      </w:r>
      <w:r w:rsidRPr="009C496A">
        <w:rPr>
          <w:rFonts w:eastAsia="Calibri"/>
        </w:rPr>
        <w:t>2024).</w:t>
      </w:r>
    </w:p>
    <w:p w14:paraId="79ADFB1E" w14:textId="571338C5" w:rsidR="009C496A" w:rsidRPr="009C496A" w:rsidRDefault="009C496A" w:rsidP="009C496A">
      <w:pPr>
        <w:spacing w:before="120" w:after="120"/>
        <w:ind w:left="5"/>
        <w:rPr>
          <w:rFonts w:eastAsia="Calibri"/>
        </w:rPr>
      </w:pPr>
      <w:r w:rsidRPr="006E0E8A">
        <w:rPr>
          <w:rFonts w:eastAsia="Calibri"/>
        </w:rPr>
        <w:lastRenderedPageBreak/>
        <w:t>Oprávneným územím</w:t>
      </w:r>
      <w:r w:rsidR="006E0E8A">
        <w:rPr>
          <w:rFonts w:eastAsia="Calibri"/>
        </w:rPr>
        <w:t>,</w:t>
      </w:r>
      <w:r w:rsidRPr="006E0E8A">
        <w:rPr>
          <w:rFonts w:eastAsia="Calibri"/>
        </w:rPr>
        <w:t xml:space="preserve"> v rámci</w:t>
      </w:r>
      <w:r w:rsidRPr="009C496A">
        <w:rPr>
          <w:rFonts w:eastAsia="Calibri"/>
        </w:rPr>
        <w:t xml:space="preserve"> ktorého sa poskytoval finančný príspevok, bol</w:t>
      </w:r>
      <w:r w:rsidR="006E0E8A">
        <w:rPr>
          <w:rFonts w:eastAsia="Calibri"/>
        </w:rPr>
        <w:t>a celá S</w:t>
      </w:r>
      <w:r w:rsidRPr="009C496A">
        <w:rPr>
          <w:rFonts w:eastAsia="Calibri"/>
        </w:rPr>
        <w:t>lovensk</w:t>
      </w:r>
      <w:r w:rsidR="006E0E8A">
        <w:rPr>
          <w:rFonts w:eastAsia="Calibri"/>
        </w:rPr>
        <w:t>á</w:t>
      </w:r>
      <w:r w:rsidRPr="009C496A">
        <w:rPr>
          <w:rFonts w:eastAsia="Calibri"/>
        </w:rPr>
        <w:t xml:space="preserve"> republik</w:t>
      </w:r>
      <w:r w:rsidR="006E0E8A">
        <w:rPr>
          <w:rFonts w:eastAsia="Calibri"/>
        </w:rPr>
        <w:t>a</w:t>
      </w:r>
      <w:r w:rsidRPr="009C496A">
        <w:rPr>
          <w:rFonts w:eastAsia="Calibri"/>
        </w:rPr>
        <w:t xml:space="preserve">. </w:t>
      </w:r>
    </w:p>
    <w:p w14:paraId="471590E3" w14:textId="77777777" w:rsidR="009C496A" w:rsidRPr="009C496A" w:rsidRDefault="009C496A" w:rsidP="009C496A">
      <w:pPr>
        <w:spacing w:before="120" w:after="120"/>
        <w:ind w:left="5"/>
        <w:rPr>
          <w:rFonts w:eastAsia="Calibri"/>
        </w:rPr>
      </w:pPr>
      <w:r w:rsidRPr="009C496A">
        <w:rPr>
          <w:rFonts w:eastAsia="Calibri"/>
        </w:rPr>
        <w:t xml:space="preserve">V roku 2024 bolo prijatých 3 278 žiadostí o poskytnutie finančného príspevku, z toho bolo schválených 2 059 žiadostí v celkovej dohodnutej výške 1 141 200 Eur. Výška uhradenej sumy v roku 2024 bola 1 043 748 Eur. Počet zaradených UoZ do projektu Motivuj sa k zamestnaniu bol celkový počet 2 074. </w:t>
      </w:r>
    </w:p>
    <w:p w14:paraId="1A45E40A" w14:textId="7718C027" w:rsidR="009C496A" w:rsidRPr="009C496A" w:rsidRDefault="00E4166F" w:rsidP="009C496A">
      <w:pPr>
        <w:spacing w:before="120" w:after="120"/>
        <w:rPr>
          <w:rFonts w:eastAsia="Calibri"/>
        </w:rPr>
      </w:pPr>
      <w:r w:rsidRPr="009C496A">
        <w:rPr>
          <w:noProof/>
          <w:sz w:val="20"/>
          <w:szCs w:val="20"/>
        </w:rPr>
        <w:drawing>
          <wp:anchor distT="0" distB="0" distL="114300" distR="114300" simplePos="0" relativeHeight="252684800" behindDoc="0" locked="0" layoutInCell="1" allowOverlap="1" wp14:anchorId="1FEFD4AA" wp14:editId="5E128ACE">
            <wp:simplePos x="0" y="0"/>
            <wp:positionH relativeFrom="margin">
              <wp:posOffset>-442</wp:posOffset>
            </wp:positionH>
            <wp:positionV relativeFrom="paragraph">
              <wp:posOffset>402010</wp:posOffset>
            </wp:positionV>
            <wp:extent cx="5862955" cy="2758440"/>
            <wp:effectExtent l="0" t="0" r="4445" b="3810"/>
            <wp:wrapTopAndBottom/>
            <wp:docPr id="458" name="Graf 45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9C496A" w:rsidRPr="009C496A">
        <w:rPr>
          <w:rFonts w:eastAsia="Calibri"/>
        </w:rPr>
        <w:t xml:space="preserve">V roku 2024 bolo do projektu Motivuj sa k zamestnaniu zaradených 2 074 UoZ, z toho 860 mužov (41,47 %) a 1 214 (58,53 %) žien. Štruktúra je zobrazená v nižšie uvedenom grafe. </w:t>
      </w:r>
    </w:p>
    <w:p w14:paraId="52F9CCEA" w14:textId="7B6029D4" w:rsidR="009C496A" w:rsidRPr="009C496A" w:rsidRDefault="00E4166F" w:rsidP="009C496A">
      <w:pPr>
        <w:spacing w:before="120" w:after="120"/>
        <w:ind w:hanging="6"/>
        <w:rPr>
          <w:rFonts w:eastAsia="Calibri"/>
        </w:rPr>
      </w:pPr>
      <w:r w:rsidRPr="009C496A">
        <w:rPr>
          <w:noProof/>
          <w:sz w:val="20"/>
          <w:szCs w:val="20"/>
        </w:rPr>
        <w:drawing>
          <wp:anchor distT="0" distB="0" distL="114300" distR="114300" simplePos="0" relativeHeight="252685824" behindDoc="0" locked="0" layoutInCell="1" allowOverlap="1" wp14:anchorId="74873908" wp14:editId="20668032">
            <wp:simplePos x="0" y="0"/>
            <wp:positionH relativeFrom="margin">
              <wp:posOffset>0</wp:posOffset>
            </wp:positionH>
            <wp:positionV relativeFrom="paragraph">
              <wp:posOffset>3708787</wp:posOffset>
            </wp:positionV>
            <wp:extent cx="5862955" cy="2758440"/>
            <wp:effectExtent l="0" t="0" r="4445" b="3810"/>
            <wp:wrapTopAndBottom/>
            <wp:docPr id="55" name="Graf 5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9C496A" w:rsidRPr="009C496A">
        <w:rPr>
          <w:rFonts w:eastAsia="Calibri"/>
        </w:rPr>
        <w:t>Z hľadiska vekovej štruktúry, z počtu 2 074 zaradených UoZ najväčšiu skupinu tvorili UoZ vo veku do 24 rokov v počte 1 214 UoZ (62,39 %). Druhú skupinu tvorili UoZ vo veku vo veku do 25 - 29 rokov v počte 541 UoZ (26,08 %), tretiu skupinu tvorili UoZ do 30 - 49 rokov v počte 227 UoZ (10,95 %) a poslednú skupinu tvorili UoZ vo veku 50 a viac rokov v počte 12 UoZ (0,58 %). Štruktúra je zobrazená v nižšie uvedenom grafe.</w:t>
      </w:r>
    </w:p>
    <w:p w14:paraId="2956FD42" w14:textId="1B55DB78" w:rsidR="009C496A" w:rsidRPr="009C496A" w:rsidRDefault="009C496A" w:rsidP="00E4166F">
      <w:pPr>
        <w:spacing w:before="240" w:after="120"/>
        <w:ind w:hanging="6"/>
        <w:rPr>
          <w:bCs/>
        </w:rPr>
      </w:pPr>
      <w:r w:rsidRPr="009C496A">
        <w:rPr>
          <w:bCs/>
        </w:rPr>
        <w:t xml:space="preserve">Z hľadiska dosiahnutého stupňa vzdelania z počtu 2 074 zaradených UoZ tvorili najväčšiu skupinu UoZ s ukončeným vysokoškolským vzdelaním druhého stupňa v počte 725 UoZ (34,96 %), s úplným stredným odborným vzdelaním 645 UoZ (31,10 %), so základným vzdelaním v počte 225 UoZ (10,85 %), so stredným odborným vzdelaním 169 UoZ (8,15 %), s dosiahnutým vysokoškolským vzdelaním prvého stupňa v počte 131 UoZ (6,32 %), UoZ s ukončeným úplným stredným všeobecným vzdelaním v počte 102 UoZ (4,92 %), s neukončeným základným </w:t>
      </w:r>
      <w:r w:rsidRPr="009C496A">
        <w:rPr>
          <w:bCs/>
        </w:rPr>
        <w:lastRenderedPageBreak/>
        <w:t xml:space="preserve">vzdelaním v počte 31 UoZ (1,49 %), s nižším stredným odborným vzdelaním 30 UoZ (1,45 %), s vyšším odborným vzdelaním v počte 10 UoZ (0,48 %), s vysokoškolským vzdelaním tretieho stupňa 4 UoZ (0,19 %) a s neurčeným vzdelaním v počte 2 UoZ (0,10%). </w:t>
      </w:r>
      <w:r w:rsidRPr="009C496A">
        <w:rPr>
          <w:rFonts w:eastAsia="Calibri"/>
        </w:rPr>
        <w:t xml:space="preserve">Štruktúra je </w:t>
      </w:r>
      <w:r w:rsidR="00E4166F" w:rsidRPr="009C496A">
        <w:rPr>
          <w:noProof/>
          <w:sz w:val="20"/>
          <w:szCs w:val="20"/>
        </w:rPr>
        <w:drawing>
          <wp:anchor distT="0" distB="0" distL="114300" distR="114300" simplePos="0" relativeHeight="252686848" behindDoc="0" locked="0" layoutInCell="1" allowOverlap="1" wp14:anchorId="627CE967" wp14:editId="4CEB367B">
            <wp:simplePos x="0" y="0"/>
            <wp:positionH relativeFrom="margin">
              <wp:posOffset>-2540</wp:posOffset>
            </wp:positionH>
            <wp:positionV relativeFrom="paragraph">
              <wp:posOffset>745490</wp:posOffset>
            </wp:positionV>
            <wp:extent cx="5862955" cy="2806700"/>
            <wp:effectExtent l="0" t="0" r="4445" b="12700"/>
            <wp:wrapTopAndBottom/>
            <wp:docPr id="56" name="Graf 5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9C496A">
        <w:rPr>
          <w:rFonts w:eastAsia="Calibri"/>
        </w:rPr>
        <w:t>zobrazená v nižšie uvedenom grafe.</w:t>
      </w:r>
    </w:p>
    <w:p w14:paraId="6235EFE8" w14:textId="5BD876D5" w:rsidR="009C496A" w:rsidRPr="009C496A" w:rsidRDefault="009C496A" w:rsidP="00E4166F">
      <w:pPr>
        <w:spacing w:before="240" w:after="120"/>
        <w:ind w:hanging="6"/>
      </w:pPr>
      <w:r w:rsidRPr="009C496A">
        <w:t xml:space="preserve">Z hľadiska </w:t>
      </w:r>
      <w:r w:rsidR="00B5328F">
        <w:t>zaradenia</w:t>
      </w:r>
      <w:r w:rsidRPr="009C496A">
        <w:t xml:space="preserve"> 2 074 UoZ </w:t>
      </w:r>
      <w:r w:rsidR="00B5328F">
        <w:t xml:space="preserve">u zamestnávateľov </w:t>
      </w:r>
      <w:r w:rsidRPr="009C496A">
        <w:t xml:space="preserve">podľa </w:t>
      </w:r>
      <w:r w:rsidR="00B5328F">
        <w:t>klasifikácie</w:t>
      </w:r>
      <w:r w:rsidR="00B5328F" w:rsidRPr="00B5328F">
        <w:t xml:space="preserve"> ekonomických činností </w:t>
      </w:r>
      <w:r w:rsidRPr="009C496A">
        <w:t>SK NACE bolo najviac vytvorených PM v oblasti veľkoobchod a maloobchod v počte 332 (16,01 %), priemyselnej výroby v počte 325 (15,67 %), zdravotníctvo a soc. pomoc v počte 259 (12,49 %), vzdelávanie v počte 185 (8,92 %), odborné, vedecké, technické činnosti v počte 177 (8,53 %), oblasť verejnej správy a sociálneho zabezpečenia v počte 176 (8,49 %), administratívne služby v počte 1</w:t>
      </w:r>
      <w:r w:rsidR="00B5328F">
        <w:t>43 (6,89 %), ubytovanie a stravovacie</w:t>
      </w:r>
      <w:r w:rsidRPr="009C496A">
        <w:t xml:space="preserve"> služby v počte 105 (5,06 %), stavebníctvo v počte 104 (5,01 %), ostatné činnosti v počte 61 (2,94 %), doprava a skladovanie v počte 42 (2,03 %), informácie a komunikácia v počte 40 (1,93 %), pôdohospodárstvo v počte 30 (1,45 %), čin. v oblasti nehnuteľností v počte 23 (1,11 %), finančné a </w:t>
      </w:r>
      <w:r w:rsidR="00E4166F" w:rsidRPr="009C496A">
        <w:t>poisťov</w:t>
      </w:r>
      <w:r w:rsidR="00E4166F">
        <w:t>nícke</w:t>
      </w:r>
      <w:r w:rsidRPr="009C496A">
        <w:t xml:space="preserve"> činnosti v počte 21 (1,01 %), dodávka vody v počte 16 (0,77 %), umenie, zábava a rekreácia v počte 16 (0,77%), dodávka elektriny, plynu, pary v počte 9 (0,43 %), neurčené v počte 9 (0,43 %) a v oblasti ťažby a dobývania v počte 1 (0,05 %).</w:t>
      </w:r>
      <w:r w:rsidRPr="009C496A">
        <w:rPr>
          <w:rFonts w:eastAsia="Calibri"/>
        </w:rPr>
        <w:t xml:space="preserve"> Štruktúra je zobrazená v nižšie uvedenom grafe.</w:t>
      </w:r>
    </w:p>
    <w:p w14:paraId="4A417E62" w14:textId="388C2DE6" w:rsidR="009C496A" w:rsidRPr="009C496A" w:rsidRDefault="00B5328F" w:rsidP="009C496A">
      <w:pPr>
        <w:spacing w:before="120" w:after="120"/>
        <w:ind w:firstLine="0"/>
      </w:pPr>
      <w:r w:rsidRPr="009C496A">
        <w:rPr>
          <w:noProof/>
          <w:sz w:val="20"/>
          <w:szCs w:val="20"/>
        </w:rPr>
        <w:drawing>
          <wp:anchor distT="0" distB="0" distL="114300" distR="114300" simplePos="0" relativeHeight="252695040" behindDoc="0" locked="0" layoutInCell="1" allowOverlap="1" wp14:anchorId="74C99603" wp14:editId="748CE500">
            <wp:simplePos x="0" y="0"/>
            <wp:positionH relativeFrom="margin">
              <wp:posOffset>0</wp:posOffset>
            </wp:positionH>
            <wp:positionV relativeFrom="paragraph">
              <wp:posOffset>-635</wp:posOffset>
            </wp:positionV>
            <wp:extent cx="5862955" cy="3387090"/>
            <wp:effectExtent l="0" t="0" r="4445" b="3810"/>
            <wp:wrapNone/>
            <wp:docPr id="448" name="Graf 44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14:paraId="4D9A4D0B" w14:textId="77777777" w:rsidR="009C496A" w:rsidRPr="009C496A" w:rsidRDefault="009C496A" w:rsidP="009C496A">
      <w:pPr>
        <w:spacing w:before="120" w:after="120"/>
        <w:ind w:firstLine="0"/>
      </w:pPr>
    </w:p>
    <w:p w14:paraId="5F487059" w14:textId="77777777" w:rsidR="00B5328F" w:rsidRDefault="00B5328F" w:rsidP="009C496A">
      <w:pPr>
        <w:spacing w:before="120" w:after="120"/>
        <w:ind w:firstLine="0"/>
      </w:pPr>
    </w:p>
    <w:p w14:paraId="594FC8E1" w14:textId="77777777" w:rsidR="00B5328F" w:rsidRDefault="00B5328F" w:rsidP="009C496A">
      <w:pPr>
        <w:spacing w:before="120" w:after="120"/>
        <w:ind w:firstLine="0"/>
      </w:pPr>
    </w:p>
    <w:p w14:paraId="3D3E4A2A" w14:textId="77777777" w:rsidR="00B5328F" w:rsidRDefault="00B5328F" w:rsidP="009C496A">
      <w:pPr>
        <w:spacing w:before="120" w:after="120"/>
        <w:ind w:firstLine="0"/>
      </w:pPr>
    </w:p>
    <w:p w14:paraId="5DD8EE36" w14:textId="77777777" w:rsidR="00B5328F" w:rsidRDefault="00B5328F" w:rsidP="009C496A">
      <w:pPr>
        <w:spacing w:before="120" w:after="120"/>
        <w:ind w:firstLine="0"/>
      </w:pPr>
    </w:p>
    <w:p w14:paraId="101609A9" w14:textId="77777777" w:rsidR="00B5328F" w:rsidRDefault="00B5328F" w:rsidP="009C496A">
      <w:pPr>
        <w:spacing w:before="120" w:after="120"/>
        <w:ind w:firstLine="0"/>
      </w:pPr>
    </w:p>
    <w:p w14:paraId="6634B431" w14:textId="77777777" w:rsidR="00B5328F" w:rsidRDefault="00B5328F" w:rsidP="009C496A">
      <w:pPr>
        <w:spacing w:before="120" w:after="120"/>
        <w:ind w:firstLine="0"/>
      </w:pPr>
    </w:p>
    <w:p w14:paraId="30C57018" w14:textId="77777777" w:rsidR="00B5328F" w:rsidRDefault="00B5328F" w:rsidP="009C496A">
      <w:pPr>
        <w:spacing w:before="120" w:after="120"/>
        <w:ind w:firstLine="0"/>
      </w:pPr>
    </w:p>
    <w:p w14:paraId="64BBE41D" w14:textId="77777777" w:rsidR="00B5328F" w:rsidRDefault="00B5328F" w:rsidP="009C496A">
      <w:pPr>
        <w:spacing w:before="120" w:after="120"/>
        <w:ind w:firstLine="0"/>
      </w:pPr>
    </w:p>
    <w:p w14:paraId="0821023C" w14:textId="77777777" w:rsidR="00B5328F" w:rsidRDefault="00B5328F" w:rsidP="009C496A">
      <w:pPr>
        <w:spacing w:before="120" w:after="120"/>
        <w:ind w:firstLine="0"/>
      </w:pPr>
    </w:p>
    <w:p w14:paraId="70489781" w14:textId="77777777" w:rsidR="00B5328F" w:rsidRDefault="00B5328F" w:rsidP="009C496A">
      <w:pPr>
        <w:spacing w:before="120" w:after="120"/>
        <w:ind w:firstLine="0"/>
      </w:pPr>
    </w:p>
    <w:p w14:paraId="44BD0875" w14:textId="77777777" w:rsidR="00B5328F" w:rsidRDefault="00B5328F" w:rsidP="009C496A">
      <w:pPr>
        <w:spacing w:before="120" w:after="120"/>
        <w:ind w:firstLine="0"/>
      </w:pPr>
    </w:p>
    <w:p w14:paraId="0C801C82" w14:textId="77777777" w:rsidR="00B5328F" w:rsidRDefault="00B5328F" w:rsidP="009C496A">
      <w:pPr>
        <w:spacing w:before="120" w:after="120"/>
        <w:ind w:firstLine="0"/>
      </w:pPr>
    </w:p>
    <w:p w14:paraId="338A77DD" w14:textId="206D89D0" w:rsidR="009C496A" w:rsidRPr="009C496A" w:rsidRDefault="00B5328F" w:rsidP="009C496A">
      <w:pPr>
        <w:spacing w:before="120" w:after="120"/>
        <w:ind w:firstLine="0"/>
      </w:pPr>
      <w:r w:rsidRPr="009C496A">
        <w:rPr>
          <w:noProof/>
          <w:sz w:val="20"/>
          <w:szCs w:val="20"/>
        </w:rPr>
        <w:lastRenderedPageBreak/>
        <w:drawing>
          <wp:anchor distT="0" distB="0" distL="114300" distR="114300" simplePos="0" relativeHeight="252688896" behindDoc="0" locked="0" layoutInCell="1" allowOverlap="1" wp14:anchorId="5694A40F" wp14:editId="09814BAB">
            <wp:simplePos x="0" y="0"/>
            <wp:positionH relativeFrom="margin">
              <wp:posOffset>-2540</wp:posOffset>
            </wp:positionH>
            <wp:positionV relativeFrom="paragraph">
              <wp:posOffset>1874520</wp:posOffset>
            </wp:positionV>
            <wp:extent cx="5862955" cy="3021330"/>
            <wp:effectExtent l="0" t="0" r="4445" b="7620"/>
            <wp:wrapTopAndBottom/>
            <wp:docPr id="490" name="Graf 49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009C496A" w:rsidRPr="009C496A">
        <w:t xml:space="preserve">Z hľadiska profesie (SK ISCO), z celkového počtu zaradených 2 074 UoZ v rámci projektu Motivuj sa k zamestnaniu tvorili najväčšiu skupinu UoZ pracujúci ako špecialisti v počte 543 UoZ (26,18 %), ďalšou väčšou skupinou boli pracovníci v službách a obchode v počte 402 UoZ (19,38 %), pomocní a nekvalifikovaní pracovníci v počte 323 UoZ (15,57 %), administratívni pracovníci v počte 245 UoZ (11,81 %), technici a odborní pracovníci v počte 241 UoZ (11,62 %), operátori a montéri v počte 162 UoZ (7,81 %), kvalifikovaní pracovníci a remeselníci v počte 112 UoZ (5,40 %), zákonodarcovia, riadiaci pracovníci v počte 32 UoZ (1,54 %), kvalifikovaní pracovníci v poľnohospodárstve, lesníctve a rybárstve v počte 8 UoZ (0,39 %) a najmenšou skupinou boli príslušníci ozbrojených síl v počte 6 UoZ (0,29 %). </w:t>
      </w:r>
      <w:r w:rsidR="009C496A" w:rsidRPr="009C496A">
        <w:rPr>
          <w:rFonts w:eastAsia="Calibri"/>
        </w:rPr>
        <w:t>Štruktúra je zobrazená v nižšie uvedenom grafe.</w:t>
      </w:r>
    </w:p>
    <w:p w14:paraId="44DA0A52" w14:textId="61D263B1" w:rsidR="009C496A" w:rsidRPr="009C496A" w:rsidRDefault="00B5328F" w:rsidP="00B5328F">
      <w:pPr>
        <w:spacing w:before="240" w:after="120"/>
        <w:ind w:firstLine="0"/>
      </w:pPr>
      <w:r w:rsidRPr="009C496A">
        <w:rPr>
          <w:noProof/>
          <w:sz w:val="20"/>
          <w:szCs w:val="20"/>
        </w:rPr>
        <w:drawing>
          <wp:anchor distT="0" distB="0" distL="114300" distR="114300" simplePos="0" relativeHeight="252682752" behindDoc="0" locked="0" layoutInCell="1" allowOverlap="1" wp14:anchorId="4403DFAC" wp14:editId="42048612">
            <wp:simplePos x="0" y="0"/>
            <wp:positionH relativeFrom="margin">
              <wp:posOffset>-2540</wp:posOffset>
            </wp:positionH>
            <wp:positionV relativeFrom="paragraph">
              <wp:posOffset>4156710</wp:posOffset>
            </wp:positionV>
            <wp:extent cx="5862955" cy="2981325"/>
            <wp:effectExtent l="0" t="0" r="4445" b="9525"/>
            <wp:wrapTopAndBottom/>
            <wp:docPr id="491" name="Graf 49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009C496A" w:rsidRPr="009C496A">
        <w:rPr>
          <w:bCs/>
        </w:rPr>
        <w:t>Z hľadiska doby evidencie</w:t>
      </w:r>
      <w:r w:rsidR="009C496A" w:rsidRPr="009C496A">
        <w:t xml:space="preserve"> pred zaradením do projektu Motivuj sa k zamestnaniu v roku 2024 bolo z celkového počtu 2 074 zaradených UoZ v evidencii UoZ 0-3- mesiace bolo v evidencii 681 UoZ (32,84 %), 7-12 mesiacov v bolo v evidencii 494 UoZ (23,82 %), 4-6  mesiacov bolo v evidencii 478 UoZ (23,05 %), 13 - 24 mesiacov bolo v evidencii 259 UoZ (12,49 %) a nad 24 mesiacov bolo v evidencii 162 UoZ (7,81 %). </w:t>
      </w:r>
      <w:r w:rsidR="009C496A" w:rsidRPr="009C496A">
        <w:rPr>
          <w:rFonts w:eastAsia="Calibri"/>
        </w:rPr>
        <w:t>Štruktúra je zobrazená v nižšie uvedenom grafe.</w:t>
      </w:r>
    </w:p>
    <w:p w14:paraId="0F8D957E" w14:textId="5D174C2E" w:rsidR="009C496A" w:rsidRDefault="009C496A" w:rsidP="009C496A">
      <w:pPr>
        <w:spacing w:before="120" w:after="120"/>
        <w:ind w:firstLine="0"/>
        <w:rPr>
          <w:bCs/>
        </w:rPr>
      </w:pPr>
    </w:p>
    <w:p w14:paraId="45ACB2E1" w14:textId="77777777" w:rsidR="009C496A" w:rsidRPr="009C496A" w:rsidRDefault="009C496A" w:rsidP="009C496A">
      <w:pPr>
        <w:spacing w:before="120" w:after="120"/>
        <w:ind w:firstLine="0"/>
        <w:rPr>
          <w:bCs/>
        </w:rPr>
      </w:pPr>
      <w:r w:rsidRPr="009C496A">
        <w:rPr>
          <w:bCs/>
        </w:rPr>
        <w:lastRenderedPageBreak/>
        <w:t xml:space="preserve">V rámci štruktúry UoZ zaradených do projektu Motivuj sa k zamestnaniu z celkového počtu 2 074 UoZ bolo podľa § 8 zákona o službách zamestnanosti  2 022 znevýhodnených UoZ. </w:t>
      </w:r>
    </w:p>
    <w:p w14:paraId="0D572CBF" w14:textId="77777777" w:rsidR="009C496A" w:rsidRPr="00F841AB" w:rsidRDefault="009C496A" w:rsidP="00043263">
      <w:pPr>
        <w:spacing w:before="120" w:after="0"/>
        <w:ind w:firstLine="0"/>
        <w:rPr>
          <w:rFonts w:eastAsia="Calibri"/>
        </w:rPr>
      </w:pPr>
      <w:r w:rsidRPr="009C496A">
        <w:rPr>
          <w:bCs/>
        </w:rPr>
        <w:t xml:space="preserve">1 991 UoZ malo znevýhodnenie podľa písm. e) – občan, ktorý </w:t>
      </w:r>
      <w:r w:rsidRPr="009C496A">
        <w:rPr>
          <w:rFonts w:eastAsia="Calibri"/>
        </w:rPr>
        <w:t xml:space="preserve">najmenej 12 po sebe nasledujúcich kalendárnych mesiacov pred zaradením do evidencie UoZ nemal pravidelne platené zamestnanie (51,46 %), 1 106 UoZ znevýhodnených podľa písm. a) – absolvent školy (28,59 %), 430 UoZ malo znevýhodnenie podľa písm. c) – dlhodobo nezamestnaný občan (11,11 %), 285 UoZ malo znevýhodnenie podľa písm. d) – občan so vzdelaním nižším ako stredným odborným (7,37 %),  31 UoZ malo znevýhodnenie podľa písm. i) - občania, ktorí ukončili poberanie materskej dávky/rodičovského príspevku (0,80 %), 12 UoZ malo znevýhodnenie podľa písm. b) -  občan nad 50 rokov (0,31 %), 9 UoZ malo znevýhodnenie podľa písm. h) – občan zo zdravotným postihnutím (0,23 %) a 5 UoZ, ktorí mali znevýhodnenie podľa písm. g) – osamelí občania (starostlivosť o odkázanú osobu/starajúci sa o dieťa) (0,13 %). Štruktúra je zobrazená v nižšie uvedenom grafe. </w:t>
      </w:r>
      <w:r w:rsidRPr="00F841AB">
        <w:rPr>
          <w:rFonts w:eastAsia="Calibri"/>
        </w:rPr>
        <w:t xml:space="preserve">Jeden UoZ môže zároveň spĺňať viac znevýhodnení naraz. </w:t>
      </w:r>
    </w:p>
    <w:p w14:paraId="3D62FD58" w14:textId="5D70E774" w:rsidR="009C496A" w:rsidRPr="009C496A" w:rsidRDefault="00043263" w:rsidP="009C496A">
      <w:pPr>
        <w:spacing w:before="120" w:after="120"/>
        <w:ind w:firstLine="0"/>
      </w:pPr>
      <w:r w:rsidRPr="009C496A">
        <w:rPr>
          <w:noProof/>
          <w:sz w:val="20"/>
          <w:szCs w:val="20"/>
        </w:rPr>
        <w:drawing>
          <wp:anchor distT="0" distB="0" distL="114300" distR="114300" simplePos="0" relativeHeight="252687872" behindDoc="0" locked="0" layoutInCell="1" allowOverlap="1" wp14:anchorId="01A13401" wp14:editId="28AF0546">
            <wp:simplePos x="0" y="0"/>
            <wp:positionH relativeFrom="margin">
              <wp:posOffset>-42297</wp:posOffset>
            </wp:positionH>
            <wp:positionV relativeFrom="paragraph">
              <wp:posOffset>3692414</wp:posOffset>
            </wp:positionV>
            <wp:extent cx="5862955" cy="2917825"/>
            <wp:effectExtent l="0" t="0" r="4445" b="15875"/>
            <wp:wrapTopAndBottom/>
            <wp:docPr id="492" name="Graf 49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009C496A" w:rsidRPr="009C496A">
        <w:rPr>
          <w:noProof/>
          <w:sz w:val="20"/>
          <w:szCs w:val="20"/>
        </w:rPr>
        <w:drawing>
          <wp:anchor distT="0" distB="0" distL="114300" distR="114300" simplePos="0" relativeHeight="252683776" behindDoc="0" locked="0" layoutInCell="1" allowOverlap="1" wp14:anchorId="56A8832B" wp14:editId="4856FAEB">
            <wp:simplePos x="0" y="0"/>
            <wp:positionH relativeFrom="margin">
              <wp:posOffset>-2540</wp:posOffset>
            </wp:positionH>
            <wp:positionV relativeFrom="paragraph">
              <wp:posOffset>207010</wp:posOffset>
            </wp:positionV>
            <wp:extent cx="5862955" cy="2671445"/>
            <wp:effectExtent l="0" t="0" r="4445" b="14605"/>
            <wp:wrapTopAndBottom/>
            <wp:docPr id="449" name="Graf 44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009C496A" w:rsidRPr="009C496A">
        <w:t xml:space="preserve">Z hľadiska návratu do evidencie UoZ z počtu 2 074 zaradených UoZ ukončilo účasť na AOTP </w:t>
      </w:r>
      <w:r w:rsidR="00F841AB">
        <w:t xml:space="preserve"> </w:t>
      </w:r>
      <w:r w:rsidR="009C496A" w:rsidRPr="009C496A">
        <w:t xml:space="preserve">2 074 UoZ. Z toho sa vrátili do evidencie UoZ do 6 mesiacov 276 UoZ (38,87 %), do 3 mesiacov 259 UoZ (36,48 %) a do 1 mesiaca 175 UoZ (24,65 %). </w:t>
      </w:r>
      <w:r w:rsidR="009C496A" w:rsidRPr="009C496A">
        <w:rPr>
          <w:rFonts w:eastAsia="Calibri"/>
        </w:rPr>
        <w:t>Štruktúra je zobrazená v nižšie uvedenom grafe.</w:t>
      </w:r>
    </w:p>
    <w:p w14:paraId="5EA730DA" w14:textId="585C42F0" w:rsidR="00F841AB" w:rsidRDefault="00F841AB" w:rsidP="00F841AB">
      <w:pPr>
        <w:spacing w:before="120" w:after="120"/>
        <w:ind w:firstLine="0"/>
        <w:rPr>
          <w:rFonts w:eastAsia="Calibri"/>
          <w:b/>
        </w:rPr>
      </w:pPr>
    </w:p>
    <w:p w14:paraId="5A5F0D8B" w14:textId="39FB0639" w:rsidR="009C496A" w:rsidRPr="009C496A" w:rsidRDefault="009C496A" w:rsidP="00F841AB">
      <w:pPr>
        <w:pStyle w:val="Nadpis3"/>
      </w:pPr>
      <w:bookmarkStart w:id="153" w:name="_Toc199230857"/>
      <w:r w:rsidRPr="009C496A">
        <w:lastRenderedPageBreak/>
        <w:t>Projekt „Podpora rozvoja zručnosti zamestnancov“</w:t>
      </w:r>
      <w:bookmarkEnd w:id="153"/>
    </w:p>
    <w:p w14:paraId="0B977B1F" w14:textId="3F6086FE" w:rsidR="009C496A" w:rsidRPr="009C496A" w:rsidRDefault="009C496A" w:rsidP="009C496A">
      <w:pPr>
        <w:spacing w:before="120" w:after="120"/>
        <w:ind w:firstLine="0"/>
        <w:rPr>
          <w:color w:val="000000" w:themeColor="text1"/>
        </w:rPr>
      </w:pPr>
      <w:r w:rsidRPr="009C496A">
        <w:rPr>
          <w:rFonts w:eastAsiaTheme="minorEastAsia"/>
          <w:color w:val="000000" w:themeColor="text1"/>
        </w:rPr>
        <w:t xml:space="preserve">Realizácia predmetného projektu s rozpočtom 11 000 000 eur bola </w:t>
      </w:r>
      <w:r w:rsidR="00A92249">
        <w:rPr>
          <w:rFonts w:eastAsiaTheme="minorEastAsia"/>
          <w:color w:val="000000" w:themeColor="text1"/>
        </w:rPr>
        <w:t xml:space="preserve">v období od apríla 2024 do decembra </w:t>
      </w:r>
      <w:r w:rsidRPr="009C496A">
        <w:rPr>
          <w:rFonts w:eastAsiaTheme="minorEastAsia"/>
          <w:color w:val="000000" w:themeColor="text1"/>
        </w:rPr>
        <w:t xml:space="preserve">2024, pričom prijímanie žiadostí bolo do </w:t>
      </w:r>
      <w:r w:rsidR="001B196E">
        <w:rPr>
          <w:rFonts w:eastAsiaTheme="minorEastAsia"/>
          <w:color w:val="000000" w:themeColor="text1"/>
        </w:rPr>
        <w:t xml:space="preserve">31. </w:t>
      </w:r>
      <w:r w:rsidRPr="009C496A">
        <w:rPr>
          <w:rFonts w:eastAsiaTheme="minorEastAsia"/>
          <w:color w:val="000000" w:themeColor="text1"/>
        </w:rPr>
        <w:t>8.</w:t>
      </w:r>
      <w:r w:rsidR="001B196E">
        <w:rPr>
          <w:rFonts w:eastAsiaTheme="minorEastAsia"/>
          <w:color w:val="000000" w:themeColor="text1"/>
        </w:rPr>
        <w:t xml:space="preserve"> </w:t>
      </w:r>
      <w:r w:rsidRPr="009C496A">
        <w:rPr>
          <w:rFonts w:eastAsiaTheme="minorEastAsia"/>
          <w:color w:val="000000" w:themeColor="text1"/>
        </w:rPr>
        <w:t>2024 a vzdelávani</w:t>
      </w:r>
      <w:r w:rsidR="00A92249">
        <w:rPr>
          <w:rFonts w:eastAsiaTheme="minorEastAsia"/>
          <w:color w:val="000000" w:themeColor="text1"/>
        </w:rPr>
        <w:t>e muselo byť ukončené najneskôr</w:t>
      </w:r>
      <w:r w:rsidR="00F841AB">
        <w:rPr>
          <w:rFonts w:eastAsiaTheme="minorEastAsia"/>
          <w:color w:val="000000" w:themeColor="text1"/>
        </w:rPr>
        <w:t xml:space="preserve"> </w:t>
      </w:r>
      <w:r w:rsidRPr="009C496A">
        <w:rPr>
          <w:rFonts w:eastAsiaTheme="minorEastAsia"/>
          <w:color w:val="000000" w:themeColor="text1"/>
        </w:rPr>
        <w:t>k 31.</w:t>
      </w:r>
      <w:r w:rsidR="00A92249">
        <w:rPr>
          <w:rFonts w:eastAsiaTheme="minorEastAsia"/>
          <w:color w:val="000000" w:themeColor="text1"/>
        </w:rPr>
        <w:t xml:space="preserve"> </w:t>
      </w:r>
      <w:r w:rsidRPr="009C496A">
        <w:rPr>
          <w:rFonts w:eastAsiaTheme="minorEastAsia"/>
          <w:color w:val="000000" w:themeColor="text1"/>
        </w:rPr>
        <w:t>10.</w:t>
      </w:r>
      <w:r w:rsidR="00A92249">
        <w:rPr>
          <w:rFonts w:eastAsiaTheme="minorEastAsia"/>
          <w:color w:val="000000" w:themeColor="text1"/>
        </w:rPr>
        <w:t xml:space="preserve"> </w:t>
      </w:r>
      <w:r w:rsidRPr="009C496A">
        <w:rPr>
          <w:rFonts w:eastAsiaTheme="minorEastAsia"/>
          <w:color w:val="000000" w:themeColor="text1"/>
        </w:rPr>
        <w:t xml:space="preserve">2024. </w:t>
      </w:r>
      <w:r w:rsidRPr="009C496A">
        <w:rPr>
          <w:color w:val="000000" w:themeColor="text1"/>
        </w:rPr>
        <w:t>Cieľom projektu bola podpora vzdelávania zamestnancov zamestnávateľa súvisiaca so vznikom nových pracovných miest a udržaním už existujúcich miest. Projekt reagoval na potrebu zlepšenia zručností zamestnancov, na nadobúdanie nových zručností/zvyšovanie a rozvoj zručností zamestnancov, vrátane špecifických zručností podľa požiadaviek zamestnávateľa na pracovné miesto, t. j. na odbornú kompetentnosť vykonávať určitú profesiu.</w:t>
      </w:r>
      <w:r w:rsidRPr="009C496A">
        <w:rPr>
          <w:rFonts w:eastAsiaTheme="minorEastAsia"/>
          <w:color w:val="000000" w:themeColor="text1"/>
        </w:rPr>
        <w:t xml:space="preserve"> Vzdelávanie mohlo byť realizované výhradne prezenčnou formou a maximálna výška príspevku bola stanovená vo výške 150 000 eur. </w:t>
      </w:r>
    </w:p>
    <w:p w14:paraId="36C66089" w14:textId="77777777" w:rsidR="009C496A" w:rsidRPr="009C496A" w:rsidRDefault="009C496A" w:rsidP="009C496A">
      <w:pPr>
        <w:shd w:val="clear" w:color="auto" w:fill="FFFFFF" w:themeFill="background1"/>
        <w:spacing w:before="120" w:after="120"/>
        <w:rPr>
          <w:rFonts w:eastAsiaTheme="minorEastAsia"/>
          <w:i/>
          <w:iCs/>
          <w:color w:val="000000" w:themeColor="text1"/>
        </w:rPr>
      </w:pPr>
      <w:r w:rsidRPr="009C496A">
        <w:rPr>
          <w:rFonts w:eastAsiaTheme="minorEastAsia"/>
          <w:color w:val="000000" w:themeColor="text1"/>
        </w:rPr>
        <w:t>Oprávneným územím, v rámci ktorého sa poskytoval finančný príspevok, boli všetky samosprávne kraje Slovenskej republiky. Oprávneným žiadateľom projektu sa považoval zamestnávateľ v zmysle § 3 zákona o službách zamestnanosti. Oprávnenou cieľovou skupinou projektu boli zamestnanci zamestnávateľa podľa § 4 zákona o službách zamestnanosti</w:t>
      </w:r>
      <w:r w:rsidRPr="009C496A">
        <w:rPr>
          <w:rFonts w:eastAsiaTheme="minorEastAsia"/>
          <w:i/>
          <w:iCs/>
          <w:color w:val="000000" w:themeColor="text1"/>
        </w:rPr>
        <w:t>.</w:t>
      </w:r>
    </w:p>
    <w:p w14:paraId="7D215F52" w14:textId="1195A90A" w:rsidR="009C496A" w:rsidRPr="009C496A" w:rsidRDefault="009C496A" w:rsidP="009C496A">
      <w:pPr>
        <w:spacing w:before="120" w:after="120"/>
        <w:rPr>
          <w:rFonts w:eastAsiaTheme="minorEastAsia"/>
          <w:color w:val="000000" w:themeColor="text1"/>
        </w:rPr>
      </w:pPr>
      <w:r w:rsidRPr="009C496A">
        <w:rPr>
          <w:rFonts w:eastAsiaTheme="minorEastAsia"/>
          <w:color w:val="000000" w:themeColor="text1"/>
        </w:rPr>
        <w:t xml:space="preserve">V roku 2024 bolo prijatých 1 332 žiadostí zamestnávateľov o finančné príspevky na vzdelávanie zamestnancov v celkovej výške 53 499 548,47 eur na 64 051 PM. Schválených bolo 337 žiadostí zamestnávateľov na 22 285 PM. Celkovo bolo zamestnávateľom uhradených 9 426 152,93 eur </w:t>
      </w:r>
      <w:r w:rsidR="00F841AB">
        <w:rPr>
          <w:rFonts w:eastAsiaTheme="minorEastAsia"/>
          <w:color w:val="000000" w:themeColor="text1"/>
        </w:rPr>
        <w:t xml:space="preserve">   </w:t>
      </w:r>
      <w:r w:rsidRPr="009C496A">
        <w:rPr>
          <w:rFonts w:eastAsiaTheme="minorEastAsia"/>
          <w:color w:val="000000" w:themeColor="text1"/>
        </w:rPr>
        <w:t>a podporilo sa 19 493 PM.</w:t>
      </w:r>
    </w:p>
    <w:p w14:paraId="0452C700" w14:textId="48E0D770" w:rsidR="009C496A" w:rsidRPr="009C496A" w:rsidRDefault="00F841AB" w:rsidP="009C496A">
      <w:pPr>
        <w:spacing w:before="120" w:after="120"/>
        <w:ind w:firstLine="0"/>
      </w:pPr>
      <w:r w:rsidRPr="009C496A">
        <w:rPr>
          <w:noProof/>
          <w:sz w:val="20"/>
          <w:szCs w:val="20"/>
        </w:rPr>
        <w:drawing>
          <wp:anchor distT="0" distB="0" distL="114300" distR="114300" simplePos="0" relativeHeight="252690944" behindDoc="0" locked="0" layoutInCell="1" allowOverlap="1" wp14:anchorId="6DE13454" wp14:editId="35A8422B">
            <wp:simplePos x="0" y="0"/>
            <wp:positionH relativeFrom="margin">
              <wp:posOffset>16980</wp:posOffset>
            </wp:positionH>
            <wp:positionV relativeFrom="paragraph">
              <wp:posOffset>1077871</wp:posOffset>
            </wp:positionV>
            <wp:extent cx="5833745" cy="3418840"/>
            <wp:effectExtent l="0" t="0" r="14605" b="10160"/>
            <wp:wrapTopAndBottom/>
            <wp:docPr id="472" name="Graf 47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rsidR="009C496A" w:rsidRPr="009C496A">
        <w:t xml:space="preserve">Z hľadiska právnej formy zamestnávateľa, najväčší záujem o vzdelávanie zamestnancov prejavili spol. s. r. o. v počte 140 (41,54 </w:t>
      </w:r>
      <w:r w:rsidR="009C496A" w:rsidRPr="009C496A">
        <w:rPr>
          <w:lang w:val="en-GB"/>
        </w:rPr>
        <w:t>%</w:t>
      </w:r>
      <w:r w:rsidR="009C496A" w:rsidRPr="009C496A">
        <w:t xml:space="preserve">), za nimi nasledovali rozpočtové organizácie, ktorých bolo 63 (18,69 </w:t>
      </w:r>
      <w:r w:rsidR="009C496A" w:rsidRPr="009C496A">
        <w:rPr>
          <w:lang w:val="en-GB"/>
        </w:rPr>
        <w:t>%</w:t>
      </w:r>
      <w:r w:rsidR="009C496A" w:rsidRPr="009C496A">
        <w:t xml:space="preserve">) a 51 (15,13 </w:t>
      </w:r>
      <w:r w:rsidR="009C496A" w:rsidRPr="009C496A">
        <w:rPr>
          <w:lang w:val="en-GB"/>
        </w:rPr>
        <w:t>%</w:t>
      </w:r>
      <w:r w:rsidR="009C496A" w:rsidRPr="009C496A">
        <w:t>) bolo akciových spoločností. Ďalšie kategórie zamestnávateľov tvorili príspevkové organizácie v počte 19 (5,64 %) a obce a mestá 12  (3,56 %). Inú právnu formu malo 30 zamestnávateľov (8,90 %). Presnú štruktúru podporených zamestnávateľov zobrazuje graf nižšie.</w:t>
      </w:r>
    </w:p>
    <w:p w14:paraId="58369E7D" w14:textId="4A3EB942" w:rsidR="009C496A" w:rsidRPr="009C496A" w:rsidRDefault="009C496A" w:rsidP="00F841AB">
      <w:pPr>
        <w:spacing w:before="240" w:after="120"/>
        <w:ind w:firstLine="0"/>
        <w:rPr>
          <w:color w:val="000000" w:themeColor="text1"/>
        </w:rPr>
      </w:pPr>
      <w:r w:rsidRPr="009C496A">
        <w:rPr>
          <w:color w:val="000000" w:themeColor="text1"/>
        </w:rPr>
        <w:t xml:space="preserve">Z hľadiska štruktúry zaradených zamestnancov, podľa SK NACE  bolo 5 559 zamestnancov </w:t>
      </w:r>
      <w:r w:rsidR="00F841AB">
        <w:rPr>
          <w:color w:val="000000" w:themeColor="text1"/>
        </w:rPr>
        <w:t xml:space="preserve">          </w:t>
      </w:r>
      <w:r w:rsidRPr="009C496A">
        <w:rPr>
          <w:color w:val="000000" w:themeColor="text1"/>
        </w:rPr>
        <w:t>v  oblasti priemyselnej výroby (32,54 %), 4 069 zamestnancov (23,82 %) bolo podporených v oblasti dopravy a skladovania a v zdravotníctve a sociálnej pomoci 4 062 zamestnancov (23,78 %) Celkovú štruktúru zaradených zamestnancov ukazuje nasledujúci graf.</w:t>
      </w:r>
    </w:p>
    <w:p w14:paraId="426B06CA" w14:textId="77777777" w:rsidR="009C496A" w:rsidRPr="009C496A" w:rsidRDefault="009C496A" w:rsidP="009C496A">
      <w:pPr>
        <w:spacing w:before="120" w:after="120"/>
        <w:ind w:firstLine="0"/>
      </w:pPr>
    </w:p>
    <w:p w14:paraId="1EF04402" w14:textId="77777777" w:rsidR="009C496A" w:rsidRPr="009C496A" w:rsidRDefault="009C496A" w:rsidP="009C496A">
      <w:pPr>
        <w:spacing w:before="120" w:after="120"/>
        <w:ind w:firstLine="0"/>
      </w:pPr>
    </w:p>
    <w:p w14:paraId="7EF11E33" w14:textId="77777777" w:rsidR="009C496A" w:rsidRPr="009C496A" w:rsidRDefault="009C496A" w:rsidP="009C496A">
      <w:pPr>
        <w:spacing w:before="120" w:after="120"/>
        <w:ind w:firstLine="0"/>
      </w:pPr>
      <w:r w:rsidRPr="009C496A">
        <w:rPr>
          <w:noProof/>
        </w:rPr>
        <w:lastRenderedPageBreak/>
        <w:drawing>
          <wp:anchor distT="0" distB="0" distL="114300" distR="114300" simplePos="0" relativeHeight="252692992" behindDoc="1" locked="0" layoutInCell="1" allowOverlap="1" wp14:anchorId="127F62A1" wp14:editId="1E6B0C76">
            <wp:simplePos x="0" y="0"/>
            <wp:positionH relativeFrom="margin">
              <wp:posOffset>-26035</wp:posOffset>
            </wp:positionH>
            <wp:positionV relativeFrom="paragraph">
              <wp:posOffset>131445</wp:posOffset>
            </wp:positionV>
            <wp:extent cx="5856605" cy="2994660"/>
            <wp:effectExtent l="0" t="0" r="10795" b="15240"/>
            <wp:wrapNone/>
            <wp:docPr id="51" name="Graf 5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14:paraId="03207FB8" w14:textId="77777777" w:rsidR="009C496A" w:rsidRPr="009C496A" w:rsidRDefault="009C496A" w:rsidP="009C496A">
      <w:pPr>
        <w:spacing w:before="120" w:after="120"/>
        <w:ind w:firstLine="0"/>
      </w:pPr>
    </w:p>
    <w:p w14:paraId="10D06C9F" w14:textId="77777777" w:rsidR="009C496A" w:rsidRPr="009C496A" w:rsidRDefault="009C496A" w:rsidP="009C496A">
      <w:pPr>
        <w:spacing w:before="120" w:after="120"/>
        <w:ind w:firstLine="0"/>
        <w:rPr>
          <w:rFonts w:eastAsia="Calibri"/>
        </w:rPr>
      </w:pPr>
    </w:p>
    <w:p w14:paraId="26E3BAC6" w14:textId="77777777" w:rsidR="009C496A" w:rsidRPr="009C496A" w:rsidRDefault="009C496A" w:rsidP="009C496A">
      <w:pPr>
        <w:spacing w:before="120" w:after="120"/>
        <w:ind w:firstLine="0"/>
        <w:rPr>
          <w:rFonts w:eastAsia="Calibri"/>
        </w:rPr>
      </w:pPr>
    </w:p>
    <w:p w14:paraId="09811274" w14:textId="77777777" w:rsidR="009C496A" w:rsidRPr="009C496A" w:rsidRDefault="009C496A" w:rsidP="009C496A">
      <w:pPr>
        <w:spacing w:before="120" w:after="120"/>
        <w:ind w:firstLine="0"/>
        <w:rPr>
          <w:rFonts w:eastAsia="Calibri"/>
        </w:rPr>
      </w:pPr>
    </w:p>
    <w:p w14:paraId="37AD9B6C" w14:textId="77777777" w:rsidR="009C496A" w:rsidRPr="009C496A" w:rsidRDefault="009C496A" w:rsidP="009C496A">
      <w:pPr>
        <w:spacing w:before="120" w:after="120"/>
        <w:ind w:firstLine="0"/>
        <w:rPr>
          <w:rFonts w:eastAsia="Calibri"/>
        </w:rPr>
      </w:pPr>
    </w:p>
    <w:p w14:paraId="1A304951" w14:textId="77777777" w:rsidR="009C496A" w:rsidRPr="009C496A" w:rsidRDefault="009C496A" w:rsidP="009C496A">
      <w:pPr>
        <w:spacing w:before="120" w:after="120"/>
        <w:ind w:firstLine="0"/>
        <w:rPr>
          <w:rFonts w:eastAsia="Calibri"/>
        </w:rPr>
      </w:pPr>
    </w:p>
    <w:p w14:paraId="49795C0D" w14:textId="77777777" w:rsidR="009C496A" w:rsidRPr="009C496A" w:rsidRDefault="009C496A" w:rsidP="009C496A">
      <w:pPr>
        <w:spacing w:before="120" w:after="120"/>
        <w:ind w:firstLine="0"/>
        <w:rPr>
          <w:rFonts w:eastAsia="Calibri"/>
        </w:rPr>
      </w:pPr>
    </w:p>
    <w:p w14:paraId="4FCD3E55" w14:textId="77777777" w:rsidR="009C496A" w:rsidRPr="009C496A" w:rsidRDefault="009C496A" w:rsidP="009C496A">
      <w:pPr>
        <w:spacing w:before="120" w:after="120"/>
        <w:ind w:firstLine="0"/>
        <w:rPr>
          <w:rFonts w:eastAsia="Calibri"/>
        </w:rPr>
      </w:pPr>
    </w:p>
    <w:p w14:paraId="0FDD1408" w14:textId="77777777" w:rsidR="009C496A" w:rsidRPr="009C496A" w:rsidRDefault="009C496A" w:rsidP="009C496A">
      <w:pPr>
        <w:spacing w:before="120" w:after="120"/>
        <w:ind w:firstLine="0"/>
        <w:rPr>
          <w:rFonts w:eastAsia="Calibri"/>
        </w:rPr>
      </w:pPr>
    </w:p>
    <w:p w14:paraId="2F561F85" w14:textId="77777777" w:rsidR="009C496A" w:rsidRPr="009C496A" w:rsidRDefault="009C496A" w:rsidP="009C496A">
      <w:pPr>
        <w:spacing w:before="120" w:after="120"/>
        <w:ind w:firstLine="0"/>
        <w:rPr>
          <w:rFonts w:eastAsia="Calibri"/>
        </w:rPr>
      </w:pPr>
    </w:p>
    <w:p w14:paraId="1603F607" w14:textId="77777777" w:rsidR="009C496A" w:rsidRPr="009C496A" w:rsidRDefault="009C496A" w:rsidP="009C496A">
      <w:pPr>
        <w:spacing w:before="120" w:after="120"/>
        <w:ind w:firstLine="0"/>
        <w:rPr>
          <w:rFonts w:eastAsia="Calibri"/>
        </w:rPr>
      </w:pPr>
    </w:p>
    <w:p w14:paraId="310233AD" w14:textId="77777777" w:rsidR="009C496A" w:rsidRPr="009C496A" w:rsidRDefault="009C496A" w:rsidP="009C496A">
      <w:pPr>
        <w:spacing w:before="120" w:after="120"/>
        <w:ind w:firstLine="0"/>
        <w:rPr>
          <w:rFonts w:eastAsia="Calibri"/>
        </w:rPr>
      </w:pPr>
    </w:p>
    <w:p w14:paraId="3471F35F" w14:textId="77777777" w:rsidR="009C496A" w:rsidRPr="009C496A" w:rsidRDefault="009C496A" w:rsidP="009C496A">
      <w:pPr>
        <w:spacing w:before="120" w:after="120"/>
        <w:ind w:firstLine="0"/>
        <w:rPr>
          <w:rFonts w:eastAsia="Calibri"/>
        </w:rPr>
      </w:pPr>
      <w:r w:rsidRPr="009C496A">
        <w:rPr>
          <w:rFonts w:eastAsia="Calibri"/>
        </w:rPr>
        <w:t xml:space="preserve">V rámci projektu bolo zaradených 17 085 zamestnancov, z toho 5 857 (34,28%) mužov a 11 228 (65,71 %) žien. </w:t>
      </w:r>
    </w:p>
    <w:p w14:paraId="4412CA83" w14:textId="06C299C8" w:rsidR="009C496A" w:rsidRDefault="00F56CD3" w:rsidP="009C496A">
      <w:pPr>
        <w:spacing w:before="120" w:after="120"/>
        <w:ind w:firstLine="0"/>
      </w:pPr>
      <w:r w:rsidRPr="009C496A">
        <w:rPr>
          <w:noProof/>
          <w:sz w:val="20"/>
          <w:szCs w:val="20"/>
        </w:rPr>
        <w:drawing>
          <wp:anchor distT="0" distB="0" distL="114300" distR="114300" simplePos="0" relativeHeight="252691968" behindDoc="0" locked="0" layoutInCell="1" allowOverlap="1" wp14:anchorId="213F0C01" wp14:editId="26A5DF00">
            <wp:simplePos x="0" y="0"/>
            <wp:positionH relativeFrom="margin">
              <wp:posOffset>-2540</wp:posOffset>
            </wp:positionH>
            <wp:positionV relativeFrom="paragraph">
              <wp:posOffset>922020</wp:posOffset>
            </wp:positionV>
            <wp:extent cx="5833745" cy="2917825"/>
            <wp:effectExtent l="0" t="0" r="14605" b="15875"/>
            <wp:wrapTopAndBottom/>
            <wp:docPr id="52" name="Graf 5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sidR="009C496A" w:rsidRPr="009C496A">
        <w:rPr>
          <w:rFonts w:eastAsia="Calibri"/>
        </w:rPr>
        <w:t xml:space="preserve">Z hľadiska veku zamestnancov, najvyšší podiel zaradených do projektu tvorili zamestnanci vo veku do 30 - 49 rokov v počte 9 424 (55,16 %). Za nimi nasledovali zamestnanci vo veku 50 a viac rokov v počte 6 311 (36,94 %) a veková kategória do 25 - 29 rokov v počte 966 (5,65 %). Najmenej zastúpená kategória 377 osôb (2,21 %) boli ľudia vo veku do 24 rokov - </w:t>
      </w:r>
      <w:r w:rsidR="009C496A" w:rsidRPr="009C496A">
        <w:t>v štruktúre podľa grafu nižšie.</w:t>
      </w:r>
    </w:p>
    <w:p w14:paraId="4A7ABB98" w14:textId="36BE8C50" w:rsidR="002A1920" w:rsidRPr="002A1920" w:rsidRDefault="002A1920" w:rsidP="00EB7FE7">
      <w:pPr>
        <w:pStyle w:val="Nadpis3"/>
        <w:spacing w:before="360" w:after="0"/>
      </w:pPr>
      <w:bookmarkStart w:id="154" w:name="_Toc199230858"/>
      <w:r w:rsidRPr="002A1920">
        <w:rPr>
          <w:lang w:eastAsia="en-US"/>
        </w:rPr>
        <w:t>Centrálne schvaľované projekty</w:t>
      </w:r>
      <w:bookmarkEnd w:id="154"/>
      <w:r w:rsidRPr="002A1920">
        <w:t xml:space="preserve"> </w:t>
      </w:r>
    </w:p>
    <w:p w14:paraId="05D7610A" w14:textId="242F6D24" w:rsidR="002A1920" w:rsidRDefault="002A1920" w:rsidP="002A1920">
      <w:pPr>
        <w:spacing w:before="120" w:after="120"/>
        <w:ind w:firstLine="0"/>
      </w:pPr>
      <w:r>
        <w:t xml:space="preserve">V roku 2024 boli čerpané finančné prostriedky na pilotné regionálne projekty vypracované a schválené Hodnotiacou komisiou ústredia podľa § 54 ods. 1 písm. g) úradmi práce, sociálnych vecí a rodiny Trnava (PCA Slovakia s. r. o.) a Bratislava (Volkswagen Slovakia a. s.). </w:t>
      </w:r>
    </w:p>
    <w:p w14:paraId="32B266BE" w14:textId="77777777" w:rsidR="002A1920" w:rsidRDefault="002A1920" w:rsidP="002A1920">
      <w:pPr>
        <w:spacing w:before="120" w:after="120"/>
        <w:ind w:firstLine="0"/>
      </w:pPr>
      <w:r>
        <w:t xml:space="preserve">V rámci projektu PCA Slovakia s. r. o.  bolo vyčerpaných 107 593 eur a do vzdelávacích aktivít bolo zaradených 264 zamestnancov. </w:t>
      </w:r>
    </w:p>
    <w:p w14:paraId="729247CC" w14:textId="2BC132A8" w:rsidR="002A1920" w:rsidRDefault="002A1920" w:rsidP="002A1920">
      <w:pPr>
        <w:spacing w:before="120" w:after="120"/>
        <w:ind w:firstLine="0"/>
      </w:pPr>
      <w:r>
        <w:t>V rámci projektu Volkswagen Slovakia a. s. bolo vyčerpaných 446 210 eur a do vzdelávacích aktivít bolo zaradených 2 619 zamestnancov.</w:t>
      </w:r>
    </w:p>
    <w:p w14:paraId="01A0EE8E" w14:textId="34A73637" w:rsidR="00585D4C" w:rsidRPr="00EB7FE7" w:rsidRDefault="00585D4C" w:rsidP="00EB7FE7">
      <w:pPr>
        <w:pStyle w:val="Nadpis2"/>
        <w:jc w:val="both"/>
        <w:rPr>
          <w:b w:val="0"/>
        </w:rPr>
      </w:pPr>
      <w:bookmarkStart w:id="155" w:name="_Toc199230859"/>
      <w:r w:rsidRPr="00A05AB1">
        <w:lastRenderedPageBreak/>
        <w:t>Národný projekt „Finančné stimuly pre zamestnanosť"</w:t>
      </w:r>
      <w:r w:rsidR="002A1920">
        <w:t xml:space="preserve">– </w:t>
      </w:r>
      <w:r w:rsidR="002A1920" w:rsidRPr="00EB7FE7">
        <w:rPr>
          <w:b w:val="0"/>
        </w:rPr>
        <w:t>financovaný z ESF</w:t>
      </w:r>
      <w:bookmarkEnd w:id="155"/>
    </w:p>
    <w:p w14:paraId="15EC715D" w14:textId="77777777" w:rsidR="00585D4C" w:rsidRPr="00A05AB1" w:rsidRDefault="00585D4C" w:rsidP="00585D4C">
      <w:pPr>
        <w:spacing w:after="0"/>
        <w:rPr>
          <w:rFonts w:cstheme="minorHAnsi"/>
        </w:rPr>
      </w:pPr>
      <w:r w:rsidRPr="00A05AB1">
        <w:rPr>
          <w:rFonts w:cstheme="minorHAnsi"/>
        </w:rPr>
        <w:t>Národný projekt sa zameriava na zvýšenie šancí na zamestnanie pre znevýhodnených UoZ (ZUoZ) a mladých NEET (not in employment, education or training - nie sú zamestnaní, nepokračujú v procese vzdelávania, ani sa nezúčastňujú odbornej prípravy), ktorí sú UoZ (ďalej len „MUoZ – NEET“) a jeho cieľom je zabezpečiť poskytovanie finančných príspevkov, ktoré zvýšia zamestnanosť a zamestnateľnosť ZUoZ a MUoZ. Cieľovými skupinami projektu sú dlhodobo nezamestnané osoby („ďalej len „DNO“), osoby s nízkym vzdelaním, osoby so zdravotným postihnutím („ďalej len „OZP“), migranti, rodičia malých detí v evidencii úradov, ako aj mladí ľudia vo veku do 30 rokov v situácii NEET, ktorí sú UoZ, a UoZ starší ako 50 rokov. Finančné príspevky budú poskytované počas implementácie zamestnávateľom na vytvorenie trvalo udržateľného pracovného miesta a podporu pri zapracovaní nového zamestnanca, a tiež na úpravu pracovísk pre zamestnávanie OZP. Ďalší typ finančného príspevku bude poskytnutý budúcim samostatne zárobkovo činným osobám (SZČO) na začatie podnikania. Podpora bude poskytnutá pre mladých ľudí za účelom nadobudnutia prvých pracovných skúseností, ktoré budú môcť využiť počas svojej nasledujúcej kariéry.</w:t>
      </w:r>
    </w:p>
    <w:p w14:paraId="7FFBD57F" w14:textId="0B741698" w:rsidR="00585D4C" w:rsidRPr="00A05AB1" w:rsidRDefault="00A05AB1" w:rsidP="00A05AB1">
      <w:pPr>
        <w:spacing w:before="120" w:after="0"/>
        <w:ind w:hanging="6"/>
        <w:rPr>
          <w:rFonts w:eastAsia="Calibri" w:cstheme="minorHAnsi"/>
          <w:bCs/>
        </w:rPr>
      </w:pPr>
      <w:r w:rsidRPr="00A05AB1">
        <w:rPr>
          <w:rFonts w:eastAsia="Calibri" w:cstheme="minorHAnsi"/>
          <w:bCs/>
        </w:rPr>
        <w:t xml:space="preserve">Cieľom národného projektu </w:t>
      </w:r>
      <w:r w:rsidR="00585D4C" w:rsidRPr="00A05AB1">
        <w:rPr>
          <w:rFonts w:eastAsia="Calibri" w:cstheme="minorHAnsi"/>
          <w:bCs/>
        </w:rPr>
        <w:t>je prispieť k zvýšeniu zamestnanosti a zamestnateľnosti ZUoZ a MUoZ - NEET poskytovaním príspevkov.</w:t>
      </w:r>
    </w:p>
    <w:p w14:paraId="0B95E87E" w14:textId="77777777" w:rsidR="00585D4C" w:rsidRPr="00A05AB1" w:rsidRDefault="00585D4C" w:rsidP="00585D4C">
      <w:pPr>
        <w:rPr>
          <w:rFonts w:cstheme="minorHAnsi"/>
        </w:rPr>
      </w:pPr>
      <w:r w:rsidRPr="00A05AB1">
        <w:rPr>
          <w:rFonts w:cstheme="minorHAnsi"/>
        </w:rPr>
        <w:t>Národný projekt je realizovaný v rámci dvoch priorít:</w:t>
      </w:r>
    </w:p>
    <w:p w14:paraId="1104F395" w14:textId="0583EB6C" w:rsidR="00585D4C" w:rsidRPr="00A05AB1" w:rsidRDefault="00585D4C" w:rsidP="00585D4C">
      <w:pPr>
        <w:tabs>
          <w:tab w:val="left" w:pos="1695"/>
        </w:tabs>
        <w:rPr>
          <w:rFonts w:cstheme="minorHAnsi"/>
        </w:rPr>
      </w:pPr>
      <w:r w:rsidRPr="00A05AB1">
        <w:rPr>
          <w:rFonts w:cstheme="minorHAnsi"/>
        </w:rPr>
        <w:t xml:space="preserve">4P1 </w:t>
      </w:r>
      <w:r w:rsidR="00A05AB1">
        <w:rPr>
          <w:rFonts w:cstheme="minorHAnsi"/>
        </w:rPr>
        <w:t xml:space="preserve">- </w:t>
      </w:r>
      <w:r w:rsidRPr="00A05AB1">
        <w:rPr>
          <w:rFonts w:cstheme="minorHAnsi"/>
        </w:rPr>
        <w:t>Adaptabilný a prístupný trh práce</w:t>
      </w:r>
    </w:p>
    <w:p w14:paraId="06014B63" w14:textId="31C0F6B6" w:rsidR="00585D4C" w:rsidRPr="00A05AB1" w:rsidRDefault="00585D4C" w:rsidP="00585D4C">
      <w:pPr>
        <w:rPr>
          <w:rFonts w:cstheme="minorHAnsi"/>
        </w:rPr>
      </w:pPr>
      <w:r w:rsidRPr="00A05AB1">
        <w:rPr>
          <w:rFonts w:cstheme="minorHAnsi"/>
        </w:rPr>
        <w:t>4P4</w:t>
      </w:r>
      <w:r w:rsidR="00A05AB1">
        <w:rPr>
          <w:rFonts w:cstheme="minorHAnsi"/>
        </w:rPr>
        <w:t xml:space="preserve"> - </w:t>
      </w:r>
      <w:r w:rsidRPr="00A05AB1">
        <w:rPr>
          <w:rFonts w:cstheme="minorHAnsi"/>
        </w:rPr>
        <w:t xml:space="preserve"> Záruka pre mladých</w:t>
      </w:r>
    </w:p>
    <w:p w14:paraId="2AB4EA47" w14:textId="2ACB3986" w:rsidR="00585D4C" w:rsidRPr="00A05AB1" w:rsidRDefault="00EB7FE7" w:rsidP="00A05AB1">
      <w:pPr>
        <w:spacing w:before="120" w:after="0"/>
        <w:ind w:hanging="6"/>
        <w:rPr>
          <w:rFonts w:eastAsia="Calibri" w:cstheme="minorHAnsi"/>
          <w:bCs/>
        </w:rPr>
      </w:pPr>
      <w:r>
        <w:rPr>
          <w:rFonts w:eastAsia="Calibri" w:cstheme="minorHAnsi"/>
          <w:bCs/>
        </w:rPr>
        <w:t>Národný projekt sa realizoval</w:t>
      </w:r>
      <w:r w:rsidR="00585D4C" w:rsidRPr="00A05AB1">
        <w:rPr>
          <w:rFonts w:eastAsia="Calibri" w:cstheme="minorHAnsi"/>
          <w:bCs/>
        </w:rPr>
        <w:t xml:space="preserve"> prostredníctvom </w:t>
      </w:r>
      <w:r>
        <w:rPr>
          <w:rFonts w:eastAsia="Calibri" w:cstheme="minorHAnsi"/>
          <w:bCs/>
        </w:rPr>
        <w:t xml:space="preserve">troch </w:t>
      </w:r>
      <w:r w:rsidR="00585D4C" w:rsidRPr="00A05AB1">
        <w:rPr>
          <w:rFonts w:eastAsia="Calibri" w:cstheme="minorHAnsi"/>
          <w:bCs/>
        </w:rPr>
        <w:t>hlavných aktivít:</w:t>
      </w:r>
    </w:p>
    <w:p w14:paraId="798C640E" w14:textId="77777777" w:rsidR="00585D4C" w:rsidRPr="00A05AB1" w:rsidRDefault="00585D4C" w:rsidP="00A05AB1">
      <w:pPr>
        <w:pStyle w:val="Odsekzoznamu"/>
        <w:numPr>
          <w:ilvl w:val="0"/>
          <w:numId w:val="36"/>
        </w:numPr>
        <w:tabs>
          <w:tab w:val="clear" w:pos="720"/>
          <w:tab w:val="num" w:pos="284"/>
        </w:tabs>
        <w:spacing w:before="0" w:after="0"/>
        <w:ind w:left="284" w:hanging="284"/>
        <w:contextualSpacing/>
        <w:rPr>
          <w:rFonts w:eastAsia="Calibri" w:cstheme="minorHAnsi"/>
          <w:bCs/>
        </w:rPr>
      </w:pPr>
      <w:r w:rsidRPr="00706DC5">
        <w:rPr>
          <w:rFonts w:eastAsia="Calibri" w:cstheme="minorHAnsi"/>
          <w:b/>
          <w:bCs/>
        </w:rPr>
        <w:t>Aktivita 1</w:t>
      </w:r>
      <w:r w:rsidRPr="00A05AB1">
        <w:rPr>
          <w:rFonts w:eastAsia="Calibri" w:cstheme="minorHAnsi"/>
          <w:bCs/>
        </w:rPr>
        <w:t xml:space="preserve"> – Vytváranie udržateľných pracovných miest pre znevýhodnených uchádzačov o zamestnanie, vrátane individualizovanej podpory pri ich zapracovaní na vytvorenom pracovnom mieste a Vytváranie udržateľných pracovných miest pre mladých ľudí v situácii NEET</w:t>
      </w:r>
    </w:p>
    <w:p w14:paraId="19E76B1E" w14:textId="3D7659A4" w:rsidR="00585D4C" w:rsidRPr="00A05AB1" w:rsidRDefault="00A05AB1" w:rsidP="00A05AB1">
      <w:pPr>
        <w:pStyle w:val="Odsekzoznamu"/>
        <w:numPr>
          <w:ilvl w:val="1"/>
          <w:numId w:val="36"/>
        </w:numPr>
        <w:tabs>
          <w:tab w:val="clear" w:pos="1440"/>
          <w:tab w:val="num" w:pos="567"/>
        </w:tabs>
        <w:spacing w:before="0" w:after="0"/>
        <w:ind w:left="567" w:hanging="283"/>
        <w:contextualSpacing/>
        <w:rPr>
          <w:rFonts w:eastAsia="Calibri" w:cstheme="minorHAnsi"/>
          <w:bCs/>
        </w:rPr>
      </w:pPr>
      <w:r w:rsidRPr="00706DC5">
        <w:rPr>
          <w:rFonts w:eastAsia="Calibri" w:cstheme="minorHAnsi"/>
          <w:b/>
          <w:bCs/>
        </w:rPr>
        <w:t xml:space="preserve">Podaktivita </w:t>
      </w:r>
      <w:r w:rsidR="00585D4C" w:rsidRPr="00706DC5">
        <w:rPr>
          <w:rFonts w:eastAsia="Calibri" w:cstheme="minorHAnsi"/>
          <w:b/>
          <w:bCs/>
        </w:rPr>
        <w:t>1</w:t>
      </w:r>
      <w:r>
        <w:rPr>
          <w:rFonts w:eastAsia="Calibri" w:cstheme="minorHAnsi"/>
          <w:bCs/>
        </w:rPr>
        <w:t xml:space="preserve"> - </w:t>
      </w:r>
      <w:r w:rsidR="00585D4C" w:rsidRPr="00A05AB1">
        <w:rPr>
          <w:rFonts w:eastAsia="Calibri" w:cstheme="minorHAnsi"/>
          <w:bCs/>
        </w:rPr>
        <w:t>Poskytovanie finančných príspevkov zamestnávateľom (Mentorované zapracovanie)</w:t>
      </w:r>
    </w:p>
    <w:p w14:paraId="5E052574" w14:textId="26506C56" w:rsidR="00585D4C" w:rsidRPr="00A05AB1" w:rsidRDefault="00585D4C" w:rsidP="00A05AB1">
      <w:pPr>
        <w:pStyle w:val="Odsekzoznamu"/>
        <w:numPr>
          <w:ilvl w:val="1"/>
          <w:numId w:val="36"/>
        </w:numPr>
        <w:tabs>
          <w:tab w:val="clear" w:pos="1440"/>
          <w:tab w:val="num" w:pos="567"/>
        </w:tabs>
        <w:spacing w:before="0" w:after="0"/>
        <w:ind w:left="567" w:hanging="283"/>
        <w:contextualSpacing/>
        <w:rPr>
          <w:rFonts w:eastAsia="Calibri" w:cstheme="minorHAnsi"/>
          <w:bCs/>
        </w:rPr>
      </w:pPr>
      <w:r w:rsidRPr="00706DC5">
        <w:rPr>
          <w:rFonts w:eastAsia="Calibri" w:cstheme="minorHAnsi"/>
          <w:b/>
          <w:bCs/>
        </w:rPr>
        <w:t>Podaktivita 2</w:t>
      </w:r>
      <w:r w:rsidRPr="00A05AB1">
        <w:rPr>
          <w:rFonts w:eastAsia="Calibri" w:cstheme="minorHAnsi"/>
          <w:bCs/>
        </w:rPr>
        <w:t xml:space="preserve"> </w:t>
      </w:r>
      <w:r w:rsidR="00A05AB1">
        <w:rPr>
          <w:rFonts w:eastAsia="Calibri" w:cstheme="minorHAnsi"/>
          <w:bCs/>
        </w:rPr>
        <w:t xml:space="preserve">- </w:t>
      </w:r>
      <w:r w:rsidRPr="00A05AB1">
        <w:rPr>
          <w:rFonts w:eastAsia="Calibri" w:cstheme="minorHAnsi"/>
          <w:bCs/>
        </w:rPr>
        <w:t>Príspevok pre zamestnávateľov, ktorí majú zriadené chránené dielne alebo chránené pracoviská (Odmena za umiestnenie na otvorenom trhu práce)</w:t>
      </w:r>
    </w:p>
    <w:p w14:paraId="067ABEE4" w14:textId="5D44C749" w:rsidR="00585D4C" w:rsidRPr="00A05AB1" w:rsidRDefault="00585D4C" w:rsidP="00A05AB1">
      <w:pPr>
        <w:pStyle w:val="Odsekzoznamu"/>
        <w:numPr>
          <w:ilvl w:val="1"/>
          <w:numId w:val="36"/>
        </w:numPr>
        <w:tabs>
          <w:tab w:val="clear" w:pos="1440"/>
          <w:tab w:val="num" w:pos="567"/>
        </w:tabs>
        <w:spacing w:before="0" w:after="0"/>
        <w:ind w:left="567" w:hanging="283"/>
        <w:contextualSpacing/>
        <w:rPr>
          <w:rFonts w:eastAsia="Calibri" w:cstheme="minorHAnsi"/>
          <w:bCs/>
        </w:rPr>
      </w:pPr>
      <w:r w:rsidRPr="00706DC5">
        <w:rPr>
          <w:rFonts w:eastAsia="Calibri" w:cstheme="minorHAnsi"/>
          <w:b/>
          <w:bCs/>
        </w:rPr>
        <w:t>Podaktivita 3</w:t>
      </w:r>
      <w:r w:rsidRPr="00A05AB1">
        <w:rPr>
          <w:rFonts w:eastAsia="Calibri" w:cstheme="minorHAnsi"/>
          <w:bCs/>
        </w:rPr>
        <w:t xml:space="preserve"> </w:t>
      </w:r>
      <w:r w:rsidR="00A05AB1">
        <w:rPr>
          <w:rFonts w:eastAsia="Calibri" w:cstheme="minorHAnsi"/>
          <w:bCs/>
        </w:rPr>
        <w:t xml:space="preserve">- </w:t>
      </w:r>
      <w:r w:rsidRPr="00A05AB1">
        <w:rPr>
          <w:rFonts w:eastAsia="Calibri" w:cstheme="minorHAnsi"/>
          <w:bCs/>
        </w:rPr>
        <w:t xml:space="preserve"> Poskytovanie finančných príspevkov ZUoZ (Motivačný príspevok)</w:t>
      </w:r>
    </w:p>
    <w:p w14:paraId="2DF9EBF3" w14:textId="51CECC43" w:rsidR="00585D4C" w:rsidRPr="00A05AB1" w:rsidRDefault="00585D4C" w:rsidP="00A05AB1">
      <w:pPr>
        <w:pStyle w:val="Odsekzoznamu"/>
        <w:numPr>
          <w:ilvl w:val="1"/>
          <w:numId w:val="36"/>
        </w:numPr>
        <w:tabs>
          <w:tab w:val="clear" w:pos="1440"/>
          <w:tab w:val="num" w:pos="567"/>
        </w:tabs>
        <w:spacing w:before="0" w:after="0"/>
        <w:ind w:left="567" w:hanging="283"/>
        <w:contextualSpacing/>
        <w:rPr>
          <w:rFonts w:eastAsia="Calibri" w:cstheme="minorHAnsi"/>
          <w:bCs/>
        </w:rPr>
      </w:pPr>
      <w:r w:rsidRPr="00706DC5">
        <w:rPr>
          <w:rFonts w:eastAsia="Calibri" w:cstheme="minorHAnsi"/>
          <w:b/>
          <w:bCs/>
        </w:rPr>
        <w:t>Podaktivita 4</w:t>
      </w:r>
      <w:r w:rsidRPr="00A05AB1">
        <w:rPr>
          <w:rFonts w:eastAsia="Calibri" w:cstheme="minorHAnsi"/>
          <w:bCs/>
        </w:rPr>
        <w:t xml:space="preserve"> </w:t>
      </w:r>
      <w:r w:rsidR="00A05AB1">
        <w:rPr>
          <w:rFonts w:eastAsia="Calibri" w:cstheme="minorHAnsi"/>
          <w:bCs/>
        </w:rPr>
        <w:t xml:space="preserve">- </w:t>
      </w:r>
      <w:r w:rsidRPr="00A05AB1">
        <w:rPr>
          <w:rFonts w:eastAsia="Calibri" w:cstheme="minorHAnsi"/>
          <w:bCs/>
        </w:rPr>
        <w:t>Poskytovanie finančných príspevkov zamestnávateľom a súčasne aj ZUoZ (Práca na skúšku)</w:t>
      </w:r>
    </w:p>
    <w:p w14:paraId="67DD88D0" w14:textId="77777777" w:rsidR="00585D4C" w:rsidRPr="00A05AB1" w:rsidRDefault="00585D4C" w:rsidP="00A05AB1">
      <w:pPr>
        <w:pStyle w:val="Odsekzoznamu"/>
        <w:numPr>
          <w:ilvl w:val="1"/>
          <w:numId w:val="36"/>
        </w:numPr>
        <w:tabs>
          <w:tab w:val="clear" w:pos="1440"/>
          <w:tab w:val="num" w:pos="567"/>
        </w:tabs>
        <w:spacing w:before="0" w:after="0"/>
        <w:ind w:left="567" w:hanging="283"/>
        <w:contextualSpacing/>
        <w:rPr>
          <w:rFonts w:eastAsia="Calibri" w:cstheme="minorHAnsi"/>
          <w:bCs/>
        </w:rPr>
      </w:pPr>
      <w:r w:rsidRPr="00706DC5">
        <w:rPr>
          <w:rFonts w:eastAsia="Calibri" w:cstheme="minorHAnsi"/>
          <w:b/>
          <w:bCs/>
        </w:rPr>
        <w:t>Podaktivita 5</w:t>
      </w:r>
      <w:r w:rsidRPr="00A05AB1">
        <w:rPr>
          <w:rFonts w:eastAsia="Calibri" w:cstheme="minorHAnsi"/>
          <w:bCs/>
        </w:rPr>
        <w:t xml:space="preserve"> Udržanie občana so zdravotným postihnutím v zamestnaní na otvorenom trhu práce (Udržanie OZP na otvorenom trhu práce)</w:t>
      </w:r>
    </w:p>
    <w:p w14:paraId="38D694F7" w14:textId="77777777" w:rsidR="00585D4C" w:rsidRPr="00A05AB1" w:rsidRDefault="00585D4C" w:rsidP="00A05AB1">
      <w:pPr>
        <w:pStyle w:val="Odsekzoznamu"/>
        <w:numPr>
          <w:ilvl w:val="0"/>
          <w:numId w:val="36"/>
        </w:numPr>
        <w:tabs>
          <w:tab w:val="clear" w:pos="720"/>
          <w:tab w:val="num" w:pos="284"/>
        </w:tabs>
        <w:spacing w:before="0" w:after="0"/>
        <w:ind w:left="284" w:hanging="284"/>
        <w:contextualSpacing/>
        <w:rPr>
          <w:rFonts w:eastAsia="Calibri" w:cstheme="minorHAnsi"/>
          <w:bCs/>
        </w:rPr>
      </w:pPr>
      <w:r w:rsidRPr="00706DC5">
        <w:rPr>
          <w:rFonts w:eastAsia="Calibri" w:cstheme="minorHAnsi"/>
          <w:b/>
          <w:bCs/>
        </w:rPr>
        <w:t>Aktivita 2</w:t>
      </w:r>
      <w:r w:rsidRPr="00A05AB1">
        <w:rPr>
          <w:rFonts w:eastAsia="Calibri" w:cstheme="minorHAnsi"/>
          <w:bCs/>
        </w:rPr>
        <w:t xml:space="preserve"> – Poskytovanie finančného príspevku na samostatnú zárobkovú činnosť (SZČ)</w:t>
      </w:r>
    </w:p>
    <w:p w14:paraId="1DB4D73E" w14:textId="77777777" w:rsidR="00A05AB1" w:rsidRDefault="00585D4C" w:rsidP="00A05AB1">
      <w:pPr>
        <w:pStyle w:val="Odsekzoznamu"/>
        <w:numPr>
          <w:ilvl w:val="0"/>
          <w:numId w:val="36"/>
        </w:numPr>
        <w:tabs>
          <w:tab w:val="clear" w:pos="720"/>
        </w:tabs>
        <w:spacing w:before="0" w:after="0"/>
        <w:ind w:left="284" w:hanging="284"/>
        <w:contextualSpacing/>
        <w:rPr>
          <w:rFonts w:eastAsia="Calibri" w:cstheme="minorHAnsi"/>
          <w:bCs/>
        </w:rPr>
      </w:pPr>
      <w:r w:rsidRPr="00706DC5">
        <w:rPr>
          <w:rFonts w:eastAsia="Calibri" w:cstheme="minorHAnsi"/>
          <w:b/>
          <w:bCs/>
        </w:rPr>
        <w:t>Aktivita 3</w:t>
      </w:r>
      <w:r w:rsidRPr="00A05AB1">
        <w:rPr>
          <w:rFonts w:eastAsia="Calibri" w:cstheme="minorHAnsi"/>
          <w:bCs/>
        </w:rPr>
        <w:t xml:space="preserve"> – Poskytovanie finančných príspevkov na vykonávanie absolventskej praxe (Prax </w:t>
      </w:r>
      <w:r w:rsidR="00A05AB1">
        <w:rPr>
          <w:rFonts w:eastAsia="Calibri" w:cstheme="minorHAnsi"/>
          <w:bCs/>
        </w:rPr>
        <w:t xml:space="preserve">  </w:t>
      </w:r>
    </w:p>
    <w:p w14:paraId="1B1D95CF" w14:textId="742F17A0" w:rsidR="00585D4C" w:rsidRPr="00A05AB1" w:rsidRDefault="00A05AB1" w:rsidP="00A05AB1">
      <w:pPr>
        <w:spacing w:after="0"/>
        <w:ind w:firstLine="0"/>
        <w:contextualSpacing/>
        <w:rPr>
          <w:rFonts w:eastAsia="Calibri" w:cstheme="minorHAnsi"/>
          <w:bCs/>
        </w:rPr>
      </w:pPr>
      <w:r>
        <w:rPr>
          <w:rFonts w:eastAsia="Calibri" w:cstheme="minorHAnsi"/>
          <w:bCs/>
        </w:rPr>
        <w:t xml:space="preserve">       </w:t>
      </w:r>
      <w:r w:rsidRPr="00A05AB1">
        <w:rPr>
          <w:rFonts w:eastAsia="Calibri" w:cstheme="minorHAnsi"/>
          <w:bCs/>
        </w:rPr>
        <w:t xml:space="preserve">                  </w:t>
      </w:r>
      <w:r w:rsidR="00585D4C" w:rsidRPr="00A05AB1">
        <w:rPr>
          <w:rFonts w:eastAsia="Calibri" w:cstheme="minorHAnsi"/>
          <w:bCs/>
        </w:rPr>
        <w:t>pre mladých)</w:t>
      </w:r>
    </w:p>
    <w:p w14:paraId="0184439F" w14:textId="3D72FC8D" w:rsidR="00585D4C" w:rsidRPr="00BD2E69" w:rsidRDefault="00585D4C" w:rsidP="00415C24">
      <w:pPr>
        <w:pStyle w:val="Nadpis3"/>
        <w:spacing w:before="240" w:after="0"/>
      </w:pPr>
      <w:bookmarkStart w:id="156" w:name="_Toc199230860"/>
      <w:r w:rsidRPr="00BD2E69">
        <w:t xml:space="preserve">Aktivita 1 </w:t>
      </w:r>
      <w:r w:rsidR="00A05AB1" w:rsidRPr="00BD2E69">
        <w:t xml:space="preserve">- </w:t>
      </w:r>
      <w:r w:rsidRPr="00BD2E69">
        <w:t>Vytváranie udržateľných pracovných miest pre znevýhodnených uchádzačov o zamestnanie, vrátane individualizovanej podpory pri ich zapracovaní na vytvorenom pracovnom mieste a Vytváranie udržateľných pracovných miest pre mladých ľudí v situácii NEET.</w:t>
      </w:r>
      <w:bookmarkEnd w:id="156"/>
    </w:p>
    <w:p w14:paraId="36F6B8DC" w14:textId="26FBDBC1" w:rsidR="00585D4C" w:rsidRPr="00E95FAA" w:rsidRDefault="00585D4C" w:rsidP="00415C24">
      <w:pPr>
        <w:pStyle w:val="Nadpis4"/>
        <w:spacing w:before="120" w:after="0"/>
        <w:ind w:left="862" w:hanging="862"/>
      </w:pPr>
      <w:bookmarkStart w:id="157" w:name="_Toc199230861"/>
      <w:r w:rsidRPr="00E95FAA">
        <w:t>Podaktivita 1</w:t>
      </w:r>
      <w:r w:rsidR="00A05AB1" w:rsidRPr="00E95FAA">
        <w:t xml:space="preserve"> -</w:t>
      </w:r>
      <w:r w:rsidRPr="00E95FAA">
        <w:t xml:space="preserve"> Poskytovanie finančných príspevkov zamestnávateľom</w:t>
      </w:r>
      <w:r w:rsidR="00A05AB1" w:rsidRPr="00E95FAA">
        <w:t xml:space="preserve"> </w:t>
      </w:r>
      <w:r w:rsidRPr="00E95FAA">
        <w:t>(Mentorované zapracovanie)</w:t>
      </w:r>
      <w:bookmarkEnd w:id="157"/>
      <w:r w:rsidRPr="00E95FAA">
        <w:t xml:space="preserve"> </w:t>
      </w:r>
    </w:p>
    <w:p w14:paraId="5C553BAB" w14:textId="79900375" w:rsidR="00585D4C" w:rsidRPr="00A05AB1" w:rsidRDefault="00A05AB1" w:rsidP="00A05AB1">
      <w:pPr>
        <w:spacing w:before="120" w:after="0"/>
        <w:ind w:hanging="6"/>
        <w:rPr>
          <w:rFonts w:eastAsia="Calibri" w:cstheme="minorHAnsi"/>
          <w:bCs/>
          <w:lang w:eastAsia="en-US"/>
        </w:rPr>
      </w:pPr>
      <w:r>
        <w:rPr>
          <w:rFonts w:cstheme="minorHAnsi"/>
          <w:color w:val="000000" w:themeColor="text1"/>
        </w:rPr>
        <w:t xml:space="preserve">Realizácia podaktivity 1 - </w:t>
      </w:r>
      <w:r w:rsidRPr="00A05AB1">
        <w:rPr>
          <w:rFonts w:cstheme="minorHAnsi"/>
          <w:color w:val="000000" w:themeColor="text1"/>
        </w:rPr>
        <w:t>Poskytovanie finančných príspevkov zamestnávateľom (ďalej len „mentorované zapracovanie“)</w:t>
      </w:r>
      <w:r w:rsidR="00585D4C" w:rsidRPr="00A05AB1">
        <w:rPr>
          <w:rFonts w:cstheme="minorHAnsi"/>
          <w:color w:val="000000" w:themeColor="text1"/>
        </w:rPr>
        <w:t xml:space="preserve"> </w:t>
      </w:r>
      <w:r>
        <w:rPr>
          <w:rFonts w:cstheme="minorHAnsi"/>
          <w:color w:val="000000" w:themeColor="text1"/>
        </w:rPr>
        <w:t xml:space="preserve">začala v auguste 2024 a mala by trvať do decembra </w:t>
      </w:r>
      <w:r w:rsidR="00585D4C" w:rsidRPr="00A05AB1">
        <w:rPr>
          <w:rFonts w:cstheme="minorHAnsi"/>
          <w:color w:val="000000" w:themeColor="text1"/>
        </w:rPr>
        <w:t xml:space="preserve">2029. Cieľ mentorovaného zapracovania </w:t>
      </w:r>
      <w:r w:rsidR="00585D4C" w:rsidRPr="00A05AB1">
        <w:rPr>
          <w:rFonts w:eastAsia="Calibri" w:cstheme="minorHAnsi"/>
          <w:bCs/>
          <w:lang w:eastAsia="en-US"/>
        </w:rPr>
        <w:t xml:space="preserve">je zameraný na vytváranie udržateľných pracovných miest, ktoré nadviažu na individuálne poradenstvo (nie je podmienkou). Po nástupe do zamestnania, budú podporení zamestnávatelia pri zabezpečovaní mentorovaného zapracovania novoprijatého zamestnanca, čím sa uľahčí jeho adaptácia, podporí nadobúdanie dôvery, pracovných návykov, </w:t>
      </w:r>
      <w:r w:rsidR="00585D4C" w:rsidRPr="00A05AB1">
        <w:rPr>
          <w:rFonts w:eastAsia="Calibri" w:cstheme="minorHAnsi"/>
          <w:bCs/>
          <w:lang w:eastAsia="en-US"/>
        </w:rPr>
        <w:lastRenderedPageBreak/>
        <w:t>ako aj osvojenie si pracovných postupov. Podpora sa poskytne len v nadväznosti na udržateľné a odolné pracovné miesto, a to formou finančných príspevkov pre tých zamestnávateľov, ktorí vytvoria časovo neobmedzované pracovné príležitosti pre osoby, ktoré majú dlhodobo problém nájsť uplatnenie na trhu práce (dlhodobo nezamestnaní, nízko kvalifikovaní, OZP, starší a mladí UoZ, NEET a rodičia malých detí). Mentora určí zamestnávate</w:t>
      </w:r>
      <w:r w:rsidR="00A41E04" w:rsidRPr="00A05AB1">
        <w:rPr>
          <w:rFonts w:eastAsia="Calibri" w:cstheme="minorHAnsi"/>
          <w:bCs/>
          <w:lang w:eastAsia="en-US"/>
        </w:rPr>
        <w:t>ľ z radov svojich zamestnancov.</w:t>
      </w:r>
    </w:p>
    <w:p w14:paraId="547B4736" w14:textId="452A93A2" w:rsidR="00585D4C" w:rsidRPr="00A05AB1" w:rsidRDefault="00EB7FE7" w:rsidP="000F5AEC">
      <w:pPr>
        <w:spacing w:before="120" w:after="0"/>
        <w:ind w:hanging="6"/>
        <w:rPr>
          <w:rFonts w:eastAsia="Calibri" w:cstheme="minorHAnsi"/>
          <w:bCs/>
          <w:lang w:eastAsia="en-US"/>
        </w:rPr>
      </w:pPr>
      <w:r>
        <w:rPr>
          <w:rFonts w:cstheme="minorHAnsi"/>
        </w:rPr>
        <w:t xml:space="preserve">Oprávneným územím </w:t>
      </w:r>
      <w:r w:rsidR="002A1920">
        <w:rPr>
          <w:rFonts w:cstheme="minorHAnsi"/>
        </w:rPr>
        <w:t>je celá Slovenská republika</w:t>
      </w:r>
      <w:r w:rsidR="00585D4C" w:rsidRPr="00A05AB1">
        <w:rPr>
          <w:rFonts w:cstheme="minorHAnsi"/>
        </w:rPr>
        <w:t>.</w:t>
      </w:r>
      <w:r>
        <w:rPr>
          <w:rFonts w:cstheme="minorHAnsi"/>
        </w:rPr>
        <w:t xml:space="preserve"> </w:t>
      </w:r>
      <w:r w:rsidR="00585D4C" w:rsidRPr="00A05AB1">
        <w:rPr>
          <w:rFonts w:eastAsia="Calibri" w:cstheme="minorHAnsi"/>
          <w:bCs/>
          <w:lang w:eastAsia="en-US"/>
        </w:rPr>
        <w:t>Cieľovou skupinou je ZUoZ podľa § 8 ods. 1 písm. b) až i) zákona o službách zamestnanosti, vedený v evidencii UoZ najmenej 1 mesiac a MUoZ – NEET (DNO, OZP), ktorý dosiahol vzdelanie nižšie ako stredné odborné, ostatní ZUoZ – podľa § 8 ods. 1 písm. e), f), g) a i) zákona o službách zamestnanosti a ostatní MUoZ, ak majú stredné odborné vzdelanie  a vyššie a žiadne iné znevýhodnenie, vedení v evidencii UoZ najmenej 1 mesiac.</w:t>
      </w:r>
    </w:p>
    <w:p w14:paraId="023EAF12" w14:textId="41D91289" w:rsidR="00585D4C" w:rsidRPr="00A05AB1" w:rsidRDefault="00585D4C" w:rsidP="00EB7FE7">
      <w:pPr>
        <w:spacing w:before="120" w:after="0"/>
        <w:ind w:hanging="6"/>
        <w:rPr>
          <w:rFonts w:cstheme="minorHAnsi"/>
        </w:rPr>
      </w:pPr>
      <w:r w:rsidRPr="00A05AB1">
        <w:rPr>
          <w:rFonts w:eastAsia="Calibri" w:cstheme="minorHAnsi"/>
        </w:rPr>
        <w:t xml:space="preserve">V roku 2024 bolo prijatých 628 žiadostí zamestnávateľov o finančné príspevky na mentorované zapracovanie, ktorí na tento účel vytvoria nové PM, z toho bolo schválených 582 žiadostí na 617 PM v celkovej dohodnutej výške 3 070 101 </w:t>
      </w:r>
      <w:r w:rsidR="009418BA" w:rsidRPr="00A05AB1">
        <w:rPr>
          <w:rFonts w:eastAsia="Calibri" w:cstheme="minorHAnsi"/>
        </w:rPr>
        <w:t>Eur</w:t>
      </w:r>
      <w:r w:rsidRPr="00A05AB1">
        <w:rPr>
          <w:rFonts w:eastAsia="Calibri" w:cstheme="minorHAnsi"/>
        </w:rPr>
        <w:t>, pričom k 31.</w:t>
      </w:r>
      <w:r w:rsidR="0087079E">
        <w:rPr>
          <w:rFonts w:eastAsia="Calibri" w:cstheme="minorHAnsi"/>
        </w:rPr>
        <w:t xml:space="preserve"> </w:t>
      </w:r>
      <w:r w:rsidRPr="00A05AB1">
        <w:rPr>
          <w:rFonts w:eastAsia="Calibri" w:cstheme="minorHAnsi"/>
        </w:rPr>
        <w:t>12.</w:t>
      </w:r>
      <w:r w:rsidR="0087079E">
        <w:rPr>
          <w:rFonts w:eastAsia="Calibri" w:cstheme="minorHAnsi"/>
        </w:rPr>
        <w:t xml:space="preserve"> </w:t>
      </w:r>
      <w:r w:rsidRPr="00A05AB1">
        <w:rPr>
          <w:rFonts w:eastAsia="Calibri" w:cstheme="minorHAnsi"/>
        </w:rPr>
        <w:t xml:space="preserve">2024 v rámci mentorovaného zapracovania bolo z nich vytvorených 488 PM, do ktorých bolo zaradených 479 UoZ, s čerpaním finančných prostriedkov vo výške 161 772 </w:t>
      </w:r>
      <w:r w:rsidR="009418BA" w:rsidRPr="00A05AB1">
        <w:rPr>
          <w:rFonts w:eastAsia="Calibri" w:cstheme="minorHAnsi"/>
        </w:rPr>
        <w:t>eur</w:t>
      </w:r>
      <w:r w:rsidRPr="00A05AB1">
        <w:rPr>
          <w:rFonts w:eastAsia="Calibri" w:cstheme="minorHAnsi"/>
        </w:rPr>
        <w:t>.</w:t>
      </w:r>
      <w:r w:rsidR="00EB7FE7">
        <w:rPr>
          <w:rFonts w:eastAsia="Calibri" w:cstheme="minorHAnsi"/>
        </w:rPr>
        <w:t xml:space="preserve"> </w:t>
      </w:r>
      <w:r w:rsidR="00A05AB1">
        <w:rPr>
          <w:rFonts w:cstheme="minorHAnsi"/>
        </w:rPr>
        <w:t xml:space="preserve">Z toho v rámci </w:t>
      </w:r>
      <w:r w:rsidR="00A05AB1" w:rsidRPr="0087079E">
        <w:rPr>
          <w:rFonts w:cstheme="minorHAnsi"/>
          <w:u w:val="single"/>
        </w:rPr>
        <w:t xml:space="preserve">priority </w:t>
      </w:r>
      <w:r w:rsidRPr="0087079E">
        <w:rPr>
          <w:rFonts w:cstheme="minorHAnsi"/>
          <w:u w:val="single"/>
        </w:rPr>
        <w:t>4P1</w:t>
      </w:r>
      <w:r w:rsidRPr="00A05AB1">
        <w:rPr>
          <w:rFonts w:cstheme="minorHAnsi"/>
        </w:rPr>
        <w:t xml:space="preserve"> </w:t>
      </w:r>
      <w:r w:rsidR="0087079E">
        <w:rPr>
          <w:rFonts w:cstheme="minorHAnsi"/>
        </w:rPr>
        <w:t xml:space="preserve">- </w:t>
      </w:r>
      <w:r w:rsidRPr="00A05AB1">
        <w:rPr>
          <w:rFonts w:cstheme="minorHAnsi"/>
        </w:rPr>
        <w:t>Adaptabilný a prístupný trh práce bolo prijatých 455 žiadostí zamestnávateľov o finančné príspevky na mentorované zapracovanie, ktorí na tento účel vytvoria nové PM, z toho bolo schválených 424 žiadostí na 453 PM</w:t>
      </w:r>
      <w:r w:rsidRPr="00A05AB1">
        <w:rPr>
          <w:rFonts w:eastAsia="Calibri" w:cstheme="minorHAnsi"/>
        </w:rPr>
        <w:t xml:space="preserve"> v celkovej dohodnutej výške 2 520 396 </w:t>
      </w:r>
      <w:r w:rsidR="009418BA" w:rsidRPr="00A05AB1">
        <w:rPr>
          <w:rFonts w:eastAsia="Calibri" w:cstheme="minorHAnsi"/>
        </w:rPr>
        <w:t>Eur</w:t>
      </w:r>
      <w:r w:rsidRPr="00A05AB1">
        <w:rPr>
          <w:rFonts w:cstheme="minorHAnsi"/>
        </w:rPr>
        <w:t>, pričom k 31.</w:t>
      </w:r>
      <w:r w:rsidR="0087079E">
        <w:rPr>
          <w:rFonts w:cstheme="minorHAnsi"/>
        </w:rPr>
        <w:t xml:space="preserve"> </w:t>
      </w:r>
      <w:r w:rsidRPr="00A05AB1">
        <w:rPr>
          <w:rFonts w:cstheme="minorHAnsi"/>
        </w:rPr>
        <w:t>12.</w:t>
      </w:r>
      <w:r w:rsidR="0087079E">
        <w:rPr>
          <w:rFonts w:cstheme="minorHAnsi"/>
        </w:rPr>
        <w:t xml:space="preserve"> </w:t>
      </w:r>
      <w:r w:rsidRPr="00A05AB1">
        <w:rPr>
          <w:rFonts w:cstheme="minorHAnsi"/>
        </w:rPr>
        <w:t xml:space="preserve">2024 v rámci mentorovaného zapracovania bolo z nich vytvorených 361 PM, do ktorých bolo zaradených 357 UoZ, s čerpaním finančných prostriedkov vo výške 139 923 </w:t>
      </w:r>
      <w:r w:rsidR="009418BA" w:rsidRPr="00A05AB1">
        <w:rPr>
          <w:rFonts w:cstheme="minorHAnsi"/>
        </w:rPr>
        <w:t>eur</w:t>
      </w:r>
      <w:r w:rsidRPr="00A05AB1">
        <w:rPr>
          <w:rFonts w:cstheme="minorHAnsi"/>
        </w:rPr>
        <w:t>.</w:t>
      </w:r>
    </w:p>
    <w:p w14:paraId="72A02EAA" w14:textId="39310143" w:rsidR="00585D4C" w:rsidRPr="00EB7FE7" w:rsidRDefault="00A05AB1" w:rsidP="00EB7FE7">
      <w:pPr>
        <w:spacing w:before="120" w:after="0"/>
        <w:ind w:hanging="6"/>
        <w:rPr>
          <w:rFonts w:cstheme="minorHAnsi"/>
        </w:rPr>
      </w:pPr>
      <w:r>
        <w:rPr>
          <w:rFonts w:cstheme="minorHAnsi"/>
        </w:rPr>
        <w:t xml:space="preserve">Z toho v rámci </w:t>
      </w:r>
      <w:r w:rsidRPr="0087079E">
        <w:rPr>
          <w:rFonts w:cstheme="minorHAnsi"/>
          <w:u w:val="single"/>
        </w:rPr>
        <w:t xml:space="preserve">priority </w:t>
      </w:r>
      <w:r w:rsidR="00585D4C" w:rsidRPr="0087079E">
        <w:rPr>
          <w:rFonts w:cstheme="minorHAnsi"/>
          <w:u w:val="single"/>
        </w:rPr>
        <w:t>4P4</w:t>
      </w:r>
      <w:r w:rsidR="00585D4C" w:rsidRPr="00A05AB1">
        <w:rPr>
          <w:rFonts w:cstheme="minorHAnsi"/>
        </w:rPr>
        <w:t xml:space="preserve"> </w:t>
      </w:r>
      <w:r w:rsidR="0087079E">
        <w:rPr>
          <w:rFonts w:cstheme="minorHAnsi"/>
        </w:rPr>
        <w:t xml:space="preserve">- </w:t>
      </w:r>
      <w:r w:rsidR="00585D4C" w:rsidRPr="00A05AB1">
        <w:rPr>
          <w:rFonts w:cstheme="minorHAnsi"/>
        </w:rPr>
        <w:t>Záruka pre mladých bolo prijatých 173 žiadostí zamestnávateľov o finančné príspevky na mentorované zapracovanie, ktorí na tento účel vytvoria nové PM, z toho bolo schválených 158 žiadostí na 164 PM</w:t>
      </w:r>
      <w:r w:rsidR="00585D4C" w:rsidRPr="00A05AB1">
        <w:rPr>
          <w:rFonts w:eastAsia="Calibri" w:cstheme="minorHAnsi"/>
        </w:rPr>
        <w:t xml:space="preserve"> v celkovej dohodnutej výške 549 705 </w:t>
      </w:r>
      <w:r w:rsidR="009418BA" w:rsidRPr="00A05AB1">
        <w:rPr>
          <w:rFonts w:eastAsia="Calibri" w:cstheme="minorHAnsi"/>
        </w:rPr>
        <w:t>Eur</w:t>
      </w:r>
      <w:r w:rsidR="00585D4C" w:rsidRPr="00A05AB1">
        <w:rPr>
          <w:rFonts w:cstheme="minorHAnsi"/>
        </w:rPr>
        <w:t>, pričom k 31.</w:t>
      </w:r>
      <w:r w:rsidR="000F5AEC">
        <w:rPr>
          <w:rFonts w:cstheme="minorHAnsi"/>
        </w:rPr>
        <w:t xml:space="preserve"> </w:t>
      </w:r>
      <w:r w:rsidR="00585D4C" w:rsidRPr="00A05AB1">
        <w:rPr>
          <w:rFonts w:cstheme="minorHAnsi"/>
        </w:rPr>
        <w:t>12.</w:t>
      </w:r>
      <w:r w:rsidR="000F5AEC">
        <w:rPr>
          <w:rFonts w:cstheme="minorHAnsi"/>
        </w:rPr>
        <w:t xml:space="preserve"> </w:t>
      </w:r>
      <w:r w:rsidR="00585D4C" w:rsidRPr="00A05AB1">
        <w:rPr>
          <w:rFonts w:cstheme="minorHAnsi"/>
        </w:rPr>
        <w:t xml:space="preserve">2024 v rámci mentorovaného zapracovania bolo z nich vytvorených 127 PM, do ktorých bolo zaradených 122 UoZ, s čerpaním finančných prostriedkov vo výške 21 849 </w:t>
      </w:r>
      <w:r w:rsidR="009418BA" w:rsidRPr="00A05AB1">
        <w:rPr>
          <w:rFonts w:cstheme="minorHAnsi"/>
        </w:rPr>
        <w:t>eur</w:t>
      </w:r>
      <w:r w:rsidR="00EB7FE7">
        <w:rPr>
          <w:rFonts w:cstheme="minorHAnsi"/>
        </w:rPr>
        <w:t xml:space="preserve">. </w:t>
      </w:r>
      <w:r w:rsidR="00EB7FE7">
        <w:rPr>
          <w:rFonts w:eastAsia="Calibri"/>
        </w:rPr>
        <w:t>D</w:t>
      </w:r>
      <w:r w:rsidR="00585D4C" w:rsidRPr="00A05AB1">
        <w:rPr>
          <w:rFonts w:eastAsia="Calibri"/>
        </w:rPr>
        <w:t xml:space="preserve">o mentorovaného zapracovania zaradených 479 UoZ, z toho 189 (39,46 </w:t>
      </w:r>
      <w:r w:rsidR="0087079E">
        <w:rPr>
          <w:rFonts w:eastAsia="Calibri"/>
        </w:rPr>
        <w:t xml:space="preserve">%) mužov a 290 (60,54 %) žien. </w:t>
      </w:r>
    </w:p>
    <w:p w14:paraId="062B2DDE" w14:textId="6A8A873A" w:rsidR="00585D4C" w:rsidRPr="00A05AB1" w:rsidRDefault="00585D4C" w:rsidP="0087079E">
      <w:pPr>
        <w:overflowPunct w:val="0"/>
        <w:autoSpaceDE w:val="0"/>
        <w:autoSpaceDN w:val="0"/>
        <w:adjustRightInd w:val="0"/>
        <w:spacing w:before="120" w:after="0"/>
        <w:ind w:firstLine="0"/>
        <w:textAlignment w:val="baseline"/>
      </w:pPr>
      <w:r w:rsidRPr="00A05AB1">
        <w:t xml:space="preserve">Do mentorovaného zapracovania sa v roku 2024 zapojilo 582 zamestnávateľov. Z hľadiska právnej formy zamestnávateľa, najväčší záujem o vytváranie PM prejavili spol. s. r. o. v počte 349 (59,97 </w:t>
      </w:r>
      <w:r w:rsidRPr="00A05AB1">
        <w:rPr>
          <w:lang w:val="en-GB"/>
        </w:rPr>
        <w:t>%</w:t>
      </w:r>
      <w:r w:rsidRPr="00A05AB1">
        <w:t xml:space="preserve">), za nimi nasledovali živnostníci, ktorých bolo 72 (12,37 </w:t>
      </w:r>
      <w:r w:rsidRPr="00A05AB1">
        <w:rPr>
          <w:lang w:val="en-GB"/>
        </w:rPr>
        <w:t>%</w:t>
      </w:r>
      <w:r w:rsidRPr="00A05AB1">
        <w:t xml:space="preserve">) a 61 (10,48 </w:t>
      </w:r>
      <w:r w:rsidRPr="00A05AB1">
        <w:rPr>
          <w:lang w:val="en-GB"/>
        </w:rPr>
        <w:t>%</w:t>
      </w:r>
      <w:r w:rsidRPr="00A05AB1">
        <w:t>) bolo obcí a miest. Ďalšie kategórie zamestnávateľov tvorili rozpočtové organizácie – 25 (4,30 %), združenia v počte 18 (3,09 %), mimovládne organizácie v počte 10 (1,72 %), príspevkové organizácie v počte 8 (1,37 %) a rovnakú časť tvorili akciové spoločnosti a záujmové združenie v počte 3 (0,52%) a najmenšiu časť tvorila 1 cirkevná organizácia v rovnakom počte so živnostníkom SHR (0,17 %). Inú právnu formu malo 31 zamestnávateľov (5,33 %), v štruktúre podľa grafu nižšie.</w:t>
      </w:r>
    </w:p>
    <w:p w14:paraId="17084158" w14:textId="5F72AB7D" w:rsidR="00A34B93" w:rsidRPr="00A05AB1" w:rsidRDefault="00CF64B9" w:rsidP="005258C1">
      <w:pPr>
        <w:autoSpaceDE w:val="0"/>
        <w:autoSpaceDN w:val="0"/>
        <w:adjustRightInd w:val="0"/>
        <w:spacing w:before="120" w:after="120"/>
        <w:ind w:firstLine="0"/>
        <w:jc w:val="left"/>
        <w:rPr>
          <w:lang w:eastAsia="cs-CZ"/>
        </w:rPr>
      </w:pPr>
      <w:r w:rsidRPr="00CF64B9">
        <w:rPr>
          <w:noProof/>
          <w:sz w:val="20"/>
          <w:szCs w:val="20"/>
        </w:rPr>
        <w:drawing>
          <wp:anchor distT="0" distB="0" distL="114300" distR="114300" simplePos="0" relativeHeight="252697088" behindDoc="0" locked="0" layoutInCell="1" allowOverlap="1" wp14:anchorId="4F32B277" wp14:editId="0E998F35">
            <wp:simplePos x="0" y="0"/>
            <wp:positionH relativeFrom="margin">
              <wp:posOffset>6655</wp:posOffset>
            </wp:positionH>
            <wp:positionV relativeFrom="paragraph">
              <wp:posOffset>64745</wp:posOffset>
            </wp:positionV>
            <wp:extent cx="5862955" cy="2465222"/>
            <wp:effectExtent l="0" t="0" r="4445" b="11430"/>
            <wp:wrapNone/>
            <wp:docPr id="6" name="Graf 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p>
    <w:p w14:paraId="7532E823" w14:textId="77777777" w:rsidR="00A34B93" w:rsidRPr="00A05AB1" w:rsidRDefault="00A34B93" w:rsidP="005258C1">
      <w:pPr>
        <w:autoSpaceDE w:val="0"/>
        <w:autoSpaceDN w:val="0"/>
        <w:adjustRightInd w:val="0"/>
        <w:spacing w:before="120" w:after="120"/>
        <w:ind w:firstLine="0"/>
        <w:jc w:val="left"/>
        <w:rPr>
          <w:lang w:eastAsia="cs-CZ"/>
        </w:rPr>
      </w:pPr>
    </w:p>
    <w:p w14:paraId="7F962C64" w14:textId="77777777" w:rsidR="00A34B93" w:rsidRPr="00A05AB1" w:rsidRDefault="00A34B93" w:rsidP="005258C1">
      <w:pPr>
        <w:autoSpaceDE w:val="0"/>
        <w:autoSpaceDN w:val="0"/>
        <w:adjustRightInd w:val="0"/>
        <w:spacing w:before="120" w:after="120"/>
        <w:ind w:firstLine="0"/>
        <w:jc w:val="left"/>
        <w:rPr>
          <w:lang w:eastAsia="cs-CZ"/>
        </w:rPr>
      </w:pPr>
    </w:p>
    <w:p w14:paraId="1D5471B8" w14:textId="77777777" w:rsidR="00A34B93" w:rsidRPr="00A05AB1" w:rsidRDefault="00A34B93" w:rsidP="005258C1">
      <w:pPr>
        <w:autoSpaceDE w:val="0"/>
        <w:autoSpaceDN w:val="0"/>
        <w:adjustRightInd w:val="0"/>
        <w:spacing w:before="120" w:after="120"/>
        <w:ind w:firstLine="0"/>
        <w:jc w:val="left"/>
        <w:rPr>
          <w:lang w:eastAsia="cs-CZ"/>
        </w:rPr>
      </w:pPr>
    </w:p>
    <w:p w14:paraId="490FBE7C" w14:textId="77777777" w:rsidR="00A34B93" w:rsidRPr="00A05AB1" w:rsidRDefault="00A34B93" w:rsidP="005258C1">
      <w:pPr>
        <w:autoSpaceDE w:val="0"/>
        <w:autoSpaceDN w:val="0"/>
        <w:adjustRightInd w:val="0"/>
        <w:spacing w:before="120" w:after="120"/>
        <w:ind w:firstLine="0"/>
        <w:jc w:val="left"/>
        <w:rPr>
          <w:lang w:eastAsia="cs-CZ"/>
        </w:rPr>
      </w:pPr>
    </w:p>
    <w:p w14:paraId="599FCBE0" w14:textId="77777777" w:rsidR="00A34B93" w:rsidRPr="00A05AB1" w:rsidRDefault="00A34B93" w:rsidP="005258C1">
      <w:pPr>
        <w:autoSpaceDE w:val="0"/>
        <w:autoSpaceDN w:val="0"/>
        <w:adjustRightInd w:val="0"/>
        <w:spacing w:before="120" w:after="120"/>
        <w:ind w:firstLine="0"/>
        <w:jc w:val="left"/>
        <w:rPr>
          <w:lang w:eastAsia="cs-CZ"/>
        </w:rPr>
      </w:pPr>
    </w:p>
    <w:p w14:paraId="77EC3133" w14:textId="68900999" w:rsidR="00A34B93" w:rsidRPr="00A05AB1" w:rsidRDefault="00A34B93" w:rsidP="00A34B93">
      <w:pPr>
        <w:autoSpaceDE w:val="0"/>
        <w:autoSpaceDN w:val="0"/>
        <w:adjustRightInd w:val="0"/>
        <w:spacing w:after="0"/>
        <w:ind w:firstLine="0"/>
        <w:jc w:val="left"/>
        <w:rPr>
          <w:lang w:eastAsia="cs-CZ"/>
        </w:rPr>
      </w:pPr>
    </w:p>
    <w:p w14:paraId="70B7F663" w14:textId="51BB2986" w:rsidR="00A34B93" w:rsidRPr="00A05AB1" w:rsidRDefault="00E610A8" w:rsidP="00A34B93">
      <w:pPr>
        <w:spacing w:after="0"/>
        <w:rPr>
          <w:rFonts w:eastAsia="Calibri" w:cstheme="minorHAnsi"/>
        </w:rPr>
      </w:pPr>
      <w:r w:rsidRPr="00A05AB1">
        <w:rPr>
          <w:noProof/>
          <w:sz w:val="20"/>
          <w:szCs w:val="20"/>
        </w:rPr>
        <w:lastRenderedPageBreak/>
        <w:drawing>
          <wp:anchor distT="0" distB="0" distL="114300" distR="114300" simplePos="0" relativeHeight="252599808" behindDoc="0" locked="0" layoutInCell="1" allowOverlap="1" wp14:anchorId="266314CB" wp14:editId="7A13BD3D">
            <wp:simplePos x="0" y="0"/>
            <wp:positionH relativeFrom="margin">
              <wp:align>left</wp:align>
            </wp:positionH>
            <wp:positionV relativeFrom="paragraph">
              <wp:posOffset>1150620</wp:posOffset>
            </wp:positionV>
            <wp:extent cx="5751830" cy="2710815"/>
            <wp:effectExtent l="0" t="0" r="1270" b="13335"/>
            <wp:wrapTopAndBottom/>
            <wp:docPr id="464" name="Graf 46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sidR="00A34B93" w:rsidRPr="00A05AB1">
        <w:rPr>
          <w:rFonts w:eastAsia="Calibri" w:cstheme="minorHAnsi"/>
        </w:rPr>
        <w:t>Z hľadiska vekovej štruktúry, najväčšiu skupinu tvorili UoZ vo veku od 30 do 49 rokov v počte 204 UoZ (42,59 %). Druhou skupinou boli UoZ 50 a viac rokov v počte 150 UoZ (31,32 %), treťou skupinou boli UoZ do 24 rokov (14,61 %) a poslednou skupinou boli UoZ od 25 do 29 rokov v počte 55 UoZ (11,48 %) ,  pričom 125 UoZ spĺňalo vekovú skupinu do 30 rokov mínus jeden deň. Počet zaradených UoZ na mentorované zapracovanie podľa vekovej štruktúry je vyjadrený v štruktúre podľa grafu nižšie.</w:t>
      </w:r>
    </w:p>
    <w:p w14:paraId="1ECC98DC" w14:textId="45ECB86E" w:rsidR="00A34B93" w:rsidRPr="00A05AB1" w:rsidRDefault="00CF64B9" w:rsidP="00706DC5">
      <w:pPr>
        <w:spacing w:before="120" w:after="120"/>
        <w:ind w:firstLine="0"/>
      </w:pPr>
      <w:r w:rsidRPr="00A05AB1">
        <w:rPr>
          <w:noProof/>
          <w:sz w:val="20"/>
          <w:szCs w:val="20"/>
        </w:rPr>
        <w:drawing>
          <wp:anchor distT="0" distB="0" distL="114300" distR="114300" simplePos="0" relativeHeight="252601856" behindDoc="0" locked="0" layoutInCell="1" allowOverlap="1" wp14:anchorId="7528FB8F" wp14:editId="1C87E4F1">
            <wp:simplePos x="0" y="0"/>
            <wp:positionH relativeFrom="margin">
              <wp:posOffset>0</wp:posOffset>
            </wp:positionH>
            <wp:positionV relativeFrom="paragraph">
              <wp:posOffset>3870794</wp:posOffset>
            </wp:positionV>
            <wp:extent cx="5862955" cy="2968625"/>
            <wp:effectExtent l="0" t="0" r="4445" b="3175"/>
            <wp:wrapTopAndBottom/>
            <wp:docPr id="467" name="Graf 46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00A34B93" w:rsidRPr="00A05AB1">
        <w:rPr>
          <w:bCs/>
        </w:rPr>
        <w:t>Z hľadiska doby evidencie</w:t>
      </w:r>
      <w:r w:rsidR="00A34B93" w:rsidRPr="00A05AB1">
        <w:t>, pred zaradením na mentorované zapracovanie v roku 2024 bolo najviac 132 UoZ (27,56 %) v evidencii UoZ od 13 do 24 mesiacov, od 0 do 3 mesiacov bolo v evidencii 96 UoZ (20,04 %), od 7 do 12 mesiacov bolo v evidencii 93 UoZ (19,42 %), nad 24 mesiacov bolo v evidencii 81 UoZ (16,91 %), od 4 do 6 mesiacov bolo v evidencii 77 UoZ</w:t>
      </w:r>
      <w:r w:rsidR="00706DC5">
        <w:t xml:space="preserve">      </w:t>
      </w:r>
      <w:r w:rsidR="00A34B93" w:rsidRPr="00A05AB1">
        <w:t xml:space="preserve"> (16,08 %), v štruktúre podľa grafu nižšie.</w:t>
      </w:r>
    </w:p>
    <w:p w14:paraId="66F8E695" w14:textId="43C5DE6E" w:rsidR="00A34B93" w:rsidRPr="00A05AB1" w:rsidRDefault="00A34B93" w:rsidP="00706DC5">
      <w:pPr>
        <w:spacing w:before="240" w:after="120"/>
        <w:ind w:firstLine="0"/>
      </w:pPr>
      <w:r w:rsidRPr="00A05AB1">
        <w:rPr>
          <w:bCs/>
        </w:rPr>
        <w:t>Z hľadiska profesie</w:t>
      </w:r>
      <w:r w:rsidRPr="00A05AB1">
        <w:t xml:space="preserve"> (SK ISCO), ktorú v rámci mentorovaného zapracovania najväčšiu skupinu tvorili UoZ, ktorí pracovali ako pracovníci v službách a obchode v počte 135 UoZ, čo je 28,18 % z celkového počtu 479 zaradených UoZ. Ďalšou väčšou skupinou boli pomocní a nekvalifikovaní pracovníci, ktorých bolo 99 UoZ (20,67 %), administratívni pracovníci v počte 94 UoZ (19,62 %), technici a odborní pracovníci v počte 45 UoZ (9,39 %), kvalifikovaní pracovníci a remeselníci v počte 44 UoZ (9,19 %), špecialisti v počte 42 UoZ (8,77 %). Ďalšími skupinami boli operátori a montéri strojov a zariadení v počte 15 UoZ (3,13 %), kvalifikovaní </w:t>
      </w:r>
      <w:r w:rsidRPr="00A05AB1">
        <w:lastRenderedPageBreak/>
        <w:t xml:space="preserve">pracovníci v poľnohospodárstve, lesníctve a rybárstve v počte 4 UoZ (0,84 %) a zákonodarcovia, </w:t>
      </w:r>
      <w:r w:rsidR="00CF64B9" w:rsidRPr="00A05AB1">
        <w:rPr>
          <w:noProof/>
          <w:sz w:val="20"/>
          <w:szCs w:val="20"/>
        </w:rPr>
        <w:drawing>
          <wp:anchor distT="0" distB="0" distL="114300" distR="114300" simplePos="0" relativeHeight="252603904" behindDoc="0" locked="0" layoutInCell="1" allowOverlap="1" wp14:anchorId="68124609" wp14:editId="54F509E0">
            <wp:simplePos x="0" y="0"/>
            <wp:positionH relativeFrom="margin">
              <wp:posOffset>-2540</wp:posOffset>
            </wp:positionH>
            <wp:positionV relativeFrom="paragraph">
              <wp:posOffset>427355</wp:posOffset>
            </wp:positionV>
            <wp:extent cx="5862955" cy="3331210"/>
            <wp:effectExtent l="0" t="0" r="4445" b="2540"/>
            <wp:wrapTopAndBottom/>
            <wp:docPr id="468" name="Graf 46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Pr="00A05AB1">
        <w:t>riadiaci pracovníci v počte 1 UoZ (0,21 %), v štruktúre podľa grafu nižšie.</w:t>
      </w:r>
    </w:p>
    <w:p w14:paraId="23F01B51" w14:textId="384FA6EB" w:rsidR="00A34B93" w:rsidRPr="00A34B93" w:rsidRDefault="00CF64B9" w:rsidP="00CF64B9">
      <w:pPr>
        <w:spacing w:before="240" w:after="0"/>
        <w:ind w:firstLine="0"/>
        <w:rPr>
          <w:rFonts w:eastAsia="Calibri"/>
        </w:rPr>
      </w:pPr>
      <w:r w:rsidRPr="00084604">
        <w:rPr>
          <w:noProof/>
          <w:sz w:val="20"/>
          <w:szCs w:val="20"/>
        </w:rPr>
        <w:drawing>
          <wp:anchor distT="0" distB="0" distL="114300" distR="114300" simplePos="0" relativeHeight="252699136" behindDoc="0" locked="0" layoutInCell="1" allowOverlap="1" wp14:anchorId="46E00F31" wp14:editId="5D7B1982">
            <wp:simplePos x="0" y="0"/>
            <wp:positionH relativeFrom="margin">
              <wp:posOffset>-2540</wp:posOffset>
            </wp:positionH>
            <wp:positionV relativeFrom="paragraph">
              <wp:posOffset>5065395</wp:posOffset>
            </wp:positionV>
            <wp:extent cx="5862955" cy="3450590"/>
            <wp:effectExtent l="0" t="0" r="4445" b="16510"/>
            <wp:wrapTopAndBottom/>
            <wp:docPr id="469" name="Graf 46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00A34B93" w:rsidRPr="00A05AB1">
        <w:rPr>
          <w:rFonts w:eastAsia="Calibri"/>
        </w:rPr>
        <w:t>V rámci štruktúry UoZ zaradených na mentorované zapracovanie z celkového počtu 479 UoZ  bolo 459 znevýhodnených UoZ. 215 UoZ malo znevýhodnenie – dlhodobo nezamestnaný občan (28,44 %) a 232 UoZ (30,69 %), ktorí najmenej 12 po sebe nasledujúcich kalendárnych mesiacov pred zaradením do evidencie UoZ nemali pravidelne platené zamestnanie, občanov nad 50 rokov 150 UoZ (19,84 %) a 25 UoZ občanov so ZP (3,31 %), 66 občanov so vzdelaním nižším ako stredným odborným (8,73 %), 9 osamelých občanov - starostlivosť o odkázanú osobu/starajúci sa o dieťa (1,19 %), 14 občanov, ktorí ukončili poberanie materskej dávky/rodičovského príspevku (1,85 %) a 45 absolventov škôl (5,95 %) UoZ môže zároveň spĺňať viac znevýhodnení naraz, v štruktúre</w:t>
      </w:r>
      <w:r w:rsidR="00A34B93" w:rsidRPr="00A05AB1">
        <w:t xml:space="preserve"> podľa grafu nižšie.</w:t>
      </w:r>
    </w:p>
    <w:p w14:paraId="215ECB95" w14:textId="0080C5C6" w:rsidR="00A34B93" w:rsidRDefault="00A34B93" w:rsidP="00A34B93">
      <w:pPr>
        <w:spacing w:after="0"/>
        <w:ind w:firstLine="0"/>
        <w:rPr>
          <w:rFonts w:eastAsia="Calibri" w:cstheme="minorHAnsi"/>
        </w:rPr>
      </w:pPr>
    </w:p>
    <w:p w14:paraId="672FDAAD" w14:textId="191967D2" w:rsidR="00CF64B9" w:rsidRDefault="00CF64B9" w:rsidP="00A34B93">
      <w:pPr>
        <w:spacing w:after="0"/>
        <w:ind w:firstLine="0"/>
        <w:rPr>
          <w:rFonts w:eastAsia="Calibri" w:cstheme="minorHAnsi"/>
        </w:rPr>
      </w:pPr>
    </w:p>
    <w:p w14:paraId="06EDAA35" w14:textId="52B439CB" w:rsidR="00CF64B9" w:rsidRPr="00706DC5" w:rsidRDefault="00CF64B9" w:rsidP="00E7729D">
      <w:pPr>
        <w:pStyle w:val="Nadpis4"/>
        <w:rPr>
          <w:i/>
        </w:rPr>
      </w:pPr>
      <w:bookmarkStart w:id="158" w:name="_Toc199230862"/>
      <w:r w:rsidRPr="00706DC5">
        <w:lastRenderedPageBreak/>
        <w:t xml:space="preserve">Podaktivita 2 </w:t>
      </w:r>
      <w:r w:rsidR="00706DC5">
        <w:t xml:space="preserve">- </w:t>
      </w:r>
      <w:r w:rsidRPr="00706DC5">
        <w:t>Príspevok pre zamestnávateľov, ktorí majú zriadené chránené dielne alebo chránené pracoviská (Odmena za umiestnenie na otvorenom trhu práce)</w:t>
      </w:r>
      <w:bookmarkEnd w:id="158"/>
    </w:p>
    <w:p w14:paraId="66A75A4A" w14:textId="5C1302AC" w:rsidR="00CF64B9" w:rsidRPr="00CF64B9" w:rsidRDefault="00CF64B9" w:rsidP="00CF64B9">
      <w:pPr>
        <w:spacing w:after="0"/>
        <w:ind w:firstLine="0"/>
        <w:rPr>
          <w:rFonts w:eastAsia="Calibri" w:cstheme="minorHAnsi"/>
        </w:rPr>
      </w:pPr>
      <w:r w:rsidRPr="00CF64B9">
        <w:rPr>
          <w:rFonts w:eastAsia="Calibri" w:cstheme="minorHAnsi"/>
        </w:rPr>
        <w:t>Realizácia podaktivity 2 začala 1. 6. 2024 a je naplánovaná do septembra 2029. Realizuje sa</w:t>
      </w:r>
      <w:r w:rsidR="00706DC5">
        <w:rPr>
          <w:rFonts w:eastAsia="Calibri" w:cstheme="minorHAnsi"/>
        </w:rPr>
        <w:t xml:space="preserve">         </w:t>
      </w:r>
      <w:r w:rsidRPr="00CF64B9">
        <w:rPr>
          <w:rFonts w:eastAsia="Calibri" w:cstheme="minorHAnsi"/>
        </w:rPr>
        <w:t xml:space="preserve"> v rámci celej Slovenskej republiky.</w:t>
      </w:r>
    </w:p>
    <w:p w14:paraId="50F89AD9" w14:textId="77777777" w:rsidR="00CF64B9" w:rsidRPr="00CF64B9" w:rsidRDefault="00CF64B9" w:rsidP="00706DC5">
      <w:pPr>
        <w:spacing w:before="120" w:after="0"/>
        <w:ind w:firstLine="0"/>
        <w:rPr>
          <w:rFonts w:eastAsia="Calibri" w:cstheme="minorHAnsi"/>
        </w:rPr>
      </w:pPr>
      <w:r w:rsidRPr="00CF64B9">
        <w:rPr>
          <w:rFonts w:eastAsia="Calibri" w:cstheme="minorHAnsi"/>
        </w:rPr>
        <w:t>Jej cieľom je podpora zamestnávateľov, ktorí majú zriadené chránené dielne alebo chránené pracoviská pri umiestňovaní ich zamestnancov – občanov so zdravotným postihnutím na otvorený trh práce (t. j. mimo chránených dielní, chránených pracovísk) prostredníctvom odmeny na podporu ich motivácie k prechodu ich zamestnancov z chráneného zamestnania na otvorený trh práce. Pod otvoreným trhom práce rozumie trvalé zamestnanie bez využitia ďalších podporných mechanizmov a príspevkov AOTP na pracovnom mieste u zamestnávateľa, ktorý nemá zriadenú chránenú dielňu alebo chránené pracovisko a nie je sociálnym podnikom v zmysle zákona o sociálnej ekonomike.</w:t>
      </w:r>
    </w:p>
    <w:p w14:paraId="4F1275CB" w14:textId="2816930D" w:rsidR="00CF64B9" w:rsidRPr="00CF64B9" w:rsidRDefault="00CF64B9" w:rsidP="00706DC5">
      <w:pPr>
        <w:spacing w:before="120" w:after="0"/>
        <w:ind w:firstLine="0"/>
        <w:rPr>
          <w:rFonts w:eastAsia="Calibri" w:cstheme="minorHAnsi"/>
        </w:rPr>
      </w:pPr>
      <w:r w:rsidRPr="00CF64B9">
        <w:rPr>
          <w:rFonts w:eastAsia="Calibri" w:cstheme="minorHAnsi"/>
        </w:rPr>
        <w:t xml:space="preserve">Oprávnenou cieľovou skupinou </w:t>
      </w:r>
      <w:r w:rsidR="00706DC5">
        <w:rPr>
          <w:rFonts w:eastAsia="Calibri" w:cstheme="minorHAnsi"/>
        </w:rPr>
        <w:t xml:space="preserve">je </w:t>
      </w:r>
      <w:r w:rsidRPr="00CF64B9">
        <w:rPr>
          <w:rFonts w:eastAsia="Calibri" w:cstheme="minorHAnsi"/>
        </w:rPr>
        <w:t xml:space="preserve">v rámci </w:t>
      </w:r>
      <w:r w:rsidRPr="00706DC5">
        <w:rPr>
          <w:rFonts w:eastAsia="Calibri" w:cstheme="minorHAnsi"/>
          <w:u w:val="single"/>
        </w:rPr>
        <w:t>priority 4P1</w:t>
      </w:r>
      <w:r w:rsidRPr="00CF64B9">
        <w:rPr>
          <w:rFonts w:eastAsia="Calibri" w:cstheme="minorHAnsi"/>
        </w:rPr>
        <w:t xml:space="preserve"> </w:t>
      </w:r>
      <w:r w:rsidR="00706DC5">
        <w:rPr>
          <w:rFonts w:eastAsia="Calibri" w:cstheme="minorHAnsi"/>
        </w:rPr>
        <w:t xml:space="preserve">- </w:t>
      </w:r>
      <w:r w:rsidRPr="00CF64B9">
        <w:rPr>
          <w:rFonts w:eastAsia="Calibri" w:cstheme="minorHAnsi"/>
        </w:rPr>
        <w:t>Adaptabilný a prístupný trh práce - zamestnanec - občan so zdravotným postihnutím vo veku od 30 rokov, tzn. 30 rokov plus 1 deň a</w:t>
      </w:r>
      <w:r w:rsidR="00706DC5">
        <w:rPr>
          <w:rFonts w:eastAsia="Calibri" w:cstheme="minorHAnsi"/>
        </w:rPr>
        <w:t xml:space="preserve"> </w:t>
      </w:r>
      <w:r w:rsidRPr="00CF64B9">
        <w:rPr>
          <w:rFonts w:eastAsia="Calibri" w:cstheme="minorHAnsi"/>
        </w:rPr>
        <w:t xml:space="preserve">v rámci </w:t>
      </w:r>
      <w:r w:rsidRPr="00706DC5">
        <w:rPr>
          <w:rFonts w:eastAsia="Calibri" w:cstheme="minorHAnsi"/>
          <w:u w:val="single"/>
        </w:rPr>
        <w:t>priority 4P4</w:t>
      </w:r>
      <w:r w:rsidRPr="00CF64B9">
        <w:rPr>
          <w:rFonts w:eastAsia="Calibri" w:cstheme="minorHAnsi"/>
        </w:rPr>
        <w:t xml:space="preserve"> </w:t>
      </w:r>
      <w:r w:rsidR="00706DC5">
        <w:rPr>
          <w:rFonts w:eastAsia="Calibri" w:cstheme="minorHAnsi"/>
        </w:rPr>
        <w:t xml:space="preserve">- </w:t>
      </w:r>
      <w:r w:rsidRPr="00CF64B9">
        <w:rPr>
          <w:rFonts w:eastAsia="Calibri" w:cstheme="minorHAnsi"/>
        </w:rPr>
        <w:t>Záruka pre mladých - zamestnanec - občan so zdravotným postihnutím</w:t>
      </w:r>
      <w:r w:rsidR="00706DC5">
        <w:rPr>
          <w:rFonts w:eastAsia="Calibri" w:cstheme="minorHAnsi"/>
        </w:rPr>
        <w:t xml:space="preserve"> (OZP)</w:t>
      </w:r>
      <w:r w:rsidRPr="00CF64B9">
        <w:rPr>
          <w:rFonts w:eastAsia="Calibri" w:cstheme="minorHAnsi"/>
        </w:rPr>
        <w:t xml:space="preserve"> vo veku do 30 rokov, ktorý pracoval u zamestnávateľa v chránenej dielni alebo na chránenom pracovisku najmenej 6 mesiacov a bezprostredne nasledujúci pracovný deň po skončení zamestnania u tohto zamestnávateľa sa zamestnal na otvorenom trhu práce u nového zamestnávateľa, ktorý nie je chránenou dielňou alebo chráneným pracoviskom a nie je sociálnym podnikom v zmysle zákona o sociálnej ekonomike. Podmienka invalidity zamestnanca - OZP musí byť splnená počas celého obdobia poskytovania príspevku. Pracovný pomer </w:t>
      </w:r>
      <w:r w:rsidR="00706DC5">
        <w:rPr>
          <w:rFonts w:eastAsia="Calibri" w:cstheme="minorHAnsi"/>
        </w:rPr>
        <w:t xml:space="preserve">                               </w:t>
      </w:r>
      <w:r w:rsidRPr="00CF64B9">
        <w:rPr>
          <w:rFonts w:eastAsia="Calibri" w:cstheme="minorHAnsi"/>
        </w:rPr>
        <w:t xml:space="preserve">u zamestnávateľa na otvorenom trhu práce musí byť trvalý, t. j. uzatvorený na dobu neurčitú </w:t>
      </w:r>
      <w:r w:rsidR="00706DC5">
        <w:rPr>
          <w:rFonts w:eastAsia="Calibri" w:cstheme="minorHAnsi"/>
        </w:rPr>
        <w:t xml:space="preserve">        </w:t>
      </w:r>
      <w:r w:rsidRPr="00CF64B9">
        <w:rPr>
          <w:rFonts w:eastAsia="Calibri" w:cstheme="minorHAnsi"/>
        </w:rPr>
        <w:t xml:space="preserve">v rozsahu najmenej 20 hodín týždenne. </w:t>
      </w:r>
    </w:p>
    <w:p w14:paraId="123DC671" w14:textId="5215FEBF" w:rsidR="00CF64B9" w:rsidRDefault="00CF64B9" w:rsidP="00706DC5">
      <w:pPr>
        <w:spacing w:before="120" w:after="0"/>
        <w:ind w:firstLine="0"/>
        <w:rPr>
          <w:rFonts w:eastAsia="Calibri" w:cstheme="minorHAnsi"/>
        </w:rPr>
      </w:pPr>
      <w:r w:rsidRPr="002A1920">
        <w:rPr>
          <w:rFonts w:eastAsia="Calibri" w:cstheme="minorHAnsi"/>
        </w:rPr>
        <w:t>Od začiatku realizácie podaktivity 2 nebola podaná žiadna žiadosť o poskytnutie tohto príspevku.</w:t>
      </w:r>
    </w:p>
    <w:p w14:paraId="0BA5F566" w14:textId="758EF1B2" w:rsidR="00CF64B9" w:rsidRPr="002A1920" w:rsidRDefault="00706DC5" w:rsidP="00415C24">
      <w:pPr>
        <w:pStyle w:val="Nadpis4"/>
        <w:spacing w:before="240" w:after="0"/>
        <w:ind w:left="862" w:hanging="862"/>
      </w:pPr>
      <w:bookmarkStart w:id="159" w:name="_Toc199230863"/>
      <w:r w:rsidRPr="002A1920">
        <w:t xml:space="preserve">Podaktivita 3 - </w:t>
      </w:r>
      <w:r w:rsidR="00CF64B9" w:rsidRPr="002A1920">
        <w:t>Poskytovanie finančných príspevkov znevýhodneným UoZ (Motivačný príspevok)</w:t>
      </w:r>
      <w:bookmarkEnd w:id="159"/>
      <w:r w:rsidR="00CF64B9" w:rsidRPr="002A1920">
        <w:t xml:space="preserve"> </w:t>
      </w:r>
    </w:p>
    <w:p w14:paraId="45E97C5C" w14:textId="2E7C39F8" w:rsidR="00CF64B9" w:rsidRPr="00706DC5" w:rsidRDefault="00CF64B9" w:rsidP="002C7315">
      <w:pPr>
        <w:spacing w:before="120" w:after="0"/>
        <w:ind w:firstLine="0"/>
        <w:rPr>
          <w:rFonts w:eastAsia="Calibri" w:cstheme="minorHAnsi"/>
        </w:rPr>
      </w:pPr>
      <w:r w:rsidRPr="002A1920">
        <w:rPr>
          <w:rFonts w:eastAsia="Calibri" w:cstheme="minorHAnsi"/>
        </w:rPr>
        <w:t xml:space="preserve">Realizácia </w:t>
      </w:r>
      <w:r w:rsidR="00706DC5" w:rsidRPr="002A1920">
        <w:rPr>
          <w:rFonts w:eastAsia="Calibri" w:cstheme="minorHAnsi"/>
        </w:rPr>
        <w:t xml:space="preserve">podaktivity 3 – poskytovanie </w:t>
      </w:r>
      <w:r w:rsidR="002C7315" w:rsidRPr="002A1920">
        <w:rPr>
          <w:rFonts w:eastAsia="Calibri" w:cstheme="minorHAnsi"/>
        </w:rPr>
        <w:t>finančných príspevkov znevýhodneným UoZ (ďalej len „m</w:t>
      </w:r>
      <w:r w:rsidR="00706DC5" w:rsidRPr="002A1920">
        <w:rPr>
          <w:rFonts w:eastAsia="Calibri" w:cstheme="minorHAnsi"/>
        </w:rPr>
        <w:t>otivačný príspevok“)</w:t>
      </w:r>
      <w:r w:rsidRPr="002A1920">
        <w:rPr>
          <w:rFonts w:eastAsia="Calibri" w:cstheme="minorHAnsi"/>
        </w:rPr>
        <w:t xml:space="preserve"> </w:t>
      </w:r>
      <w:r w:rsidR="002C7315" w:rsidRPr="002A1920">
        <w:rPr>
          <w:rFonts w:eastAsia="Calibri" w:cstheme="minorHAnsi"/>
        </w:rPr>
        <w:t xml:space="preserve">začala od mája 2024 a mala by trvať do decembra </w:t>
      </w:r>
      <w:r w:rsidRPr="002A1920">
        <w:rPr>
          <w:rFonts w:eastAsia="Calibri" w:cstheme="minorHAnsi"/>
        </w:rPr>
        <w:t xml:space="preserve">2029. </w:t>
      </w:r>
      <w:r w:rsidR="00706DC5" w:rsidRPr="002A1920">
        <w:rPr>
          <w:rFonts w:eastAsia="Calibri" w:cstheme="minorHAnsi"/>
        </w:rPr>
        <w:t xml:space="preserve"> </w:t>
      </w:r>
      <w:r w:rsidRPr="002A1920">
        <w:rPr>
          <w:rFonts w:eastAsia="Calibri" w:cstheme="minorHAnsi"/>
        </w:rPr>
        <w:t>Cieľ aktivity je</w:t>
      </w:r>
      <w:r w:rsidRPr="00706DC5">
        <w:rPr>
          <w:rFonts w:eastAsia="Calibri" w:cstheme="minorHAnsi"/>
        </w:rPr>
        <w:t xml:space="preserve"> podpora začlenenia oprávnených žiadateľov (zamestnancov), ktorí boli členom domácnosti, ktorej sa poskytovala pomoc v hmotnej núdzi, na trh práce. Účelom príspevku je zvýšenie motivácie k stabilnému zamestnaniu a postup</w:t>
      </w:r>
      <w:r w:rsidR="002C7315">
        <w:rPr>
          <w:rFonts w:eastAsia="Calibri" w:cstheme="minorHAnsi"/>
        </w:rPr>
        <w:t xml:space="preserve">nému útlmu aktivačnej činnosti ako aj </w:t>
      </w:r>
      <w:r w:rsidRPr="00706DC5">
        <w:rPr>
          <w:rFonts w:eastAsia="Calibri" w:cstheme="minorHAnsi"/>
        </w:rPr>
        <w:t xml:space="preserve">zlepšenie postavenia </w:t>
      </w:r>
      <w:r w:rsidR="002C7315">
        <w:rPr>
          <w:rFonts w:eastAsia="Calibri" w:cstheme="minorHAnsi"/>
        </w:rPr>
        <w:t xml:space="preserve">zamestnancov </w:t>
      </w:r>
      <w:r w:rsidRPr="00706DC5">
        <w:rPr>
          <w:rFonts w:eastAsia="Calibri" w:cstheme="minorHAnsi"/>
        </w:rPr>
        <w:t xml:space="preserve">na trhu práce, zvýšenie ich zamestnateľnosti prostredníctvom motivácie k zvýšenej aktivite pri riešení ich nezamestnanosti. </w:t>
      </w:r>
    </w:p>
    <w:p w14:paraId="77B800BC" w14:textId="74E7659A" w:rsidR="00CF64B9" w:rsidRPr="002C7315" w:rsidRDefault="00CF64B9" w:rsidP="002C7315">
      <w:pPr>
        <w:spacing w:before="120" w:after="0"/>
        <w:ind w:firstLine="0"/>
        <w:rPr>
          <w:rFonts w:eastAsia="Calibri" w:cstheme="minorHAnsi"/>
          <w:bCs/>
        </w:rPr>
      </w:pPr>
      <w:r w:rsidRPr="00706DC5">
        <w:rPr>
          <w:rFonts w:eastAsia="Calibri" w:cstheme="minorHAnsi"/>
        </w:rPr>
        <w:t>Oprávneným žiadateľom a cieľovou skupinou aktivity je</w:t>
      </w:r>
      <w:r w:rsidRPr="00706DC5">
        <w:rPr>
          <w:rFonts w:eastAsia="Calibri" w:cstheme="minorHAnsi"/>
          <w:bCs/>
        </w:rPr>
        <w:t xml:space="preserve"> zamestnanec, ktorý bol ZUoZ a </w:t>
      </w:r>
      <w:r w:rsidRPr="00706DC5">
        <w:rPr>
          <w:rFonts w:eastAsia="Calibri" w:cstheme="minorHAnsi"/>
        </w:rPr>
        <w:t xml:space="preserve">ktorý bol vedeným v evidencii UoZ </w:t>
      </w:r>
      <w:r w:rsidRPr="00706DC5">
        <w:rPr>
          <w:rFonts w:eastAsia="Calibri" w:cstheme="minorHAnsi"/>
          <w:bCs/>
        </w:rPr>
        <w:t>najmenej jeden mesiac</w:t>
      </w:r>
      <w:r w:rsidRPr="00CF64B9">
        <w:rPr>
          <w:rFonts w:eastAsia="Calibri" w:cstheme="minorHAnsi"/>
        </w:rPr>
        <w:t xml:space="preserve">, </w:t>
      </w:r>
      <w:r w:rsidRPr="00CF64B9">
        <w:rPr>
          <w:rFonts w:eastAsia="Calibri" w:cstheme="minorHAnsi"/>
          <w:bCs/>
        </w:rPr>
        <w:t>bol členom domácnosti, ktorej sa poskytovala pomoc v hmotnej núdzi,</w:t>
      </w:r>
      <w:r w:rsidRPr="00CF64B9">
        <w:rPr>
          <w:rFonts w:eastAsia="Calibri" w:cstheme="minorHAnsi"/>
        </w:rPr>
        <w:t xml:space="preserve"> </w:t>
      </w:r>
      <w:r w:rsidRPr="00CF64B9">
        <w:rPr>
          <w:rFonts w:eastAsia="Calibri" w:cstheme="minorHAnsi"/>
          <w:bCs/>
        </w:rPr>
        <w:t>nepoberá osobitný príspevok v zmysle zákona č. 417/2013 Z. z. o pomoci v hmotnej núdzi a o zmene a doplnení niektorých zákonov v znení neskorších predpisov (ďalej len „zákon o pomoci v hmotnej núdzi“),</w:t>
      </w:r>
      <w:r w:rsidRPr="00CF64B9">
        <w:rPr>
          <w:rFonts w:eastAsia="Calibri" w:cstheme="minorHAnsi"/>
        </w:rPr>
        <w:t xml:space="preserve"> bol vyradený z evidencie UoZ z dôvodu </w:t>
      </w:r>
      <w:r w:rsidRPr="00CF64B9">
        <w:rPr>
          <w:rFonts w:eastAsia="Calibri" w:cstheme="minorHAnsi"/>
          <w:bCs/>
        </w:rPr>
        <w:t>vzniku pracovného pomeru alebo obdobného pracovného vzťahu okrem pracovnoprávneho vzťahu založeného dohodami o prácach vykonávaných mimo pracovného pomeru</w:t>
      </w:r>
      <w:r w:rsidRPr="00CF64B9">
        <w:rPr>
          <w:rFonts w:eastAsia="Calibri" w:cstheme="minorHAnsi"/>
        </w:rPr>
        <w:t xml:space="preserve"> (dohoda o vykonaní práce, dohoda o pracovnej činnosti, dohoda o brigádnickej práci študentov) a pracovný pomer alebo obdobný pracovný vzťah je dohodnutý najmenej v rozsahu polovice ustanoveného týždenného pracovného času.</w:t>
      </w:r>
      <w:r w:rsidR="002C7315">
        <w:rPr>
          <w:rFonts w:eastAsia="Calibri" w:cstheme="minorHAnsi"/>
        </w:rPr>
        <w:t xml:space="preserve"> </w:t>
      </w:r>
      <w:r w:rsidRPr="002C7315">
        <w:rPr>
          <w:rFonts w:eastAsia="Calibri" w:cstheme="minorHAnsi"/>
        </w:rPr>
        <w:t>Oprávneným územím</w:t>
      </w:r>
      <w:r w:rsidR="002C7315">
        <w:rPr>
          <w:rFonts w:eastAsia="Calibri" w:cstheme="minorHAnsi"/>
        </w:rPr>
        <w:t xml:space="preserve"> je celá Slovenská republika</w:t>
      </w:r>
      <w:r w:rsidRPr="002C7315">
        <w:rPr>
          <w:rFonts w:eastAsia="Calibri" w:cstheme="minorHAnsi"/>
        </w:rPr>
        <w:t xml:space="preserve">. </w:t>
      </w:r>
    </w:p>
    <w:p w14:paraId="6D291B6A" w14:textId="77777777" w:rsidR="00CF64B9" w:rsidRPr="00CF64B9" w:rsidRDefault="00CF64B9" w:rsidP="002C7315">
      <w:pPr>
        <w:spacing w:before="120" w:after="0"/>
        <w:ind w:firstLine="0"/>
        <w:rPr>
          <w:rFonts w:eastAsia="Calibri" w:cstheme="minorHAnsi"/>
        </w:rPr>
      </w:pPr>
      <w:r w:rsidRPr="00CF64B9">
        <w:rPr>
          <w:rFonts w:eastAsia="Calibri" w:cstheme="minorHAnsi"/>
        </w:rPr>
        <w:t xml:space="preserve">V roku 2024 bolo prijatých 1 717 žiadostí o poskytnutie motivačného príspevku z toho bolo schválených 1 277 žiadostí. Uzatvorených bolo1 259 dohôd v celkovej dohodnutej výške 1 686 750 eur pričom výška uhradenej sumy bola 587 417 eur. </w:t>
      </w:r>
    </w:p>
    <w:p w14:paraId="6F1A1F73" w14:textId="469FA5E6" w:rsidR="00CF64B9" w:rsidRPr="00CF64B9" w:rsidRDefault="002C7315" w:rsidP="002C7315">
      <w:pPr>
        <w:spacing w:before="120" w:after="0"/>
        <w:ind w:firstLine="0"/>
        <w:rPr>
          <w:rFonts w:eastAsia="Calibri" w:cstheme="minorHAnsi"/>
        </w:rPr>
      </w:pPr>
      <w:r>
        <w:rPr>
          <w:rFonts w:eastAsia="Calibri" w:cstheme="minorHAnsi"/>
        </w:rPr>
        <w:lastRenderedPageBreak/>
        <w:t xml:space="preserve">V rámci priority </w:t>
      </w:r>
      <w:r w:rsidR="00CF64B9" w:rsidRPr="002C7315">
        <w:rPr>
          <w:rFonts w:eastAsia="Calibri" w:cstheme="minorHAnsi"/>
        </w:rPr>
        <w:t>4P1 Adaptabilný a prístupný trh práce</w:t>
      </w:r>
      <w:r>
        <w:rPr>
          <w:rFonts w:eastAsia="Calibri" w:cstheme="minorHAnsi"/>
        </w:rPr>
        <w:t xml:space="preserve"> bolo prijatých 1 254 žiadostí                                     </w:t>
      </w:r>
      <w:r w:rsidR="00CF64B9" w:rsidRPr="00CF64B9">
        <w:rPr>
          <w:rFonts w:eastAsia="Calibri" w:cstheme="minorHAnsi"/>
        </w:rPr>
        <w:t>o poskytnutie motivačného príspevku z toho bolo schválených 937 žiadostí. Uzatvorených bolo 919 dohôd v celko</w:t>
      </w:r>
      <w:r>
        <w:rPr>
          <w:rFonts w:eastAsia="Calibri" w:cstheme="minorHAnsi"/>
        </w:rPr>
        <w:t>vej dohodnutej výške 1 245 600 e</w:t>
      </w:r>
      <w:r w:rsidR="00CF64B9" w:rsidRPr="00CF64B9">
        <w:rPr>
          <w:rFonts w:eastAsia="Calibri" w:cstheme="minorHAnsi"/>
        </w:rPr>
        <w:t>ur. Vý</w:t>
      </w:r>
      <w:r>
        <w:rPr>
          <w:rFonts w:eastAsia="Calibri" w:cstheme="minorHAnsi"/>
        </w:rPr>
        <w:t>ška čerpanej sumy bola 443 102 e</w:t>
      </w:r>
      <w:r w:rsidR="00CF64B9" w:rsidRPr="00CF64B9">
        <w:rPr>
          <w:rFonts w:eastAsia="Calibri" w:cstheme="minorHAnsi"/>
        </w:rPr>
        <w:t>ur.</w:t>
      </w:r>
    </w:p>
    <w:p w14:paraId="749487C9" w14:textId="16B98120" w:rsidR="00CF64B9" w:rsidRPr="002C7315" w:rsidRDefault="002C7315" w:rsidP="002C7315">
      <w:pPr>
        <w:spacing w:before="120" w:after="0"/>
        <w:ind w:firstLine="0"/>
        <w:rPr>
          <w:rFonts w:eastAsia="Calibri" w:cstheme="minorHAnsi"/>
        </w:rPr>
      </w:pPr>
      <w:r>
        <w:rPr>
          <w:rFonts w:eastAsia="Calibri" w:cstheme="minorHAnsi"/>
        </w:rPr>
        <w:t xml:space="preserve">V rámci </w:t>
      </w:r>
      <w:r w:rsidRPr="002C7315">
        <w:rPr>
          <w:rFonts w:eastAsia="Calibri" w:cstheme="minorHAnsi"/>
          <w:u w:val="single"/>
        </w:rPr>
        <w:t xml:space="preserve">priority </w:t>
      </w:r>
      <w:r w:rsidR="00CF64B9" w:rsidRPr="002C7315">
        <w:rPr>
          <w:rFonts w:eastAsia="Calibri" w:cstheme="minorHAnsi"/>
          <w:u w:val="single"/>
        </w:rPr>
        <w:t>4P4</w:t>
      </w:r>
      <w:r w:rsidR="00CF64B9" w:rsidRPr="002C7315">
        <w:rPr>
          <w:rFonts w:eastAsia="Calibri" w:cstheme="minorHAnsi"/>
        </w:rPr>
        <w:t xml:space="preserve"> </w:t>
      </w:r>
      <w:r>
        <w:rPr>
          <w:rFonts w:eastAsia="Calibri" w:cstheme="minorHAnsi"/>
        </w:rPr>
        <w:t xml:space="preserve">- </w:t>
      </w:r>
      <w:r w:rsidR="00CF64B9" w:rsidRPr="002C7315">
        <w:rPr>
          <w:rFonts w:eastAsia="Calibri" w:cstheme="minorHAnsi"/>
        </w:rPr>
        <w:t>Záruka pre mladých</w:t>
      </w:r>
      <w:r w:rsidR="00CF64B9" w:rsidRPr="00CF64B9">
        <w:rPr>
          <w:rFonts w:eastAsia="Calibri" w:cstheme="minorHAnsi"/>
        </w:rPr>
        <w:t xml:space="preserve"> bolo prijatých bolo prijatých 463 žiadostí </w:t>
      </w:r>
      <w:r>
        <w:rPr>
          <w:rFonts w:eastAsia="Calibri" w:cstheme="minorHAnsi"/>
        </w:rPr>
        <w:t xml:space="preserve">                          </w:t>
      </w:r>
      <w:r w:rsidR="00CF64B9" w:rsidRPr="00CF64B9">
        <w:rPr>
          <w:rFonts w:eastAsia="Calibri" w:cstheme="minorHAnsi"/>
        </w:rPr>
        <w:t>o poskytnutie motivačného príspevku z toho bolo schválených 340 žiadostí. Uzatvorených bolo 327 dohôd v celkovej dohodnutej výške 441 150 Eur. Vý</w:t>
      </w:r>
      <w:r>
        <w:rPr>
          <w:rFonts w:eastAsia="Calibri" w:cstheme="minorHAnsi"/>
        </w:rPr>
        <w:t>ška čerpanej sumy bola 144 314 e</w:t>
      </w:r>
      <w:r w:rsidR="00CF64B9" w:rsidRPr="00CF64B9">
        <w:rPr>
          <w:rFonts w:eastAsia="Calibri" w:cstheme="minorHAnsi"/>
        </w:rPr>
        <w:t>ur.</w:t>
      </w:r>
    </w:p>
    <w:p w14:paraId="012A1133" w14:textId="46AD9E35" w:rsidR="00CF64B9" w:rsidRPr="00CF64B9" w:rsidRDefault="00234ECD" w:rsidP="002C7315">
      <w:pPr>
        <w:spacing w:before="120" w:after="0"/>
        <w:ind w:firstLine="0"/>
        <w:rPr>
          <w:rFonts w:eastAsia="Calibri" w:cstheme="minorHAnsi"/>
        </w:rPr>
      </w:pPr>
      <w:r w:rsidRPr="00CF64B9">
        <w:rPr>
          <w:rFonts w:eastAsia="Calibri" w:cstheme="minorHAnsi"/>
          <w:noProof/>
        </w:rPr>
        <w:drawing>
          <wp:anchor distT="0" distB="0" distL="114300" distR="114300" simplePos="0" relativeHeight="252703232" behindDoc="0" locked="0" layoutInCell="1" allowOverlap="1" wp14:anchorId="37455A69" wp14:editId="2552A188">
            <wp:simplePos x="0" y="0"/>
            <wp:positionH relativeFrom="margin">
              <wp:posOffset>-2540</wp:posOffset>
            </wp:positionH>
            <wp:positionV relativeFrom="paragraph">
              <wp:posOffset>532268</wp:posOffset>
            </wp:positionV>
            <wp:extent cx="5862955" cy="2655570"/>
            <wp:effectExtent l="0" t="0" r="4445" b="11430"/>
            <wp:wrapTopAndBottom/>
            <wp:docPr id="494" name="Graf 49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00CF64B9" w:rsidRPr="00CF64B9">
        <w:rPr>
          <w:rFonts w:eastAsia="Calibri" w:cstheme="minorHAnsi"/>
        </w:rPr>
        <w:t xml:space="preserve">V roku 2024 bolo do motivačného príspevku zaradených 1 259 UoZ, z toho 644 mužov (51,15 %) a 615 (48,85 %) žien. Štruktúra je zobrazená v nižšie uvedenom grafe. </w:t>
      </w:r>
    </w:p>
    <w:p w14:paraId="2588D568" w14:textId="505D1030" w:rsidR="00CF64B9" w:rsidRPr="00CF64B9" w:rsidRDefault="00A02DEE" w:rsidP="00234ECD">
      <w:pPr>
        <w:spacing w:before="120" w:after="0"/>
        <w:ind w:firstLine="0"/>
        <w:rPr>
          <w:rFonts w:eastAsia="Calibri" w:cstheme="minorHAnsi"/>
        </w:rPr>
      </w:pPr>
      <w:r w:rsidRPr="00CF64B9">
        <w:rPr>
          <w:rFonts w:eastAsia="Calibri" w:cstheme="minorHAnsi"/>
          <w:noProof/>
        </w:rPr>
        <w:drawing>
          <wp:anchor distT="0" distB="0" distL="114300" distR="114300" simplePos="0" relativeHeight="252704256" behindDoc="0" locked="0" layoutInCell="1" allowOverlap="1" wp14:anchorId="6F22DC8A" wp14:editId="2D661D0B">
            <wp:simplePos x="0" y="0"/>
            <wp:positionH relativeFrom="margin">
              <wp:posOffset>-50248</wp:posOffset>
            </wp:positionH>
            <wp:positionV relativeFrom="paragraph">
              <wp:posOffset>3786063</wp:posOffset>
            </wp:positionV>
            <wp:extent cx="5862955" cy="2766695"/>
            <wp:effectExtent l="0" t="0" r="4445" b="14605"/>
            <wp:wrapTopAndBottom/>
            <wp:docPr id="495" name="Graf 49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r w:rsidR="00CF64B9" w:rsidRPr="00CF64B9">
        <w:rPr>
          <w:rFonts w:eastAsia="Calibri" w:cstheme="minorHAnsi"/>
        </w:rPr>
        <w:t xml:space="preserve">Z hľadiska vekovej štruktúry, z počtu 1 259 zaradených UoZ najväčšiu skupinu tvorili UoZ vo veku do 30 - 49 rokov v počte 625 UoZ (49,64 %). Druhú skupinu tvorili UoZ vo veku 50 a viac rokov v počte 282 UoZ (22,40 %), tretiu skupinu tvorili UoZ vo veku do 25 - 29 rokov v počte 217 UoZ (17,24 %) a poslednú skupinu tvorili UoZ vo veku do 24 rokov 135 UoZ (10,72%). Štruktúra </w:t>
      </w:r>
      <w:r w:rsidR="00234ECD">
        <w:rPr>
          <w:rFonts w:eastAsia="Calibri" w:cstheme="minorHAnsi"/>
        </w:rPr>
        <w:t xml:space="preserve">podľa veku UoZ </w:t>
      </w:r>
      <w:r w:rsidR="00CF64B9" w:rsidRPr="00CF64B9">
        <w:rPr>
          <w:rFonts w:eastAsia="Calibri" w:cstheme="minorHAnsi"/>
        </w:rPr>
        <w:t>je zobrazená v nižšie uvedenom grafe.</w:t>
      </w:r>
    </w:p>
    <w:p w14:paraId="53F8C126" w14:textId="6136F1AA" w:rsidR="00CF64B9" w:rsidRPr="00234ECD" w:rsidRDefault="00CF64B9" w:rsidP="00234ECD">
      <w:pPr>
        <w:spacing w:before="120" w:after="0"/>
        <w:ind w:firstLine="0"/>
        <w:rPr>
          <w:rFonts w:eastAsia="Calibri" w:cstheme="minorHAnsi"/>
          <w:bCs/>
        </w:rPr>
      </w:pPr>
      <w:r w:rsidRPr="00CF64B9">
        <w:rPr>
          <w:rFonts w:eastAsia="Calibri" w:cstheme="minorHAnsi"/>
          <w:bCs/>
        </w:rPr>
        <w:t xml:space="preserve">Z hľadiska dosiahnutého stupňa vzdelania z počtu 1 259 zaradených UoZ tvorili najväčšiu skupinu UoZ s ukončeným základným vzdelaním v počte 480 UoZ (38,13 %), ďalej so stredným odborným vzdelaním 285 UoZ (22,64 %), UoZ s ukončeným úplným stredným odborným vzdelaním v počte 171 UoZ (13,58 %), s ukončeným vysokoškolským vzdelaním druhého stupňa v počte 125 UoZ (9,93 %), s neukončeným základným vzdelaním v počte 123 UoZ (9,77 %), s nižším stredným odborným vzdelaním 35 UoZ (2,78 %), úplným stredným všeobecným </w:t>
      </w:r>
      <w:r w:rsidRPr="00CF64B9">
        <w:rPr>
          <w:rFonts w:eastAsia="Calibri" w:cstheme="minorHAnsi"/>
          <w:bCs/>
        </w:rPr>
        <w:lastRenderedPageBreak/>
        <w:t xml:space="preserve">vzdelaním 16 UoZ (1,27 %), s dosiahnutým vysokoškolským vzdelaním prvého stupňa v počte 15 UoZ (1,19%), vysokoškolským vzdelaním tretieho stupňa 6 UoZ (0,48 %) a s vyšším </w:t>
      </w:r>
      <w:r w:rsidR="00A02DEE" w:rsidRPr="00CF64B9">
        <w:rPr>
          <w:rFonts w:eastAsia="Calibri" w:cstheme="minorHAnsi"/>
          <w:noProof/>
        </w:rPr>
        <w:drawing>
          <wp:anchor distT="0" distB="0" distL="114300" distR="114300" simplePos="0" relativeHeight="252710400" behindDoc="0" locked="0" layoutInCell="1" allowOverlap="1" wp14:anchorId="5857DBD0" wp14:editId="70FF5909">
            <wp:simplePos x="0" y="0"/>
            <wp:positionH relativeFrom="margin">
              <wp:posOffset>-442</wp:posOffset>
            </wp:positionH>
            <wp:positionV relativeFrom="paragraph">
              <wp:posOffset>596292</wp:posOffset>
            </wp:positionV>
            <wp:extent cx="5862955" cy="2941955"/>
            <wp:effectExtent l="0" t="0" r="4445" b="10795"/>
            <wp:wrapTopAndBottom/>
            <wp:docPr id="496" name="Graf 49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Pr="00CF64B9">
        <w:rPr>
          <w:rFonts w:eastAsia="Calibri" w:cstheme="minorHAnsi"/>
          <w:bCs/>
        </w:rPr>
        <w:t xml:space="preserve">odborným vzdelaním v počte 3 UoZ (0,24 %). </w:t>
      </w:r>
      <w:r w:rsidRPr="00CF64B9">
        <w:rPr>
          <w:rFonts w:eastAsia="Calibri" w:cstheme="minorHAnsi"/>
        </w:rPr>
        <w:t>Štruktúra je zobrazená v nižšie uvedenom grafe.</w:t>
      </w:r>
    </w:p>
    <w:p w14:paraId="0916BCE1" w14:textId="50F488B8" w:rsidR="00CF64B9" w:rsidRPr="00CF64B9" w:rsidRDefault="00234ECD" w:rsidP="00234ECD">
      <w:pPr>
        <w:spacing w:before="120" w:after="0"/>
        <w:ind w:firstLine="0"/>
        <w:rPr>
          <w:rFonts w:eastAsia="Calibri" w:cstheme="minorHAnsi"/>
        </w:rPr>
      </w:pPr>
      <w:r w:rsidRPr="00CF64B9">
        <w:rPr>
          <w:rFonts w:eastAsia="Calibri" w:cstheme="minorHAnsi"/>
          <w:noProof/>
        </w:rPr>
        <w:drawing>
          <wp:anchor distT="0" distB="0" distL="114300" distR="114300" simplePos="0" relativeHeight="252708352" behindDoc="0" locked="0" layoutInCell="1" allowOverlap="1" wp14:anchorId="653D26E2" wp14:editId="743C5B09">
            <wp:simplePos x="0" y="0"/>
            <wp:positionH relativeFrom="margin">
              <wp:posOffset>0</wp:posOffset>
            </wp:positionH>
            <wp:positionV relativeFrom="paragraph">
              <wp:posOffset>5241539</wp:posOffset>
            </wp:positionV>
            <wp:extent cx="5862955" cy="2758440"/>
            <wp:effectExtent l="0" t="0" r="4445" b="3810"/>
            <wp:wrapTopAndBottom/>
            <wp:docPr id="497" name="Graf 49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sidR="00CF64B9" w:rsidRPr="00CF64B9">
        <w:rPr>
          <w:rFonts w:eastAsia="Calibri" w:cstheme="minorHAnsi"/>
        </w:rPr>
        <w:t>Z hľadiska štruktúry zaradených 1 259 UoZ podľa SK NACE zamestnávateľa bolo najviac vytvorených PM v oblasti priemyselnej výroby v počte 275 (21,8</w:t>
      </w:r>
      <w:r>
        <w:rPr>
          <w:rFonts w:eastAsia="Calibri" w:cstheme="minorHAnsi"/>
        </w:rPr>
        <w:t xml:space="preserve">4 %), v oblasti verejnej správy </w:t>
      </w:r>
      <w:r w:rsidR="00CF64B9" w:rsidRPr="00CF64B9">
        <w:rPr>
          <w:rFonts w:eastAsia="Calibri" w:cstheme="minorHAnsi"/>
        </w:rPr>
        <w:t>a sociálneho zabezpečenia v počte 202 (16,04 %), administratívne služby v počte 182 (14,46 %), zdravotníctvo a soc. pomoc v počte 119 (9,45 %), veľkoobchod a maloobchod v počte 88 (6,99 %), vzdelávanie v počte 79 (6,27 %), stavebníctvo v počte 74 (5,88 %), ostatné činnosti v počte 52 (4,13 %), ubytovanie a strav</w:t>
      </w:r>
      <w:r>
        <w:rPr>
          <w:rFonts w:eastAsia="Calibri" w:cstheme="minorHAnsi"/>
        </w:rPr>
        <w:t>ovacie</w:t>
      </w:r>
      <w:r w:rsidR="00CF64B9" w:rsidRPr="00CF64B9">
        <w:rPr>
          <w:rFonts w:eastAsia="Calibri" w:cstheme="minorHAnsi"/>
        </w:rPr>
        <w:t xml:space="preserve"> služby v počte 41 (3,26%), pôdohospodárstvo v počte 30 (2,38 %), dodávka vody v počte 27 (2,14 %), odborné, vedecké, technické činnosti v počte 25 (1,99 %), doprava a skladovanie v počte 20 (1,59 %), čin. v oblasti nehnuteľností v počte 17 (1,35 %), umenie, zábava a rekreácia v počte 8 (0,64%), informácie a komunikácia v počte 6 (0,48 %), finančné a</w:t>
      </w:r>
      <w:r>
        <w:rPr>
          <w:rFonts w:eastAsia="Calibri" w:cstheme="minorHAnsi"/>
        </w:rPr>
        <w:t> poisťovnícke</w:t>
      </w:r>
      <w:r w:rsidR="00CF64B9" w:rsidRPr="00CF64B9">
        <w:rPr>
          <w:rFonts w:eastAsia="Calibri" w:cstheme="minorHAnsi"/>
        </w:rPr>
        <w:t xml:space="preserve"> činnosti v počte 6 (0,48 %), ťažba a dobývanie v počte 5 (0,40 %), dodávka elektriny, plynu, pary v počte 2 (0,16 %) a neurčené v počte 1 (0,08 %). Štruktúra je zobrazená v nižšie uvedenom grafe.</w:t>
      </w:r>
    </w:p>
    <w:p w14:paraId="6DDB0591" w14:textId="77777777" w:rsidR="00CF64B9" w:rsidRPr="00CF64B9" w:rsidRDefault="00CF64B9" w:rsidP="00234ECD">
      <w:pPr>
        <w:spacing w:before="120" w:after="0"/>
        <w:ind w:firstLine="0"/>
        <w:rPr>
          <w:rFonts w:eastAsia="Calibri" w:cstheme="minorHAnsi"/>
        </w:rPr>
      </w:pPr>
      <w:r w:rsidRPr="00CF64B9">
        <w:rPr>
          <w:rFonts w:eastAsia="Calibri" w:cstheme="minorHAnsi"/>
        </w:rPr>
        <w:t xml:space="preserve">Z hľadiska profesie (SK ISCO), z celkového počtu zaradených 1 259 UoZ v rámci motivačného príspevku tvorili najväčšiu skupinu tvorili UoZ pracujúci ako pomocní a nekvalifikovaní pracovníci v počte 575 UoZ (45,67 %). Ďalšiu väčšou skupinou boli pracovníci v službách a obchode v počte 202 UoZ (16,04 %), operátori a montéri v počte 200 UoZ (15,89 %), </w:t>
      </w:r>
      <w:r w:rsidRPr="00CF64B9">
        <w:rPr>
          <w:rFonts w:eastAsia="Calibri" w:cstheme="minorHAnsi"/>
        </w:rPr>
        <w:lastRenderedPageBreak/>
        <w:t>špecialisti v počte 103 UoZ (8,18 %), kvalifikovaní pracovníci a remeselníci v počte 74 UoZ (5,88 %), technici a odborní pracovníci v počte 54 UoZ (4,29 %), administratívni pracovníci v počte 35 UoZ (2,78 %), kvalifikovaní pracovníci v poľnohospodárstve, lesníctve a rybárstve v počte 13 UoZ (1,03 %) a zákonodarcovia, riadiaci pracovníci tvorili najmenšiu skupinu pracovníkov v počte 3 UoZ (0,24 %). Štruktúra je zobrazená v nižšie uvedenom grafe.</w:t>
      </w:r>
    </w:p>
    <w:p w14:paraId="61AE19EE" w14:textId="12AB8736" w:rsidR="00CF64B9" w:rsidRPr="00CF64B9" w:rsidRDefault="009A26DF" w:rsidP="00797451">
      <w:pPr>
        <w:spacing w:before="120" w:after="0"/>
        <w:ind w:firstLine="0"/>
        <w:rPr>
          <w:rFonts w:eastAsia="Calibri" w:cstheme="minorHAnsi"/>
        </w:rPr>
      </w:pPr>
      <w:r w:rsidRPr="00CF64B9">
        <w:rPr>
          <w:rFonts w:eastAsia="Calibri" w:cstheme="minorHAnsi"/>
          <w:noProof/>
        </w:rPr>
        <w:drawing>
          <wp:anchor distT="0" distB="0" distL="114300" distR="114300" simplePos="0" relativeHeight="252701184" behindDoc="0" locked="0" layoutInCell="1" allowOverlap="1" wp14:anchorId="77F47B8E" wp14:editId="57E579CB">
            <wp:simplePos x="0" y="0"/>
            <wp:positionH relativeFrom="margin">
              <wp:posOffset>0</wp:posOffset>
            </wp:positionH>
            <wp:positionV relativeFrom="paragraph">
              <wp:posOffset>3989815</wp:posOffset>
            </wp:positionV>
            <wp:extent cx="5862955" cy="2758440"/>
            <wp:effectExtent l="0" t="0" r="4445" b="3810"/>
            <wp:wrapTopAndBottom/>
            <wp:docPr id="499" name="Graf 49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r w:rsidR="00CF64B9" w:rsidRPr="00CF64B9">
        <w:rPr>
          <w:rFonts w:eastAsia="Calibri" w:cstheme="minorHAnsi"/>
          <w:noProof/>
        </w:rPr>
        <w:drawing>
          <wp:anchor distT="0" distB="0" distL="114300" distR="114300" simplePos="0" relativeHeight="252707328" behindDoc="0" locked="0" layoutInCell="1" allowOverlap="1" wp14:anchorId="68BD0531" wp14:editId="565058B8">
            <wp:simplePos x="0" y="0"/>
            <wp:positionH relativeFrom="margin">
              <wp:align>left</wp:align>
            </wp:positionH>
            <wp:positionV relativeFrom="paragraph">
              <wp:posOffset>50165</wp:posOffset>
            </wp:positionV>
            <wp:extent cx="5862955" cy="2894965"/>
            <wp:effectExtent l="0" t="0" r="4445" b="635"/>
            <wp:wrapTopAndBottom/>
            <wp:docPr id="498" name="Graf 49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r w:rsidR="00CF64B9" w:rsidRPr="00CF64B9">
        <w:rPr>
          <w:rFonts w:eastAsia="Calibri" w:cstheme="minorHAnsi"/>
          <w:bCs/>
        </w:rPr>
        <w:t>Z hľadiska doby evidencie</w:t>
      </w:r>
      <w:r w:rsidR="00CF64B9" w:rsidRPr="00CF64B9">
        <w:rPr>
          <w:rFonts w:eastAsia="Calibri" w:cstheme="minorHAnsi"/>
        </w:rPr>
        <w:t xml:space="preserve"> pred zaradením na motivačný príspevok v roku 2024 bolo z celkového počtu zaradených UoZ v evidencii UoZ nad 24 mesiacov 384 UoZ (30,50 %), od 13 do 24 mesiacov bolo v evidencii 279 UoZ (22,16 %), 7-12 mesiacov v bolo v evidencii 266 UoZ (21,13%), 4-6  mesiacov bolo v evidencii 201 UoZ (15,97 %) a 0-3- mesiacov bolo v evidencii 129 UoZ (10,25 %). Štruktúra je zobrazená v nižšie uvedenom grafe.</w:t>
      </w:r>
    </w:p>
    <w:p w14:paraId="629A251F" w14:textId="77777777" w:rsidR="00CF64B9" w:rsidRPr="00CF64B9" w:rsidRDefault="00CF64B9" w:rsidP="00797451">
      <w:pPr>
        <w:spacing w:before="120" w:after="120"/>
        <w:ind w:firstLine="0"/>
        <w:rPr>
          <w:rFonts w:eastAsia="Calibri" w:cstheme="minorHAnsi"/>
          <w:bCs/>
        </w:rPr>
      </w:pPr>
      <w:r w:rsidRPr="00CF64B9">
        <w:rPr>
          <w:rFonts w:eastAsia="Calibri" w:cstheme="minorHAnsi"/>
          <w:bCs/>
        </w:rPr>
        <w:t xml:space="preserve">V rámci štruktúry UoZ zaradených do motivačného príspevku z celkového počtu 1 259 UoZ bolo podľa § 8 zákona o službách zamestnanosti  1245 znevýhodnených UoZ. </w:t>
      </w:r>
    </w:p>
    <w:p w14:paraId="4E8EF7D1" w14:textId="77C45354" w:rsidR="00CF64B9" w:rsidRPr="00CF64B9" w:rsidRDefault="00CF64B9" w:rsidP="00CF64B9">
      <w:pPr>
        <w:spacing w:after="0"/>
        <w:ind w:firstLine="0"/>
        <w:rPr>
          <w:rFonts w:eastAsia="Calibri" w:cstheme="minorHAnsi"/>
        </w:rPr>
      </w:pPr>
      <w:r w:rsidRPr="00CF64B9">
        <w:rPr>
          <w:rFonts w:eastAsia="Calibri" w:cstheme="minorHAnsi"/>
          <w:bCs/>
        </w:rPr>
        <w:t xml:space="preserve">964 UoZ malo znevýhodnenie podľa písm. e) – občan, ktorý </w:t>
      </w:r>
      <w:r w:rsidRPr="00CF64B9">
        <w:rPr>
          <w:rFonts w:eastAsia="Calibri" w:cstheme="minorHAnsi"/>
        </w:rPr>
        <w:t xml:space="preserve">najmenej 12 po sebe nasledujúcich kalendárnych mesiacov pred zaradením do evidencie UoZ nemal pravidelne platené zamestnanie (35,61%), 669 UoZ malo znevýhodnenie podľa písm. c) – dlhodobo nezamestnaný občan (24,71%), 634 UoZ malo znevýhodnenie podľa písm. d) – občan so vzdelaním nižším ako stredným odborným (23,42%), 279 UoZ malo znevýhodnenie podľa písm. b) -  občan nad 50 rokov (10,31%), 89 UoZ znevýhodnených podľa písm. a) – absolvent školy (3,29%), 31 UoZ, </w:t>
      </w:r>
      <w:r w:rsidRPr="00CF64B9">
        <w:rPr>
          <w:rFonts w:eastAsia="Calibri" w:cstheme="minorHAnsi"/>
        </w:rPr>
        <w:lastRenderedPageBreak/>
        <w:t xml:space="preserve">ktorí mali znevýhodnenie podľa písm. g) – osamelí občania (starostlivosť o odkázanú osobu/starajúci sa o dieťa) (1,15%) 29 UoZ malo znevýhodnenie podľa písm. i) - občania, ktorí ukončili poberanie materskej dávky/rodičovského príspevku (1,07%) a 12 UoZ malo znevýhodnenie podľa písm. h) – občan zo zdravotným postihnutím (0,44%). Jeden UoZ môže </w:t>
      </w:r>
      <w:r w:rsidR="00537FC2" w:rsidRPr="00CF64B9">
        <w:rPr>
          <w:rFonts w:eastAsia="Calibri" w:cstheme="minorHAnsi"/>
          <w:noProof/>
        </w:rPr>
        <w:drawing>
          <wp:anchor distT="0" distB="0" distL="114300" distR="114300" simplePos="0" relativeHeight="252702208" behindDoc="0" locked="0" layoutInCell="1" allowOverlap="1" wp14:anchorId="7C20E0D7" wp14:editId="3475D516">
            <wp:simplePos x="0" y="0"/>
            <wp:positionH relativeFrom="margin">
              <wp:posOffset>-2540</wp:posOffset>
            </wp:positionH>
            <wp:positionV relativeFrom="paragraph">
              <wp:posOffset>935990</wp:posOffset>
            </wp:positionV>
            <wp:extent cx="5862955" cy="3100705"/>
            <wp:effectExtent l="0" t="0" r="4445" b="4445"/>
            <wp:wrapTopAndBottom/>
            <wp:docPr id="500" name="Graf 50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sidRPr="00CF64B9">
        <w:rPr>
          <w:rFonts w:eastAsia="Calibri" w:cstheme="minorHAnsi"/>
        </w:rPr>
        <w:t>zároveň spĺňať viac znevýhodnení naraz. Štruktúra je zobrazená v nižšie uvedenom grafe.</w:t>
      </w:r>
    </w:p>
    <w:p w14:paraId="709770EE" w14:textId="7B48EBBF" w:rsidR="00CF64B9" w:rsidRDefault="00790522" w:rsidP="00797451">
      <w:pPr>
        <w:spacing w:before="120" w:after="0"/>
        <w:ind w:firstLine="0"/>
        <w:rPr>
          <w:rFonts w:eastAsia="Calibri" w:cstheme="minorHAnsi"/>
        </w:rPr>
      </w:pPr>
      <w:r w:rsidRPr="00CF64B9">
        <w:rPr>
          <w:rFonts w:eastAsia="Calibri" w:cstheme="minorHAnsi"/>
          <w:noProof/>
        </w:rPr>
        <w:drawing>
          <wp:anchor distT="0" distB="0" distL="114300" distR="114300" simplePos="0" relativeHeight="252725760" behindDoc="0" locked="0" layoutInCell="1" allowOverlap="1" wp14:anchorId="46F591AE" wp14:editId="79577274">
            <wp:simplePos x="0" y="0"/>
            <wp:positionH relativeFrom="margin">
              <wp:posOffset>-2540</wp:posOffset>
            </wp:positionH>
            <wp:positionV relativeFrom="paragraph">
              <wp:posOffset>3860800</wp:posOffset>
            </wp:positionV>
            <wp:extent cx="5862955" cy="3044825"/>
            <wp:effectExtent l="0" t="0" r="4445" b="3175"/>
            <wp:wrapTopAndBottom/>
            <wp:docPr id="501" name="Graf 50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rsidR="00CF64B9" w:rsidRPr="00CF64B9">
        <w:rPr>
          <w:rFonts w:eastAsia="Calibri" w:cstheme="minorHAnsi"/>
        </w:rPr>
        <w:t xml:space="preserve">Z hľadiska návratu do evidencie UoZ z počtu 1 259 zaradených UoZ ukončilo účasť na AOTP 307 UoZ. Z toho sa vrátili do evidencie UoZ do 6 mesiacov 201 UoZ (37,29 %), do 3 mesiacov 188 UoZ (34,88 %) a do 1 mesiaca 150 UoZ (27,83 %). </w:t>
      </w:r>
    </w:p>
    <w:p w14:paraId="3789099B" w14:textId="77777777" w:rsidR="00BD2E69" w:rsidRPr="00CF64B9" w:rsidRDefault="00BD2E69" w:rsidP="00797451">
      <w:pPr>
        <w:spacing w:before="120" w:after="0"/>
        <w:ind w:firstLine="0"/>
        <w:rPr>
          <w:rFonts w:eastAsia="Calibri" w:cstheme="minorHAnsi"/>
        </w:rPr>
      </w:pPr>
    </w:p>
    <w:p w14:paraId="6D5F5578" w14:textId="59BF9C44" w:rsidR="009A26DF" w:rsidRPr="00450277" w:rsidRDefault="009A26DF" w:rsidP="00450277">
      <w:pPr>
        <w:pStyle w:val="Nadpis4"/>
      </w:pPr>
      <w:bookmarkStart w:id="160" w:name="_Toc199230864"/>
      <w:r w:rsidRPr="00450277">
        <w:t>Podaktivita 4</w:t>
      </w:r>
      <w:r w:rsidR="00537FC2" w:rsidRPr="00450277">
        <w:t xml:space="preserve"> - </w:t>
      </w:r>
      <w:r w:rsidRPr="00450277">
        <w:t>Poskytovanie finančných príspevkov zamestnávateľom a súčasne aj ZUoZ (Práca na skúšku)</w:t>
      </w:r>
      <w:bookmarkEnd w:id="160"/>
    </w:p>
    <w:p w14:paraId="39B9C1C2" w14:textId="2BBFE90B" w:rsidR="009A26DF" w:rsidRPr="009A26DF" w:rsidRDefault="009A26DF" w:rsidP="009A26DF">
      <w:pPr>
        <w:spacing w:before="120" w:after="0"/>
        <w:ind w:hanging="6"/>
        <w:rPr>
          <w:rFonts w:eastAsia="Calibri"/>
        </w:rPr>
      </w:pPr>
      <w:r w:rsidRPr="009A26DF">
        <w:rPr>
          <w:rFonts w:eastAsia="Calibri"/>
        </w:rPr>
        <w:t xml:space="preserve">Realizácia </w:t>
      </w:r>
      <w:r w:rsidR="00537FC2">
        <w:rPr>
          <w:rFonts w:eastAsia="Calibri"/>
        </w:rPr>
        <w:t>p</w:t>
      </w:r>
      <w:r w:rsidR="00537FC2" w:rsidRPr="00537FC2">
        <w:rPr>
          <w:rFonts w:eastAsia="Calibri"/>
        </w:rPr>
        <w:t>odaktivit</w:t>
      </w:r>
      <w:r w:rsidR="00537FC2">
        <w:rPr>
          <w:rFonts w:eastAsia="Calibri"/>
        </w:rPr>
        <w:t>y</w:t>
      </w:r>
      <w:r w:rsidR="00537FC2" w:rsidRPr="00537FC2">
        <w:rPr>
          <w:rFonts w:eastAsia="Calibri"/>
        </w:rPr>
        <w:t xml:space="preserve"> 4</w:t>
      </w:r>
      <w:r w:rsidR="00537FC2">
        <w:rPr>
          <w:rFonts w:eastAsia="Calibri"/>
        </w:rPr>
        <w:t xml:space="preserve"> - </w:t>
      </w:r>
      <w:r w:rsidR="00537FC2" w:rsidRPr="00537FC2">
        <w:rPr>
          <w:rFonts w:eastAsia="Calibri"/>
        </w:rPr>
        <w:t>Poskytovanie finančných príspevkov zamestnávateľom a súčasne aj ZUoZ (</w:t>
      </w:r>
      <w:r w:rsidR="00537FC2">
        <w:rPr>
          <w:rFonts w:eastAsia="Calibri"/>
        </w:rPr>
        <w:t xml:space="preserve">ďalej len „práca na skúšku“) začala  v júni </w:t>
      </w:r>
      <w:r w:rsidRPr="009A26DF">
        <w:rPr>
          <w:rFonts w:eastAsia="Calibri"/>
        </w:rPr>
        <w:t xml:space="preserve">2024 </w:t>
      </w:r>
      <w:r w:rsidR="00537FC2">
        <w:rPr>
          <w:rFonts w:eastAsia="Calibri"/>
        </w:rPr>
        <w:t>a má trvať do  decembra 2</w:t>
      </w:r>
      <w:r w:rsidRPr="009A26DF">
        <w:rPr>
          <w:rFonts w:eastAsia="Calibri"/>
        </w:rPr>
        <w:t xml:space="preserve">029. </w:t>
      </w:r>
    </w:p>
    <w:p w14:paraId="2AC22A13" w14:textId="162496B3" w:rsidR="009A26DF" w:rsidRPr="009A26DF" w:rsidRDefault="009A26DF" w:rsidP="00537FC2">
      <w:pPr>
        <w:spacing w:before="120" w:after="0"/>
        <w:ind w:hanging="6"/>
        <w:rPr>
          <w:rFonts w:eastAsia="Calibri"/>
        </w:rPr>
      </w:pPr>
      <w:r w:rsidRPr="009A26DF">
        <w:rPr>
          <w:rFonts w:eastAsia="Calibri"/>
        </w:rPr>
        <w:t xml:space="preserve">Cieľom je zlepšenie prístupu ZUoZ k zamestnaniu, s osobitným dôrazom na DNO a OZP. Po vstupe do aktivity budú podporení </w:t>
      </w:r>
      <w:r w:rsidRPr="009A26DF">
        <w:rPr>
          <w:rFonts w:eastAsia="Calibri"/>
          <w:iCs/>
        </w:rPr>
        <w:t>zamestnávatelia,</w:t>
      </w:r>
      <w:r w:rsidRPr="009A26DF">
        <w:rPr>
          <w:rFonts w:eastAsia="Calibri"/>
        </w:rPr>
        <w:t xml:space="preserve"> ktorí zaradia potenciálnych zamestnancov </w:t>
      </w:r>
      <w:r w:rsidRPr="009A26DF">
        <w:rPr>
          <w:rFonts w:eastAsia="Calibri"/>
        </w:rPr>
        <w:lastRenderedPageBreak/>
        <w:t>z oprávnenej cieľovej skupiny na vykonávanie práce na skúšku v konkrétnej profesii a</w:t>
      </w:r>
      <w:r w:rsidRPr="009A26DF">
        <w:rPr>
          <w:rFonts w:eastAsia="Calibri"/>
          <w:iCs/>
        </w:rPr>
        <w:t xml:space="preserve"> ZUoZ z oprávnenej cieľovej skupiny.</w:t>
      </w:r>
      <w:r w:rsidRPr="009A26DF">
        <w:rPr>
          <w:rFonts w:eastAsia="Calibri"/>
        </w:rPr>
        <w:t xml:space="preserve"> Zapojení ZUoZ formou práce na skúšku (zapracovania) u zamestnávateľa získajú a prehĺbia pracovné zručnosti a praktické skúsenosti a zamestnávateľ si  môže overiť, či potenciálny kandidát na pracovnú pozíciu bude vhodný pre výkon danej práce, či  zapadne do pracovného kolektívu a pod. Oprávneným územím, realizácie aktivity je celá Slovenská republika. </w:t>
      </w:r>
    </w:p>
    <w:p w14:paraId="01F1AB26" w14:textId="22D0260D" w:rsidR="00537FC2" w:rsidRDefault="009A26DF" w:rsidP="00537FC2">
      <w:pPr>
        <w:spacing w:before="120" w:after="0"/>
        <w:ind w:hanging="6"/>
        <w:rPr>
          <w:rFonts w:eastAsia="Calibri"/>
        </w:rPr>
      </w:pPr>
      <w:r w:rsidRPr="009A26DF">
        <w:rPr>
          <w:rFonts w:eastAsia="Calibri"/>
        </w:rPr>
        <w:t>Cieľovou skupinou sú ZUoZ podľa § 8 ods. 1 písm. c) a h) z</w:t>
      </w:r>
      <w:r w:rsidR="00537FC2">
        <w:rPr>
          <w:rFonts w:eastAsia="Calibri"/>
        </w:rPr>
        <w:t xml:space="preserve">ákona o službách zamestnanosti - </w:t>
      </w:r>
      <w:r w:rsidRPr="009A26DF">
        <w:rPr>
          <w:rFonts w:eastAsia="Calibri"/>
        </w:rPr>
        <w:t>dlhodobo nezamestnané osoby</w:t>
      </w:r>
      <w:r w:rsidR="00537FC2">
        <w:rPr>
          <w:rFonts w:eastAsia="Calibri"/>
        </w:rPr>
        <w:t xml:space="preserve"> (DNO)</w:t>
      </w:r>
      <w:r w:rsidRPr="009A26DF">
        <w:rPr>
          <w:rFonts w:eastAsia="Calibri"/>
        </w:rPr>
        <w:t xml:space="preserve">, vedené v evidencii </w:t>
      </w:r>
      <w:r w:rsidR="00537FC2">
        <w:rPr>
          <w:rFonts w:eastAsia="Calibri"/>
        </w:rPr>
        <w:t xml:space="preserve">UoZ </w:t>
      </w:r>
      <w:r w:rsidRPr="009A26DF">
        <w:rPr>
          <w:rFonts w:eastAsia="Calibri"/>
        </w:rPr>
        <w:t>najmenej 12 po sebe nasledujúcich mesiacov a osoby so zdravotným postihnutím</w:t>
      </w:r>
      <w:r w:rsidR="00537FC2">
        <w:rPr>
          <w:rFonts w:eastAsia="Calibri"/>
        </w:rPr>
        <w:t xml:space="preserve">  (OZP</w:t>
      </w:r>
      <w:r w:rsidRPr="009A26DF">
        <w:rPr>
          <w:rFonts w:eastAsia="Calibri"/>
        </w:rPr>
        <w:t xml:space="preserve">). </w:t>
      </w:r>
    </w:p>
    <w:p w14:paraId="0D0AAAE0" w14:textId="66DA1DD4" w:rsidR="009A26DF" w:rsidRPr="009A26DF" w:rsidRDefault="00537FC2" w:rsidP="00537FC2">
      <w:pPr>
        <w:spacing w:before="120" w:after="0"/>
        <w:ind w:hanging="6"/>
        <w:rPr>
          <w:rFonts w:eastAsia="Calibri"/>
        </w:rPr>
      </w:pPr>
      <w:r w:rsidRPr="009A26DF">
        <w:rPr>
          <w:rFonts w:eastAsia="Calibri"/>
        </w:rPr>
        <w:t>Medzi zamestnávateľom</w:t>
      </w:r>
      <w:r w:rsidRPr="009A26DF">
        <w:rPr>
          <w:rFonts w:eastAsia="Calibri"/>
          <w:b/>
          <w:bCs/>
        </w:rPr>
        <w:t xml:space="preserve"> </w:t>
      </w:r>
      <w:r w:rsidRPr="009A26DF">
        <w:rPr>
          <w:rFonts w:eastAsia="Calibri"/>
        </w:rPr>
        <w:t>a zaradeným ZUoZ,</w:t>
      </w:r>
      <w:r w:rsidRPr="009A26DF">
        <w:rPr>
          <w:rFonts w:eastAsia="Calibri"/>
          <w:b/>
          <w:bCs/>
        </w:rPr>
        <w:t xml:space="preserve"> </w:t>
      </w:r>
      <w:r w:rsidRPr="009A26DF">
        <w:rPr>
          <w:rFonts w:eastAsia="Calibri"/>
        </w:rPr>
        <w:t>ktorý u zamestnávateľa vykonáva prácu na skúšku,</w:t>
      </w:r>
      <w:r w:rsidRPr="009A26DF">
        <w:rPr>
          <w:rFonts w:eastAsia="Calibri"/>
          <w:b/>
          <w:bCs/>
        </w:rPr>
        <w:t xml:space="preserve"> </w:t>
      </w:r>
      <w:r w:rsidRPr="009A26DF">
        <w:rPr>
          <w:rFonts w:eastAsia="Calibri"/>
        </w:rPr>
        <w:t xml:space="preserve">nie je pracovnoprávny vzťah, práca </w:t>
      </w:r>
      <w:r>
        <w:rPr>
          <w:rFonts w:eastAsia="Calibri"/>
        </w:rPr>
        <w:t>vykonáva</w:t>
      </w:r>
      <w:r w:rsidRPr="009A26DF">
        <w:rPr>
          <w:rFonts w:eastAsia="Calibri"/>
        </w:rPr>
        <w:t xml:space="preserve"> na základe </w:t>
      </w:r>
      <w:r w:rsidRPr="009A26DF">
        <w:rPr>
          <w:rFonts w:eastAsia="Calibri"/>
          <w:iCs/>
        </w:rPr>
        <w:t xml:space="preserve">dohody o vykonávaní práce na skúšku ZUoZ u zamestnávateľa. </w:t>
      </w:r>
      <w:r w:rsidRPr="009A26DF">
        <w:rPr>
          <w:rFonts w:eastAsia="Calibri"/>
        </w:rPr>
        <w:t xml:space="preserve">ZUoZ, zaradený do práce na skúšku, zostáva po celú dobu vykonávania práce v evidencii UoZ. </w:t>
      </w:r>
    </w:p>
    <w:p w14:paraId="4A37C2EE" w14:textId="4BB7E700" w:rsidR="009A26DF" w:rsidRPr="009A26DF" w:rsidRDefault="009A26DF" w:rsidP="00537FC2">
      <w:pPr>
        <w:spacing w:before="120" w:after="0"/>
        <w:ind w:left="5" w:hanging="6"/>
        <w:rPr>
          <w:rFonts w:eastAsia="Calibri"/>
        </w:rPr>
      </w:pPr>
      <w:r w:rsidRPr="009A26DF">
        <w:rPr>
          <w:rFonts w:eastAsia="Calibri"/>
        </w:rPr>
        <w:t xml:space="preserve">V roku 2024 bolo prijatých 709 žiadostí zamestnávateľov o poskytnutie príspevku na podporu vytvorenia 1 152 PM na vykonávanie práce na skúšku v celkovej žiadanej sume 1 041 968 </w:t>
      </w:r>
      <w:r w:rsidR="00790522">
        <w:rPr>
          <w:rFonts w:eastAsia="Calibri"/>
        </w:rPr>
        <w:t>eur</w:t>
      </w:r>
      <w:r w:rsidRPr="009A26DF">
        <w:rPr>
          <w:rFonts w:eastAsia="Calibri"/>
        </w:rPr>
        <w:t xml:space="preserve">. Schválených  bolo 606 žiadostí zamestnávateľov na podporu vytvorenia 819 PM na vykonávanie práce na skúšku v celkovej dohodnutej výške 817 528 </w:t>
      </w:r>
      <w:r w:rsidR="00790522">
        <w:rPr>
          <w:rFonts w:eastAsia="Calibri"/>
        </w:rPr>
        <w:t>eur</w:t>
      </w:r>
      <w:r w:rsidRPr="009A26DF">
        <w:rPr>
          <w:rFonts w:eastAsia="Calibri"/>
        </w:rPr>
        <w:t xml:space="preserve">, pričom k 31. 12. 2024 bolo z nich vytvorených 711 PM na vykonávanie práce na skúšku, na ktoré boli zaradení znevýhodnení UoZ            z oprávnenej cieľovej skupiny. Celkové čerpanie finančných prostriedkov súvisiacich s prácou na skúšku k 31. 12. 2024 bolo vo výške 777 005 </w:t>
      </w:r>
      <w:r w:rsidR="00790522">
        <w:rPr>
          <w:rFonts w:eastAsia="Calibri"/>
        </w:rPr>
        <w:t>eur</w:t>
      </w:r>
      <w:r w:rsidRPr="009A26DF">
        <w:rPr>
          <w:rFonts w:eastAsia="Calibri"/>
        </w:rPr>
        <w:t xml:space="preserve">, pričom zamestnávateľom boli uhradené finančné prostriedky vo výške 394 003 </w:t>
      </w:r>
      <w:r w:rsidR="00790522">
        <w:rPr>
          <w:rFonts w:eastAsia="Calibri"/>
        </w:rPr>
        <w:t>eur</w:t>
      </w:r>
      <w:r w:rsidRPr="009A26DF">
        <w:rPr>
          <w:rFonts w:eastAsia="Calibri"/>
        </w:rPr>
        <w:t xml:space="preserve"> a ZUoZ boli uhradené finančné prostriedky vo výške 383 003 </w:t>
      </w:r>
      <w:r w:rsidR="00790522">
        <w:rPr>
          <w:rFonts w:eastAsia="Calibri"/>
        </w:rPr>
        <w:t>eur</w:t>
      </w:r>
      <w:r w:rsidRPr="009A26DF">
        <w:rPr>
          <w:rFonts w:eastAsia="Calibri"/>
        </w:rPr>
        <w:t xml:space="preserve">. </w:t>
      </w:r>
    </w:p>
    <w:p w14:paraId="5C09F063" w14:textId="764042C8" w:rsidR="009A26DF" w:rsidRPr="009A26DF" w:rsidRDefault="009A26DF" w:rsidP="00537FC2">
      <w:pPr>
        <w:spacing w:before="120" w:after="0"/>
        <w:ind w:left="6" w:hanging="6"/>
        <w:rPr>
          <w:rFonts w:eastAsia="Calibri"/>
        </w:rPr>
      </w:pPr>
      <w:r w:rsidRPr="009A26DF">
        <w:rPr>
          <w:rFonts w:eastAsia="Calibri"/>
        </w:rPr>
        <w:t xml:space="preserve">V rámci </w:t>
      </w:r>
      <w:r w:rsidRPr="009A26DF">
        <w:rPr>
          <w:rFonts w:eastAsia="Calibri"/>
          <w:u w:val="single"/>
        </w:rPr>
        <w:t>priority 4P1</w:t>
      </w:r>
      <w:r w:rsidRPr="009A26DF">
        <w:rPr>
          <w:rFonts w:eastAsia="Calibri"/>
        </w:rPr>
        <w:t xml:space="preserve"> - Adaptabilný a prístupný trh práce, bolo prijatých 598 žiadostí zamestnávateľov o poskytnutie finančného príspevku na podporu vytvorenia 1 003 PM v celkovej žiadanej sume 918 877 </w:t>
      </w:r>
      <w:r w:rsidR="00790522">
        <w:rPr>
          <w:rFonts w:eastAsia="Calibri"/>
        </w:rPr>
        <w:t>eur</w:t>
      </w:r>
      <w:r w:rsidRPr="009A26DF">
        <w:rPr>
          <w:rFonts w:eastAsia="Calibri"/>
        </w:rPr>
        <w:t xml:space="preserve">. Z celkového počtu prijatých žiadostí bolo schválených  518 na podporu vytvorenia 711 PM na vykonávanie práce na skúšku v celkovej dohodnutej výške 720 713 </w:t>
      </w:r>
      <w:r w:rsidR="00790522">
        <w:rPr>
          <w:rFonts w:eastAsia="Calibri"/>
        </w:rPr>
        <w:t>eur</w:t>
      </w:r>
      <w:r w:rsidRPr="009A26DF">
        <w:rPr>
          <w:rFonts w:eastAsia="Calibri"/>
        </w:rPr>
        <w:t xml:space="preserve">, pričom k 31. 12. 2024 bolo vytvorených 614 PM, na ktoré boli zaradení znevýhodnení UoZ z oprávnenej cieľovej skupiny. Celkové čerpanie finančných prostriedkov k 31. </w:t>
      </w:r>
      <w:r w:rsidR="00790522">
        <w:rPr>
          <w:rFonts w:eastAsia="Calibri"/>
        </w:rPr>
        <w:t>12. 2024 bolo vo výške 670 271 eur</w:t>
      </w:r>
      <w:r w:rsidRPr="009A26DF">
        <w:rPr>
          <w:rFonts w:eastAsia="Calibri"/>
        </w:rPr>
        <w:t xml:space="preserve">, pričom zamestnávateľom boli uhradené finančné prostriedky vo </w:t>
      </w:r>
      <w:r w:rsidR="00790522">
        <w:rPr>
          <w:rFonts w:eastAsia="Calibri"/>
        </w:rPr>
        <w:t>výške 339 819 eur a ZUoZ 330 452 eur</w:t>
      </w:r>
      <w:r w:rsidRPr="009A26DF">
        <w:rPr>
          <w:rFonts w:eastAsia="Calibri"/>
        </w:rPr>
        <w:t xml:space="preserve">. </w:t>
      </w:r>
    </w:p>
    <w:p w14:paraId="3B8AA3FD" w14:textId="46F9A1B9" w:rsidR="009A26DF" w:rsidRPr="009A26DF" w:rsidRDefault="009A26DF" w:rsidP="00537FC2">
      <w:pPr>
        <w:spacing w:before="120" w:after="0"/>
        <w:ind w:left="6" w:hanging="6"/>
        <w:rPr>
          <w:rFonts w:eastAsia="Calibri"/>
        </w:rPr>
      </w:pPr>
      <w:r w:rsidRPr="009A26DF">
        <w:rPr>
          <w:rFonts w:eastAsia="Calibri"/>
        </w:rPr>
        <w:t xml:space="preserve">V rámci </w:t>
      </w:r>
      <w:r w:rsidRPr="009A26DF">
        <w:rPr>
          <w:rFonts w:eastAsia="Calibri"/>
          <w:u w:val="single"/>
        </w:rPr>
        <w:t>priority 4P4</w:t>
      </w:r>
      <w:r w:rsidRPr="009A26DF">
        <w:rPr>
          <w:rFonts w:eastAsia="Calibri"/>
        </w:rPr>
        <w:t xml:space="preserve"> - Záruka pre mladých bolo prijatých 111 žiadostí na podporu vytvorenia 149 PM v celkovej žiadanej sume 123 091 </w:t>
      </w:r>
      <w:r w:rsidR="00790522">
        <w:rPr>
          <w:rFonts w:eastAsia="Calibri"/>
        </w:rPr>
        <w:t>eur</w:t>
      </w:r>
      <w:r w:rsidRPr="009A26DF">
        <w:rPr>
          <w:rFonts w:eastAsia="Calibri"/>
        </w:rPr>
        <w:t xml:space="preserve">. Z celkového počtu prijatých žiadostí zamestnávateľov bolo schválených 88 žiadostí zamestnávateľov na podporu vytvorenia 108 PM, v celkovej dohodnutej výške 96 814 </w:t>
      </w:r>
      <w:r w:rsidR="00790522">
        <w:rPr>
          <w:rFonts w:eastAsia="Calibri"/>
        </w:rPr>
        <w:t>eur</w:t>
      </w:r>
      <w:r w:rsidRPr="009A26DF">
        <w:rPr>
          <w:rFonts w:eastAsia="Calibri"/>
        </w:rPr>
        <w:t xml:space="preserve">. K 31. 12. 2024 bolo vytvorených 97 PM na vykonávanie práce na skúšku, na ktoré boli zaradení znevýhodnení UoZ z oprávnenej cieľovej skupiny. Celkové čerpanie finančných prostriedkov súvisiacich s prácou na skúšku k 31. 12. 2024 bolo vo výške 106 734 </w:t>
      </w:r>
      <w:r w:rsidR="00790522">
        <w:rPr>
          <w:rFonts w:eastAsia="Calibri"/>
        </w:rPr>
        <w:t>eur</w:t>
      </w:r>
      <w:r w:rsidRPr="009A26DF">
        <w:rPr>
          <w:rFonts w:eastAsia="Calibri"/>
        </w:rPr>
        <w:t xml:space="preserve">, pričom zamestnávateľom boli uhradené finančné prostriedky vo výške 54 183 </w:t>
      </w:r>
      <w:r w:rsidR="00790522">
        <w:rPr>
          <w:rFonts w:eastAsia="Calibri"/>
        </w:rPr>
        <w:t>eur</w:t>
      </w:r>
      <w:r w:rsidRPr="009A26DF">
        <w:rPr>
          <w:rFonts w:eastAsia="Calibri"/>
        </w:rPr>
        <w:t xml:space="preserve"> a ZUoZ boli uhradené finančné prostriedky vo výške 52 551 </w:t>
      </w:r>
      <w:r w:rsidR="00790522">
        <w:rPr>
          <w:rFonts w:eastAsia="Calibri"/>
        </w:rPr>
        <w:t>eur</w:t>
      </w:r>
      <w:r w:rsidRPr="009A26DF">
        <w:rPr>
          <w:rFonts w:eastAsia="Calibri"/>
        </w:rPr>
        <w:t xml:space="preserve">. </w:t>
      </w:r>
    </w:p>
    <w:p w14:paraId="6C38697B" w14:textId="77777777" w:rsidR="00790522" w:rsidRDefault="009A26DF" w:rsidP="00790522">
      <w:pPr>
        <w:spacing w:before="120" w:after="0"/>
        <w:ind w:firstLine="0"/>
        <w:rPr>
          <w:rFonts w:eastAsia="Calibri"/>
        </w:rPr>
      </w:pPr>
      <w:r w:rsidRPr="009A26DF">
        <w:rPr>
          <w:rFonts w:eastAsia="Calibri"/>
        </w:rPr>
        <w:t xml:space="preserve">V rámci štruktúry ZUoZ zaradených na vykonávanie práce na skúšku,  z celkového počtu 711 ZUoZ, 649 UoZ malo znevýhodnenie – dlhodobo nezamestnaný občan (37,41 %) a 120 UoZ  boli občania so zdravotným znevýhodnením(6,92 %). V 288 prípadoch (16,60 %) sa jednalo o občanov starších ako 50 rokov veku, 211 občanov (12,16 %) dosiahlo nižšie ako stredné odborné vzdelanie, 443 občanov (25,53 % občanov) </w:t>
      </w:r>
      <w:r w:rsidRPr="009A26DF">
        <w:t>najmenej 12 po sebe nasledujúcich kalendárnych mesiacov pred zaradením do evidencie uchádzačov o zamestnanie nemalo pravidelne platené zamestnanie.</w:t>
      </w:r>
      <w:r w:rsidR="00790522">
        <w:t xml:space="preserve"> </w:t>
      </w:r>
      <w:r w:rsidR="00790522">
        <w:rPr>
          <w:rFonts w:eastAsia="Calibri"/>
        </w:rPr>
        <w:t xml:space="preserve">UoZ môže mať aj kombináciu </w:t>
      </w:r>
      <w:r w:rsidRPr="009A26DF">
        <w:rPr>
          <w:rFonts w:eastAsia="Calibri"/>
        </w:rPr>
        <w:t>viac</w:t>
      </w:r>
      <w:r w:rsidR="00790522">
        <w:rPr>
          <w:rFonts w:eastAsia="Calibri"/>
        </w:rPr>
        <w:t>erých</w:t>
      </w:r>
      <w:r w:rsidRPr="009A26DF">
        <w:rPr>
          <w:rFonts w:eastAsia="Calibri"/>
        </w:rPr>
        <w:t xml:space="preserve"> znevýhodnení</w:t>
      </w:r>
      <w:r w:rsidR="00790522">
        <w:rPr>
          <w:rFonts w:eastAsia="Calibri"/>
        </w:rPr>
        <w:t>.</w:t>
      </w:r>
    </w:p>
    <w:p w14:paraId="3D4D22F5" w14:textId="2F4E2453" w:rsidR="009A26DF" w:rsidRPr="009A26DF" w:rsidRDefault="00790522" w:rsidP="00790522">
      <w:pPr>
        <w:spacing w:before="120" w:after="0"/>
        <w:ind w:firstLine="0"/>
        <w:rPr>
          <w:rFonts w:eastAsia="Calibri"/>
          <w:b/>
        </w:rPr>
      </w:pPr>
      <w:r>
        <w:rPr>
          <w:rFonts w:eastAsia="Calibri"/>
        </w:rPr>
        <w:t xml:space="preserve">Podiely </w:t>
      </w:r>
      <w:r w:rsidRPr="009A26DF">
        <w:rPr>
          <w:rFonts w:eastAsia="Calibri"/>
        </w:rPr>
        <w:t xml:space="preserve">ZUoZ </w:t>
      </w:r>
      <w:r>
        <w:rPr>
          <w:rFonts w:eastAsia="Calibri"/>
        </w:rPr>
        <w:t>z</w:t>
      </w:r>
      <w:r w:rsidRPr="009A26DF">
        <w:rPr>
          <w:rFonts w:eastAsia="Calibri"/>
        </w:rPr>
        <w:t xml:space="preserve">aradených na vykonávanie práce na skúšku </w:t>
      </w:r>
      <w:r>
        <w:rPr>
          <w:rFonts w:eastAsia="Calibri"/>
        </w:rPr>
        <w:t>podľa znevýhodnenia vyjadruje</w:t>
      </w:r>
      <w:r w:rsidR="009A26DF" w:rsidRPr="009A26DF">
        <w:t xml:space="preserve"> </w:t>
      </w:r>
      <w:r>
        <w:t>graf</w:t>
      </w:r>
      <w:r w:rsidR="009A26DF" w:rsidRPr="009A26DF">
        <w:t xml:space="preserve"> nižšie</w:t>
      </w:r>
      <w:r w:rsidR="009A26DF" w:rsidRPr="009A26DF">
        <w:rPr>
          <w:b/>
        </w:rPr>
        <w:t>.</w:t>
      </w:r>
    </w:p>
    <w:p w14:paraId="4704CB7D" w14:textId="398F5B65" w:rsidR="009A26DF" w:rsidRPr="009A26DF" w:rsidRDefault="009A26DF" w:rsidP="009A26DF">
      <w:pPr>
        <w:ind w:firstLine="0"/>
        <w:rPr>
          <w:rFonts w:eastAsia="Calibri"/>
          <w:b/>
        </w:rPr>
      </w:pPr>
      <w:r w:rsidRPr="009A26DF">
        <w:rPr>
          <w:noProof/>
          <w:sz w:val="20"/>
          <w:szCs w:val="20"/>
        </w:rPr>
        <w:lastRenderedPageBreak/>
        <w:drawing>
          <wp:anchor distT="0" distB="0" distL="114300" distR="114300" simplePos="0" relativeHeight="252717568" behindDoc="0" locked="0" layoutInCell="1" allowOverlap="1" wp14:anchorId="39E0B4B2" wp14:editId="780698FD">
            <wp:simplePos x="0" y="0"/>
            <wp:positionH relativeFrom="margin">
              <wp:align>left</wp:align>
            </wp:positionH>
            <wp:positionV relativeFrom="paragraph">
              <wp:posOffset>193040</wp:posOffset>
            </wp:positionV>
            <wp:extent cx="5862955" cy="3317240"/>
            <wp:effectExtent l="0" t="0" r="4445" b="16510"/>
            <wp:wrapTopAndBottom/>
            <wp:docPr id="255" name="Graf 25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p>
    <w:p w14:paraId="1DFF55E6" w14:textId="4401EB4F" w:rsidR="009A26DF" w:rsidRPr="009A26DF" w:rsidRDefault="00790522" w:rsidP="00790522">
      <w:pPr>
        <w:spacing w:before="120" w:after="0"/>
        <w:ind w:firstLine="0"/>
        <w:rPr>
          <w:rFonts w:eastAsia="Calibri"/>
          <w:b/>
        </w:rPr>
      </w:pPr>
      <w:r w:rsidRPr="009A26DF">
        <w:rPr>
          <w:noProof/>
          <w:sz w:val="20"/>
          <w:szCs w:val="20"/>
        </w:rPr>
        <w:drawing>
          <wp:anchor distT="0" distB="0" distL="114300" distR="114300" simplePos="0" relativeHeight="252718592" behindDoc="0" locked="0" layoutInCell="1" allowOverlap="1" wp14:anchorId="7A5A9564" wp14:editId="3CE1646E">
            <wp:simplePos x="0" y="0"/>
            <wp:positionH relativeFrom="margin">
              <wp:posOffset>-2540</wp:posOffset>
            </wp:positionH>
            <wp:positionV relativeFrom="paragraph">
              <wp:posOffset>4512310</wp:posOffset>
            </wp:positionV>
            <wp:extent cx="5862955" cy="2822575"/>
            <wp:effectExtent l="0" t="0" r="4445" b="15875"/>
            <wp:wrapTopAndBottom/>
            <wp:docPr id="229" name="Graf 22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Pr>
          <w:rFonts w:eastAsia="Calibri"/>
        </w:rPr>
        <w:t>Z hľadiska veku</w:t>
      </w:r>
      <w:r w:rsidR="009A26DF" w:rsidRPr="009A26DF">
        <w:rPr>
          <w:rFonts w:eastAsia="Calibri"/>
        </w:rPr>
        <w:t xml:space="preserve">, najväčšiu skupinu tvorili UoZ vo veku od 30 do 49 rokov -   327 UoZ (45,99 %). Druhou skupinou boli UoZ vo veku 50 a viac rokov veku – 287 UoZ (40,37 %), treťou skupinou boli UoZ vo veku do 24 rokov - 56 (7,88 %) a poslednou skupinou boli UoZ od 25 do 29 rokov v počte 41 UoZ (5,77 %) ,  pričom 125 UoZ spĺňalo vekovú skupinu do 30 rokov mínus jeden deň. Počet zaradených UoZ na prácu na skúšku podľa vekovej štruktúry je vyjadrený </w:t>
      </w:r>
      <w:r>
        <w:rPr>
          <w:rFonts w:eastAsia="Calibri"/>
        </w:rPr>
        <w:t xml:space="preserve">             </w:t>
      </w:r>
      <w:r w:rsidR="009A26DF" w:rsidRPr="009A26DF">
        <w:rPr>
          <w:rFonts w:eastAsia="Calibri"/>
        </w:rPr>
        <w:t xml:space="preserve">v nasledujúcom grafe nižšie. </w:t>
      </w:r>
    </w:p>
    <w:p w14:paraId="1F4AC550" w14:textId="77777777" w:rsidR="009A26DF" w:rsidRPr="009A26DF" w:rsidRDefault="009A26DF" w:rsidP="00790522">
      <w:pPr>
        <w:spacing w:before="120" w:after="0"/>
        <w:ind w:firstLine="0"/>
      </w:pPr>
      <w:r w:rsidRPr="009A26DF">
        <w:rPr>
          <w:bCs/>
        </w:rPr>
        <w:t>Z hľadiska doby evidencie</w:t>
      </w:r>
      <w:r w:rsidRPr="009A26DF">
        <w:t xml:space="preserve">, pred zaradením na prácu na skúšku v roku 2024 bolo najviac – 377 UoZ (53,02 %) v evidencii UoZ nad 24 mesiacov, od 13 do 24 mesiacov bolo v evidencii 269 UoZ (37,83%), od 0 do 3 mesiacov bolo v evidencii 33 UoZ (4,64 %), rovnakú časť tvorili UoZ od 4 do 6 mesiacov a UoZ od 7 do 12 mesiacov, ktorých bolo v evidencii 16 UoZ (2,25%), v štruktúre podľa grafu nižšie. </w:t>
      </w:r>
    </w:p>
    <w:p w14:paraId="12805938" w14:textId="77777777" w:rsidR="009A26DF" w:rsidRPr="009A26DF" w:rsidRDefault="009A26DF" w:rsidP="009A26DF">
      <w:pPr>
        <w:spacing w:after="0"/>
        <w:ind w:firstLine="0"/>
        <w:rPr>
          <w:bCs/>
        </w:rPr>
      </w:pPr>
      <w:r w:rsidRPr="009A26DF">
        <w:rPr>
          <w:noProof/>
          <w:sz w:val="20"/>
          <w:szCs w:val="20"/>
        </w:rPr>
        <w:lastRenderedPageBreak/>
        <w:drawing>
          <wp:anchor distT="0" distB="0" distL="114300" distR="114300" simplePos="0" relativeHeight="252719616" behindDoc="0" locked="0" layoutInCell="1" allowOverlap="1" wp14:anchorId="385DB5F2" wp14:editId="1B6D770F">
            <wp:simplePos x="0" y="0"/>
            <wp:positionH relativeFrom="margin">
              <wp:align>left</wp:align>
            </wp:positionH>
            <wp:positionV relativeFrom="paragraph">
              <wp:posOffset>210820</wp:posOffset>
            </wp:positionV>
            <wp:extent cx="5838825" cy="2867025"/>
            <wp:effectExtent l="0" t="0" r="9525" b="9525"/>
            <wp:wrapTopAndBottom/>
            <wp:docPr id="230" name="Graf 23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43CB99AD" w14:textId="470B8E6C" w:rsidR="009A26DF" w:rsidRPr="009A26DF" w:rsidRDefault="002A1920" w:rsidP="00790522">
      <w:pPr>
        <w:spacing w:before="120" w:after="0"/>
        <w:ind w:hanging="6"/>
      </w:pPr>
      <w:r w:rsidRPr="009A26DF">
        <w:rPr>
          <w:noProof/>
          <w:sz w:val="20"/>
          <w:szCs w:val="20"/>
        </w:rPr>
        <w:drawing>
          <wp:anchor distT="0" distB="0" distL="114300" distR="114300" simplePos="0" relativeHeight="252720640" behindDoc="0" locked="0" layoutInCell="1" allowOverlap="1" wp14:anchorId="41979144" wp14:editId="4A783C70">
            <wp:simplePos x="0" y="0"/>
            <wp:positionH relativeFrom="margin">
              <wp:posOffset>-2540</wp:posOffset>
            </wp:positionH>
            <wp:positionV relativeFrom="paragraph">
              <wp:posOffset>3448685</wp:posOffset>
            </wp:positionV>
            <wp:extent cx="5862955" cy="3108960"/>
            <wp:effectExtent l="0" t="0" r="4445" b="15240"/>
            <wp:wrapTopAndBottom/>
            <wp:docPr id="231" name="Graf 23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rsidR="009A26DF" w:rsidRPr="009A26DF">
        <w:rPr>
          <w:bCs/>
        </w:rPr>
        <w:t>Z hľadiska pohlavia</w:t>
      </w:r>
      <w:r w:rsidR="009A26DF" w:rsidRPr="009A26DF">
        <w:t xml:space="preserve">, bolo z celkového počtu ZUoZ, zaradených do práce na skúšku 463 (65,12 %) žien a  248 (34,88 %) mužov, v štruktúre podľa nasledujúceho grafu. </w:t>
      </w:r>
    </w:p>
    <w:p w14:paraId="22409046" w14:textId="77777777" w:rsidR="009A26DF" w:rsidRPr="009A26DF" w:rsidRDefault="009A26DF" w:rsidP="00790522">
      <w:pPr>
        <w:spacing w:before="120" w:after="0"/>
        <w:ind w:firstLine="0"/>
      </w:pPr>
      <w:r w:rsidRPr="009A26DF">
        <w:rPr>
          <w:bCs/>
        </w:rPr>
        <w:t>Z hľadiska profesie</w:t>
      </w:r>
      <w:r w:rsidRPr="009A26DF">
        <w:t xml:space="preserve"> (SK ISCO), ktorú v rámci práce na skúšku najväčšiu skupinu tvorili UoZ, ktorí pracovali ako pracovníci v službách a obchode v počte 213 UoZ, čo je 29,96 % z celkového počtu 711 zaradených UoZ. Ďalšou väčšou skupinou boli administratívni pracovníci, ktorých bolo 158 UoZ (22,22 %), pomocní a nekvalifikovaní pracovníci v počte 134 UoZ (18,85 %), kvalifikovaní pracovníci a remeselníci v počte 64 UoZ (9,00 %), technici a odborní pracovníci v počte 52 UoZ (7,31 %), kvalifikovaní pracovníci v poľnohospodárstve, lesníctve a rybárstve v počte 46 UoZ (6,47 %), špecialisti v počte 32 UoZ (4,50 %) a operátori a montéri strojov a zariadení v počte 12 (1,69 %) v štruktúre podľa grafu nižšie.</w:t>
      </w:r>
    </w:p>
    <w:p w14:paraId="21EB9F67" w14:textId="77777777" w:rsidR="009A26DF" w:rsidRPr="009A26DF" w:rsidRDefault="009A26DF" w:rsidP="009A26DF">
      <w:pPr>
        <w:rPr>
          <w:noProof/>
          <w:sz w:val="20"/>
          <w:szCs w:val="20"/>
        </w:rPr>
      </w:pPr>
    </w:p>
    <w:p w14:paraId="674F0151" w14:textId="77777777" w:rsidR="009A26DF" w:rsidRPr="009A26DF" w:rsidRDefault="009A26DF" w:rsidP="009A26DF">
      <w:r w:rsidRPr="009A26DF">
        <w:rPr>
          <w:noProof/>
          <w:sz w:val="20"/>
          <w:szCs w:val="20"/>
        </w:rPr>
        <w:lastRenderedPageBreak/>
        <w:drawing>
          <wp:anchor distT="0" distB="0" distL="114300" distR="114300" simplePos="0" relativeHeight="252722688" behindDoc="0" locked="0" layoutInCell="1" allowOverlap="1" wp14:anchorId="73B0D9AA" wp14:editId="32E7BA78">
            <wp:simplePos x="0" y="0"/>
            <wp:positionH relativeFrom="margin">
              <wp:posOffset>0</wp:posOffset>
            </wp:positionH>
            <wp:positionV relativeFrom="paragraph">
              <wp:posOffset>201930</wp:posOffset>
            </wp:positionV>
            <wp:extent cx="5862955" cy="2758440"/>
            <wp:effectExtent l="0" t="0" r="4445" b="3810"/>
            <wp:wrapTopAndBottom/>
            <wp:docPr id="49" name="Graf 4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p>
    <w:p w14:paraId="5A0782A8" w14:textId="1A34E89C" w:rsidR="009A26DF" w:rsidRPr="009A26DF" w:rsidRDefault="00CC1F26" w:rsidP="00CC1F26">
      <w:pPr>
        <w:overflowPunct w:val="0"/>
        <w:autoSpaceDE w:val="0"/>
        <w:autoSpaceDN w:val="0"/>
        <w:adjustRightInd w:val="0"/>
        <w:spacing w:before="120" w:after="0"/>
        <w:ind w:firstLine="0"/>
        <w:textAlignment w:val="baseline"/>
      </w:pPr>
      <w:r w:rsidRPr="009A26DF">
        <w:rPr>
          <w:noProof/>
          <w:sz w:val="20"/>
          <w:szCs w:val="20"/>
        </w:rPr>
        <w:drawing>
          <wp:anchor distT="0" distB="0" distL="114300" distR="114300" simplePos="0" relativeHeight="252721664" behindDoc="0" locked="0" layoutInCell="1" allowOverlap="1" wp14:anchorId="79CC9526" wp14:editId="388F7411">
            <wp:simplePos x="0" y="0"/>
            <wp:positionH relativeFrom="margin">
              <wp:posOffset>-2540</wp:posOffset>
            </wp:positionH>
            <wp:positionV relativeFrom="paragraph">
              <wp:posOffset>4130675</wp:posOffset>
            </wp:positionV>
            <wp:extent cx="5862955" cy="3037205"/>
            <wp:effectExtent l="0" t="0" r="4445" b="10795"/>
            <wp:wrapTopAndBottom/>
            <wp:docPr id="48" name="Graf 4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sidR="009A26DF" w:rsidRPr="009A26DF">
        <w:t xml:space="preserve">Do práce na skúšku sa v roku 2024 zapojilo 606 zamestnávateľov. Z hľadiska právnej formy zamestnávateľa, najväčší záujem o vytváranie PM prejavili obce v počte 305 (50,33 </w:t>
      </w:r>
      <w:r w:rsidR="009A26DF" w:rsidRPr="009A26DF">
        <w:rPr>
          <w:lang w:val="en-GB"/>
        </w:rPr>
        <w:t>%</w:t>
      </w:r>
      <w:r w:rsidR="009A26DF" w:rsidRPr="009A26DF">
        <w:t xml:space="preserve">), za nimi nasledovali spol. s. r. o., ktorých bolo 95 (15,68 </w:t>
      </w:r>
      <w:r w:rsidR="009A26DF" w:rsidRPr="009A26DF">
        <w:rPr>
          <w:lang w:val="en-GB"/>
        </w:rPr>
        <w:t>%</w:t>
      </w:r>
      <w:r w:rsidR="009A26DF" w:rsidRPr="009A26DF">
        <w:t xml:space="preserve">) a rozpočtové organizácie, ktorých bolo 74 (12,21 </w:t>
      </w:r>
      <w:r w:rsidR="009A26DF" w:rsidRPr="009A26DF">
        <w:rPr>
          <w:lang w:val="en-GB"/>
        </w:rPr>
        <w:t>%</w:t>
      </w:r>
      <w:r w:rsidR="009A26DF" w:rsidRPr="009A26DF">
        <w:t xml:space="preserve">). Ďalšie kategórie zamestnávateľov tvorili živnostníci, ktorých bolo 38 (6,27 </w:t>
      </w:r>
      <w:r w:rsidR="009A26DF" w:rsidRPr="009A26DF">
        <w:rPr>
          <w:lang w:val="en-GB"/>
        </w:rPr>
        <w:t>%</w:t>
      </w:r>
      <w:r w:rsidR="009A26DF" w:rsidRPr="009A26DF">
        <w:t xml:space="preserve">), mimovládne organizácie – 24 (3,96 %), príspevkové organizácie v počte 23 (3,80 %), iné právne formy v počte 21 (3,47 %) a združenia v počte 20 (3,30 %). Najmenšiu časť tvorilo 6 cirkevných organizácii (0,99 %), v štruktúre podľa grafu nižšie. </w:t>
      </w:r>
    </w:p>
    <w:p w14:paraId="6D2C4B48" w14:textId="38F93277" w:rsidR="009A26DF" w:rsidRPr="009A26DF" w:rsidRDefault="009A26DF" w:rsidP="009A26DF">
      <w:pPr>
        <w:overflowPunct w:val="0"/>
        <w:autoSpaceDE w:val="0"/>
        <w:autoSpaceDN w:val="0"/>
        <w:adjustRightInd w:val="0"/>
        <w:spacing w:after="0"/>
        <w:ind w:firstLine="0"/>
        <w:textAlignment w:val="baseline"/>
      </w:pPr>
    </w:p>
    <w:p w14:paraId="5B149DD7" w14:textId="2B053223" w:rsidR="009A26DF" w:rsidRPr="00374D06" w:rsidRDefault="009A26DF" w:rsidP="00374D06">
      <w:pPr>
        <w:pStyle w:val="Nadpis4"/>
      </w:pPr>
      <w:bookmarkStart w:id="161" w:name="_Toc199230865"/>
      <w:r w:rsidRPr="00374D06">
        <w:t>Podaktivita 5 Udržanie občana so zdravotným postihnutím v zamestnaní na otvorenom trhu práce</w:t>
      </w:r>
      <w:bookmarkEnd w:id="161"/>
      <w:r w:rsidRPr="00374D06">
        <w:t xml:space="preserve"> </w:t>
      </w:r>
    </w:p>
    <w:p w14:paraId="40F82403" w14:textId="77777777" w:rsidR="009A26DF" w:rsidRPr="009A26DF" w:rsidRDefault="009A26DF" w:rsidP="00CC1F26">
      <w:pPr>
        <w:spacing w:after="0"/>
        <w:ind w:hanging="6"/>
        <w:rPr>
          <w:rFonts w:eastAsia="Calibri"/>
        </w:rPr>
      </w:pPr>
      <w:r w:rsidRPr="009A26DF">
        <w:rPr>
          <w:rFonts w:eastAsia="Calibri"/>
        </w:rPr>
        <w:t xml:space="preserve">Realizácia aktivity začala 1. 10. 2024 a je naplánovaná do septembra 2029. Podaktivita 5  sa implementuje na celom území Slovenskej republiky.  </w:t>
      </w:r>
    </w:p>
    <w:p w14:paraId="0A8A57F1" w14:textId="79001CB1" w:rsidR="009A26DF" w:rsidRPr="009A26DF" w:rsidRDefault="009A26DF" w:rsidP="00CC1F26">
      <w:pPr>
        <w:spacing w:before="120" w:after="0"/>
        <w:ind w:hanging="6"/>
        <w:rPr>
          <w:rFonts w:eastAsia="Calibri"/>
        </w:rPr>
      </w:pPr>
      <w:r w:rsidRPr="009A26DF">
        <w:rPr>
          <w:rFonts w:eastAsia="Calibri"/>
        </w:rPr>
        <w:t xml:space="preserve">Cieľom podaktivity 5 je motivovať zamestnávateľov zachovať pracovné miesto pre zamestnanca, na ktorom vykonával pracovnú činnosť pred jeho uznaním za invalidného podľa osobitného predpisu alebo ho zamestnať na inom pracovnom mieste zodpovedajúcom jeho zdravotnému stavu, ak bol tento zamestnanec uznaný za invalidného a z dôvodu zmeny zdravotného stavu nie je spôsobilý na vykonávanie doterajšej pracovnej činnosti. Po uplynutí podpornej doby je </w:t>
      </w:r>
      <w:r w:rsidRPr="009A26DF">
        <w:rPr>
          <w:rFonts w:eastAsia="Calibri"/>
        </w:rPr>
        <w:lastRenderedPageBreak/>
        <w:t>zamestnávateľ povinný udržať pracovné miesto podporovaného zamestnanca so zdravotným postihnutím minimálne 3 mesiace a maximálne 9 mesiacov v závislosti od doby podporovania. Finančný príspevok sa poskytuje zamestnávateľovi, ktorý udrží        v zamestnaní zamestnanca, ktorý sa počas zamestnania stal OZP.</w:t>
      </w:r>
    </w:p>
    <w:p w14:paraId="26FF77FE" w14:textId="59E3A036" w:rsidR="009A26DF" w:rsidRPr="009A26DF" w:rsidRDefault="00CC1F26" w:rsidP="00CC1F26">
      <w:pPr>
        <w:spacing w:before="120" w:after="0"/>
        <w:ind w:hanging="6"/>
        <w:rPr>
          <w:rFonts w:eastAsia="Calibri"/>
        </w:rPr>
      </w:pPr>
      <w:r w:rsidRPr="00FF2519">
        <w:rPr>
          <w:rFonts w:eastAsia="Calibri"/>
        </w:rPr>
        <w:t xml:space="preserve">Oprávnenou cieľovou skupinou je </w:t>
      </w:r>
      <w:r w:rsidR="009A26DF" w:rsidRPr="009A26DF">
        <w:rPr>
          <w:rFonts w:eastAsia="Calibri"/>
        </w:rPr>
        <w:t xml:space="preserve">v rámci </w:t>
      </w:r>
      <w:r w:rsidR="009A26DF" w:rsidRPr="009A26DF">
        <w:rPr>
          <w:rFonts w:eastAsia="Calibri"/>
          <w:u w:val="single"/>
        </w:rPr>
        <w:t>priority 4P1</w:t>
      </w:r>
      <w:r w:rsidR="009A26DF" w:rsidRPr="009A26DF">
        <w:rPr>
          <w:rFonts w:eastAsia="Calibri"/>
        </w:rPr>
        <w:t xml:space="preserve"> - Adaptabilný a prístupný trh práce - zamestnanec vo veku od 30 rokov </w:t>
      </w:r>
      <w:r w:rsidRPr="00FF2519">
        <w:rPr>
          <w:rFonts w:eastAsia="Calibri"/>
        </w:rPr>
        <w:t xml:space="preserve"> a</w:t>
      </w:r>
      <w:r w:rsidR="009A26DF" w:rsidRPr="009A26DF">
        <w:rPr>
          <w:rFonts w:eastAsia="Calibri"/>
        </w:rPr>
        <w:t xml:space="preserve"> v rámci </w:t>
      </w:r>
      <w:r w:rsidR="009A26DF" w:rsidRPr="009A26DF">
        <w:rPr>
          <w:rFonts w:eastAsia="Calibri"/>
          <w:u w:val="single"/>
        </w:rPr>
        <w:t>priority 4P4</w:t>
      </w:r>
      <w:r w:rsidR="009A26DF" w:rsidRPr="009A26DF">
        <w:rPr>
          <w:rFonts w:eastAsia="Calibri"/>
        </w:rPr>
        <w:t xml:space="preserve"> - Záruka pre mladých - zamestnanec vo veku do 30 </w:t>
      </w:r>
      <w:r w:rsidRPr="00FF2519">
        <w:rPr>
          <w:rFonts w:eastAsia="Calibri"/>
        </w:rPr>
        <w:t>rokov, ktorý sa stal OZP (</w:t>
      </w:r>
      <w:r w:rsidR="009A26DF" w:rsidRPr="009A26DF">
        <w:rPr>
          <w:rFonts w:eastAsia="Calibri"/>
        </w:rPr>
        <w:t xml:space="preserve">bol uznaný za invalidného) počas trvania pracovného pomeru u zamestnávateľa pôsobiaceho na otvorenom trhu práce a zamestnávateľ ho ponechá ďalej pracovať na jeho doterajšom pracovnom mieste, alebo ho preradí na iné pracovné miesto, zodpovedajúce jeho zdravotnému stavu, ak nie je spôsobilý na vykonávanie doterajšej pracovnej činnosti. </w:t>
      </w:r>
    </w:p>
    <w:p w14:paraId="0CC18676" w14:textId="6D09637A" w:rsidR="009A26DF" w:rsidRPr="009A26DF" w:rsidRDefault="009A26DF" w:rsidP="00CC1F26">
      <w:pPr>
        <w:spacing w:before="120" w:after="0"/>
        <w:ind w:hanging="6"/>
        <w:rPr>
          <w:rFonts w:eastAsia="Calibri"/>
        </w:rPr>
      </w:pPr>
      <w:r w:rsidRPr="009A26DF">
        <w:rPr>
          <w:rFonts w:eastAsia="Calibri"/>
        </w:rPr>
        <w:t xml:space="preserve">V roku 2024 boli podané 4 žiadosti o poskytnutie príspevku, vo výške 7 670 </w:t>
      </w:r>
      <w:r w:rsidR="00790522" w:rsidRPr="00FF2519">
        <w:rPr>
          <w:rFonts w:eastAsia="Calibri"/>
        </w:rPr>
        <w:t>eur</w:t>
      </w:r>
      <w:r w:rsidRPr="009A26DF">
        <w:rPr>
          <w:rFonts w:eastAsia="Calibri"/>
        </w:rPr>
        <w:t xml:space="preserve">. </w:t>
      </w:r>
      <w:r w:rsidR="00CC1F26" w:rsidRPr="00FF2519">
        <w:rPr>
          <w:rFonts w:eastAsia="Calibri"/>
        </w:rPr>
        <w:t>U</w:t>
      </w:r>
      <w:r w:rsidRPr="009A26DF">
        <w:rPr>
          <w:rFonts w:eastAsia="Calibri"/>
        </w:rPr>
        <w:t xml:space="preserve">zatvorená </w:t>
      </w:r>
      <w:r w:rsidR="00CC1F26" w:rsidRPr="00FF2519">
        <w:rPr>
          <w:rFonts w:eastAsia="Calibri"/>
        </w:rPr>
        <w:t>b</w:t>
      </w:r>
      <w:r w:rsidR="00CC1F26" w:rsidRPr="009A26DF">
        <w:rPr>
          <w:rFonts w:eastAsia="Calibri"/>
        </w:rPr>
        <w:t>ola</w:t>
      </w:r>
      <w:r w:rsidR="00CC1F26" w:rsidRPr="00FF2519">
        <w:rPr>
          <w:rFonts w:eastAsia="Calibri"/>
        </w:rPr>
        <w:t xml:space="preserve"> 1</w:t>
      </w:r>
      <w:r w:rsidRPr="009A26DF">
        <w:rPr>
          <w:rFonts w:eastAsia="Calibri"/>
        </w:rPr>
        <w:t xml:space="preserve"> dohoda so zamestnávateľom v</w:t>
      </w:r>
      <w:r w:rsidR="00CC1F26" w:rsidRPr="00FF2519">
        <w:rPr>
          <w:rFonts w:eastAsia="Calibri"/>
        </w:rPr>
        <w:t xml:space="preserve"> dohodnutej </w:t>
      </w:r>
      <w:r w:rsidRPr="009A26DF">
        <w:rPr>
          <w:rFonts w:eastAsia="Calibri"/>
        </w:rPr>
        <w:t xml:space="preserve">sume 2 496 </w:t>
      </w:r>
      <w:r w:rsidR="00790522" w:rsidRPr="00FF2519">
        <w:rPr>
          <w:rFonts w:eastAsia="Calibri"/>
        </w:rPr>
        <w:t>eur</w:t>
      </w:r>
      <w:r w:rsidRPr="009A26DF">
        <w:rPr>
          <w:rFonts w:eastAsia="Calibri"/>
        </w:rPr>
        <w:t>, na jedného zamestnanca so ZP. V hodnotenom roku</w:t>
      </w:r>
      <w:r w:rsidR="00CC1F26" w:rsidRPr="00FF2519">
        <w:rPr>
          <w:rFonts w:eastAsia="Calibri"/>
        </w:rPr>
        <w:t xml:space="preserve"> 2024</w:t>
      </w:r>
      <w:r w:rsidRPr="009A26DF">
        <w:rPr>
          <w:rFonts w:eastAsia="Calibri"/>
        </w:rPr>
        <w:t xml:space="preserve"> neboli čerpané žiadne finančné prostriedky. Všetci žiadatelia boli vo veku 50 rokov a viac. Z uvedených 4 žiadateľov boli 3 ženy (75%) a 1 muž (25%).</w:t>
      </w:r>
    </w:p>
    <w:p w14:paraId="577B5B86" w14:textId="1C3A41EC" w:rsidR="009A26DF" w:rsidRPr="009A26DF" w:rsidRDefault="00CC1F26" w:rsidP="009A26DF">
      <w:pPr>
        <w:jc w:val="center"/>
        <w:rPr>
          <w:rFonts w:cstheme="minorHAnsi"/>
        </w:rPr>
      </w:pPr>
      <w:r w:rsidRPr="009A26DF">
        <w:rPr>
          <w:noProof/>
        </w:rPr>
        <w:drawing>
          <wp:anchor distT="0" distB="0" distL="114300" distR="114300" simplePos="0" relativeHeight="252726784" behindDoc="0" locked="0" layoutInCell="1" allowOverlap="1" wp14:anchorId="5C1E29E9" wp14:editId="23FBCC32">
            <wp:simplePos x="0" y="0"/>
            <wp:positionH relativeFrom="column">
              <wp:posOffset>-1933</wp:posOffset>
            </wp:positionH>
            <wp:positionV relativeFrom="paragraph">
              <wp:posOffset>39315</wp:posOffset>
            </wp:positionV>
            <wp:extent cx="5824855" cy="2631882"/>
            <wp:effectExtent l="0" t="0" r="4445" b="16510"/>
            <wp:wrapNone/>
            <wp:docPr id="454" name="Graf 45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p>
    <w:p w14:paraId="32731559" w14:textId="080F66C3" w:rsidR="009A26DF" w:rsidRDefault="009A26DF" w:rsidP="009A26DF">
      <w:pPr>
        <w:rPr>
          <w:rFonts w:cstheme="minorHAnsi"/>
        </w:rPr>
      </w:pPr>
    </w:p>
    <w:p w14:paraId="51E5FBBD" w14:textId="2F4944AF" w:rsidR="00CC1F26" w:rsidRDefault="00CC1F26" w:rsidP="009A26DF">
      <w:pPr>
        <w:rPr>
          <w:rFonts w:cstheme="minorHAnsi"/>
        </w:rPr>
      </w:pPr>
    </w:p>
    <w:p w14:paraId="28DCBF19" w14:textId="6DEA3A00" w:rsidR="00CC1F26" w:rsidRDefault="00CC1F26" w:rsidP="009A26DF">
      <w:pPr>
        <w:rPr>
          <w:rFonts w:cstheme="minorHAnsi"/>
        </w:rPr>
      </w:pPr>
    </w:p>
    <w:p w14:paraId="4DC00A09" w14:textId="75BA5AA1" w:rsidR="00CC1F26" w:rsidRDefault="00CC1F26" w:rsidP="009A26DF">
      <w:pPr>
        <w:rPr>
          <w:rFonts w:cstheme="minorHAnsi"/>
        </w:rPr>
      </w:pPr>
    </w:p>
    <w:p w14:paraId="0933C402" w14:textId="4DC97027" w:rsidR="00CC1F26" w:rsidRDefault="00CC1F26" w:rsidP="009A26DF">
      <w:pPr>
        <w:rPr>
          <w:rFonts w:cstheme="minorHAnsi"/>
        </w:rPr>
      </w:pPr>
    </w:p>
    <w:p w14:paraId="43E05A4A" w14:textId="4CBABADD" w:rsidR="00CC1F26" w:rsidRDefault="00CC1F26" w:rsidP="009A26DF">
      <w:pPr>
        <w:rPr>
          <w:rFonts w:cstheme="minorHAnsi"/>
        </w:rPr>
      </w:pPr>
    </w:p>
    <w:p w14:paraId="329F7ED0" w14:textId="1963B15D" w:rsidR="00CC1F26" w:rsidRDefault="00CC1F26" w:rsidP="009A26DF">
      <w:pPr>
        <w:rPr>
          <w:rFonts w:cstheme="minorHAnsi"/>
        </w:rPr>
      </w:pPr>
    </w:p>
    <w:p w14:paraId="20980013" w14:textId="4C427B5F" w:rsidR="00CC1F26" w:rsidRDefault="00CC1F26" w:rsidP="009A26DF">
      <w:pPr>
        <w:rPr>
          <w:rFonts w:cstheme="minorHAnsi"/>
        </w:rPr>
      </w:pPr>
    </w:p>
    <w:p w14:paraId="2D83C0B5" w14:textId="7DC59C24" w:rsidR="00CC1F26" w:rsidRDefault="00CC1F26" w:rsidP="009A26DF">
      <w:pPr>
        <w:rPr>
          <w:rFonts w:cstheme="minorHAnsi"/>
        </w:rPr>
      </w:pPr>
    </w:p>
    <w:p w14:paraId="21041C5F" w14:textId="46E780DC" w:rsidR="00CC1F26" w:rsidRDefault="00CC1F26" w:rsidP="009A26DF">
      <w:pPr>
        <w:rPr>
          <w:rFonts w:cstheme="minorHAnsi"/>
        </w:rPr>
      </w:pPr>
    </w:p>
    <w:p w14:paraId="3A4764A5" w14:textId="748F1AE3" w:rsidR="00CC1F26" w:rsidRDefault="00CC1F26" w:rsidP="009A26DF">
      <w:pPr>
        <w:rPr>
          <w:rFonts w:cstheme="minorHAnsi"/>
        </w:rPr>
      </w:pPr>
    </w:p>
    <w:p w14:paraId="310763C9" w14:textId="77777777" w:rsidR="00CC1F26" w:rsidRDefault="00CC1F26" w:rsidP="009A26DF">
      <w:pPr>
        <w:rPr>
          <w:rFonts w:cstheme="minorHAnsi"/>
        </w:rPr>
      </w:pPr>
    </w:p>
    <w:p w14:paraId="2AA871B4" w14:textId="77777777" w:rsidR="00CC1F26" w:rsidRPr="009A26DF" w:rsidRDefault="00CC1F26" w:rsidP="009A26DF">
      <w:pPr>
        <w:rPr>
          <w:rFonts w:cstheme="minorHAnsi"/>
        </w:rPr>
      </w:pPr>
    </w:p>
    <w:p w14:paraId="11FB5489" w14:textId="0C232112" w:rsidR="009A26DF" w:rsidRPr="009A26DF" w:rsidRDefault="009A26DF" w:rsidP="00BD2E69">
      <w:pPr>
        <w:pStyle w:val="Nadpis3"/>
      </w:pPr>
      <w:bookmarkStart w:id="162" w:name="_Toc199230866"/>
      <w:r w:rsidRPr="009A26DF">
        <w:t xml:space="preserve">Aktivita 2 </w:t>
      </w:r>
      <w:r w:rsidR="00944AE6">
        <w:t xml:space="preserve">- </w:t>
      </w:r>
      <w:r w:rsidRPr="009A26DF">
        <w:t>Poskytovanie finančných príspevkov na začatie vykonávania samostatnej zárobkovej činnosti - Podpora SZČO</w:t>
      </w:r>
      <w:bookmarkEnd w:id="162"/>
      <w:r w:rsidRPr="009A26DF">
        <w:t xml:space="preserve"> </w:t>
      </w:r>
    </w:p>
    <w:p w14:paraId="3B21529F" w14:textId="165ACC1F" w:rsidR="009A26DF" w:rsidRPr="00944AE6" w:rsidRDefault="009A26DF" w:rsidP="00FF2519">
      <w:pPr>
        <w:spacing w:before="120" w:after="0"/>
        <w:ind w:firstLine="0"/>
        <w:rPr>
          <w:color w:val="000000" w:themeColor="text1"/>
        </w:rPr>
      </w:pPr>
      <w:r w:rsidRPr="009A26DF">
        <w:rPr>
          <w:color w:val="000000" w:themeColor="text1"/>
        </w:rPr>
        <w:t>Realizácia aktivity</w:t>
      </w:r>
      <w:r w:rsidR="00944AE6">
        <w:rPr>
          <w:color w:val="000000" w:themeColor="text1"/>
        </w:rPr>
        <w:t xml:space="preserve"> 2 - Podpora SZČO prebieha od mája </w:t>
      </w:r>
      <w:r w:rsidRPr="009A26DF">
        <w:rPr>
          <w:color w:val="000000" w:themeColor="text1"/>
        </w:rPr>
        <w:t xml:space="preserve">2024 do 12/2029. </w:t>
      </w:r>
      <w:r w:rsidRPr="00944AE6">
        <w:rPr>
          <w:color w:val="000000" w:themeColor="text1"/>
        </w:rPr>
        <w:t>Cieľom je zvýšenie zamestnanosti ZUoZ a mladých uchádzačov o zamestnanie MUoZ – NEET podporou vytvárania udržateľných pracovných miest na samostatnú zárobkovú činnosť (</w:t>
      </w:r>
      <w:r w:rsidR="00944AE6">
        <w:rPr>
          <w:color w:val="000000" w:themeColor="text1"/>
        </w:rPr>
        <w:t>SZČ</w:t>
      </w:r>
      <w:r w:rsidRPr="00944AE6">
        <w:rPr>
          <w:color w:val="000000" w:themeColor="text1"/>
        </w:rPr>
        <w:t xml:space="preserve">) formou samozamestnania pre UoZ vedeného v evidencii UoZ úradu prostredníctvom finančného príspevku, ktorý sa v roku 2024 poskytoval vo výške 7 534 </w:t>
      </w:r>
      <w:r w:rsidR="00790522" w:rsidRPr="00944AE6">
        <w:rPr>
          <w:color w:val="000000" w:themeColor="text1"/>
        </w:rPr>
        <w:t>eur</w:t>
      </w:r>
      <w:r w:rsidRPr="00944AE6">
        <w:rPr>
          <w:color w:val="000000" w:themeColor="text1"/>
        </w:rPr>
        <w:t xml:space="preserve"> na jedného UoZ po splnení všetkých podmienok oprávnenosti jeho poskytnutia. </w:t>
      </w:r>
    </w:p>
    <w:p w14:paraId="1CEC6B39" w14:textId="77777777" w:rsidR="009A26DF" w:rsidRPr="009A26DF" w:rsidRDefault="009A26DF" w:rsidP="00FF2519">
      <w:pPr>
        <w:spacing w:before="120" w:after="0"/>
        <w:ind w:firstLine="0"/>
        <w:rPr>
          <w:color w:val="000000" w:themeColor="text1"/>
        </w:rPr>
      </w:pPr>
      <w:r w:rsidRPr="00944AE6">
        <w:rPr>
          <w:color w:val="000000" w:themeColor="text1"/>
        </w:rPr>
        <w:t>Finančný príspevok sa poskytoval prostredníctvom jednorazovej platby na základe riadne uzatvorenej, platnej a účinnej dohody o poskytnutí finančného príspevku</w:t>
      </w:r>
      <w:r w:rsidRPr="009A26DF">
        <w:rPr>
          <w:color w:val="000000" w:themeColor="text1"/>
        </w:rPr>
        <w:t xml:space="preserve"> na vytvorenie pracovného miesta na SZČ prostredníctvom samozamestnania. </w:t>
      </w:r>
    </w:p>
    <w:p w14:paraId="333330FB" w14:textId="77777777" w:rsidR="009A26DF" w:rsidRPr="009A26DF" w:rsidRDefault="009A26DF" w:rsidP="00FF2519">
      <w:pPr>
        <w:spacing w:before="120" w:after="0"/>
        <w:ind w:firstLine="0"/>
        <w:rPr>
          <w:color w:val="000000" w:themeColor="text1"/>
        </w:rPr>
      </w:pPr>
      <w:r w:rsidRPr="009A26DF">
        <w:rPr>
          <w:color w:val="000000" w:themeColor="text1"/>
        </w:rPr>
        <w:t xml:space="preserve">ZUoZ a MUoZ - NEET sú povinní  pred vstupom do tejto aktivity úspešne absolvovať „profesijné poradenstvo pre UoZ“ zamerané na vypracovanie podnikateľského zámeru, zabezpečenie potrebnej dokumentácie, ako aj školenia zaoberajúce sa okrem iného aj legislatívou, finančným manažmentom a marketingom. Povinnou súčasťou prípravy na začatie prevádzkovania alebo vykonávania SZČ je aj vypracovanie podnikateľského zámeru. </w:t>
      </w:r>
    </w:p>
    <w:p w14:paraId="4DEAED2B" w14:textId="77777777" w:rsidR="009A26DF" w:rsidRPr="009A26DF" w:rsidRDefault="009A26DF" w:rsidP="00FF2519">
      <w:pPr>
        <w:spacing w:before="120" w:after="0"/>
        <w:ind w:firstLine="0"/>
        <w:rPr>
          <w:color w:val="000000" w:themeColor="text1"/>
        </w:rPr>
      </w:pPr>
    </w:p>
    <w:p w14:paraId="4899583F" w14:textId="77777777" w:rsidR="009A26DF" w:rsidRPr="00944AE6" w:rsidRDefault="009A26DF" w:rsidP="00FF2519">
      <w:pPr>
        <w:spacing w:before="120" w:after="0"/>
        <w:ind w:firstLine="0"/>
        <w:rPr>
          <w:color w:val="000000" w:themeColor="text1"/>
        </w:rPr>
      </w:pPr>
      <w:r w:rsidRPr="00944AE6">
        <w:rPr>
          <w:color w:val="000000" w:themeColor="text1"/>
        </w:rPr>
        <w:lastRenderedPageBreak/>
        <w:t xml:space="preserve">Aktivita 2 sa implementuje na celom území Slovenskej republiky prostredníctvom 46 úradov. Účelom finančného príspevku je podporovanie budúcich SZČO v začiatkoch ich podnikania. Finančný príspevok sa poskytuje žiadateľom, ktorí vytvoria pracovné miesto prostredníctvom samozamestnania v súlade s ustanovením § 5 ods. 1 písm. b), c), d) zákona  o službách zamestnanosti. Pre túto aktivitu sa však vypúšťajú samostatne hospodáriaci roľníci (SHR), ktorí by svoju činnosť vykonávali na vodných plochách. </w:t>
      </w:r>
    </w:p>
    <w:p w14:paraId="20A41F59" w14:textId="77777777" w:rsidR="009A26DF" w:rsidRPr="00944AE6" w:rsidRDefault="009A26DF" w:rsidP="00FF2519">
      <w:pPr>
        <w:spacing w:before="120" w:after="0"/>
        <w:ind w:firstLine="0"/>
        <w:rPr>
          <w:color w:val="000000" w:themeColor="text1"/>
        </w:rPr>
      </w:pPr>
      <w:r w:rsidRPr="00944AE6">
        <w:rPr>
          <w:color w:val="000000" w:themeColor="text1"/>
        </w:rPr>
        <w:t xml:space="preserve">Za vytvorenie pracovného miesta prostredníctvom samozamestnania sa považuje začatie prevádzkovania alebo vykonávania SZČ a jej nepretržité prevádzkovanie alebo vykonávanie najmenej dva roky. </w:t>
      </w:r>
    </w:p>
    <w:p w14:paraId="3E51ABE3" w14:textId="77777777" w:rsidR="009A26DF" w:rsidRPr="00944AE6" w:rsidRDefault="009A26DF" w:rsidP="00FF2519">
      <w:pPr>
        <w:spacing w:before="120" w:after="0"/>
        <w:ind w:firstLine="0"/>
        <w:rPr>
          <w:color w:val="000000" w:themeColor="text1"/>
        </w:rPr>
      </w:pPr>
      <w:r w:rsidRPr="00944AE6">
        <w:rPr>
          <w:color w:val="000000" w:themeColor="text1"/>
        </w:rPr>
        <w:t>Cieľovou skupinou v roku 2024 bol ZUoZ podľa § 8 ods. 1 písm. b) až i) zákona o službách zamestnanosti vedený v evidencii UoZ najmenej 1 mesiac a MUoZ - NEET vo veku do 30 rokov (30 rokov mínus 1 deň), ktorý bol vedený v evidencii UoZ najmenej 1 mesiac a splnil minimálne jednu z nasledujúcich podmienok (dosiahol nižšie ako stredné odborné vzdelanie, bol občanom so ZP podľa § 8 ods. 1 písm. h) zákona o službách zamestnanosti, pred zaradením do evidencie UoZ nemal pravidelne platené zamestnanie alebo neprevádzkoval SZČ podľa § 8 ods. 1 písm. e) zákona o službách zamestnanosti), ktorý bol vedený v evidencii najmenej 3 mesiace a splnil podmienky (dosiahol stredné odborné vzdelanie alebo vyšší stupeň vzdelania).</w:t>
      </w:r>
    </w:p>
    <w:p w14:paraId="3F855E98" w14:textId="17711A65" w:rsidR="009A26DF" w:rsidRPr="00944AE6" w:rsidRDefault="009A26DF" w:rsidP="00FF2519">
      <w:pPr>
        <w:spacing w:before="120" w:after="0"/>
        <w:ind w:firstLine="0"/>
        <w:rPr>
          <w:color w:val="000000" w:themeColor="text1"/>
        </w:rPr>
      </w:pPr>
      <w:r w:rsidRPr="00944AE6">
        <w:rPr>
          <w:color w:val="000000" w:themeColor="text1"/>
        </w:rPr>
        <w:t xml:space="preserve">V roku 2024 bolo v rámci aktivity 2 prijatých 2 603 žiadostí UoZ o finančný príspevok na podporu SZČ za účelom vytvorenia PM na SZČ prostredníctvom samozamestnania, z toho bol počet dohodnutých miest 2 144   v celkovej dohodnutej výške 16 145 362 </w:t>
      </w:r>
      <w:r w:rsidR="00790522" w:rsidRPr="00944AE6">
        <w:rPr>
          <w:color w:val="000000" w:themeColor="text1"/>
        </w:rPr>
        <w:t>eur</w:t>
      </w:r>
      <w:r w:rsidRPr="00944AE6">
        <w:rPr>
          <w:color w:val="000000" w:themeColor="text1"/>
        </w:rPr>
        <w:t xml:space="preserve">. Do aktivity 2 bolo v roku 2024 zaradených 1 885 osôb s čerpanou sumou finančných príspevkov vo výške 14 096 114 </w:t>
      </w:r>
      <w:r w:rsidR="00790522" w:rsidRPr="00944AE6">
        <w:rPr>
          <w:color w:val="000000" w:themeColor="text1"/>
        </w:rPr>
        <w:t>eur</w:t>
      </w:r>
      <w:r w:rsidRPr="00944AE6">
        <w:rPr>
          <w:color w:val="000000" w:themeColor="text1"/>
        </w:rPr>
        <w:t xml:space="preserve">. </w:t>
      </w:r>
    </w:p>
    <w:p w14:paraId="37263197" w14:textId="4BA69F5A" w:rsidR="009A26DF" w:rsidRPr="00944AE6" w:rsidRDefault="009A26DF" w:rsidP="00FF2519">
      <w:pPr>
        <w:spacing w:before="120" w:after="0"/>
        <w:ind w:firstLine="0"/>
        <w:rPr>
          <w:color w:val="000000" w:themeColor="text1"/>
        </w:rPr>
      </w:pPr>
      <w:r w:rsidRPr="00944AE6">
        <w:rPr>
          <w:color w:val="000000" w:themeColor="text1"/>
        </w:rPr>
        <w:t xml:space="preserve">Z toho, v rámci priority 4P1 - Adaptabilný a prístupný trh práce bolo v roku 2024 prijatých 1 730 žiadostí UoZ o finančný príspevok na podporu SZČ, z toho bol počet dohodnutých miest 1 407 v celkovej dohodnutej výške 10 592 804 </w:t>
      </w:r>
      <w:r w:rsidR="00790522" w:rsidRPr="00944AE6">
        <w:rPr>
          <w:color w:val="000000" w:themeColor="text1"/>
        </w:rPr>
        <w:t>eur</w:t>
      </w:r>
      <w:r w:rsidRPr="00944AE6">
        <w:rPr>
          <w:color w:val="000000" w:themeColor="text1"/>
        </w:rPr>
        <w:t xml:space="preserve">.  Do aktivity 2 bolo v roku 2024 zaradených 1 244 klientov s čerpanou sumou finančných príspevkov vo výške 9 327 092 </w:t>
      </w:r>
      <w:r w:rsidR="00790522" w:rsidRPr="00944AE6">
        <w:rPr>
          <w:color w:val="000000" w:themeColor="text1"/>
        </w:rPr>
        <w:t>eur</w:t>
      </w:r>
      <w:r w:rsidRPr="00944AE6">
        <w:rPr>
          <w:color w:val="000000" w:themeColor="text1"/>
        </w:rPr>
        <w:t xml:space="preserve">. </w:t>
      </w:r>
    </w:p>
    <w:p w14:paraId="4847D53C" w14:textId="1B16468F" w:rsidR="009A26DF" w:rsidRPr="009A26DF" w:rsidRDefault="009A26DF" w:rsidP="00FF2519">
      <w:pPr>
        <w:spacing w:before="120" w:after="0"/>
        <w:ind w:firstLine="0"/>
        <w:rPr>
          <w:color w:val="000000" w:themeColor="text1"/>
        </w:rPr>
      </w:pPr>
      <w:r w:rsidRPr="00944AE6">
        <w:rPr>
          <w:color w:val="000000" w:themeColor="text1"/>
        </w:rPr>
        <w:t>V rámci priority 4P4 - Záruka pre mladých bolo v roku 2024 prijatých</w:t>
      </w:r>
      <w:r w:rsidRPr="009A26DF">
        <w:rPr>
          <w:color w:val="000000" w:themeColor="text1"/>
        </w:rPr>
        <w:t xml:space="preserve"> 873  žiadostí UoZ o poskytnutie finančného príspevku, z toho bol počet dohodnutých miest 737, v celkovej dohodnutej výške 5 552 558 </w:t>
      </w:r>
      <w:r w:rsidR="00790522">
        <w:rPr>
          <w:color w:val="000000" w:themeColor="text1"/>
        </w:rPr>
        <w:t>eur</w:t>
      </w:r>
      <w:r w:rsidRPr="009A26DF">
        <w:rPr>
          <w:color w:val="000000" w:themeColor="text1"/>
        </w:rPr>
        <w:t xml:space="preserve">.  Do aktivity 2 bolo v roku 2024 zaradených 641 klientov s čerpanou sumou finančných príspevkov vo výške 4 769 022 </w:t>
      </w:r>
      <w:r w:rsidR="00790522">
        <w:rPr>
          <w:color w:val="000000" w:themeColor="text1"/>
        </w:rPr>
        <w:t>eur</w:t>
      </w:r>
      <w:r w:rsidRPr="009A26DF">
        <w:rPr>
          <w:color w:val="000000" w:themeColor="text1"/>
        </w:rPr>
        <w:t>.</w:t>
      </w:r>
    </w:p>
    <w:p w14:paraId="62E7DF6C" w14:textId="77777777" w:rsidR="009A26DF" w:rsidRPr="009A26DF" w:rsidRDefault="009A26DF" w:rsidP="00FF2519">
      <w:pPr>
        <w:spacing w:before="120" w:after="0"/>
        <w:ind w:firstLine="0"/>
        <w:rPr>
          <w:color w:val="000000" w:themeColor="text1"/>
        </w:rPr>
      </w:pPr>
      <w:r w:rsidRPr="009A26DF">
        <w:rPr>
          <w:color w:val="000000" w:themeColor="text1"/>
        </w:rPr>
        <w:t>V roku 2024 skončilo účasť na tomto AOTP 5 osôb, pričom sa z tohto počtu do evidencie UoZ vrátil do 1 mesiaca 1 UoZ, do 3 mesiacov 1 UoZ a do 6 mesiacov 1 UoZ  (išlo o MUoZ – NEET).</w:t>
      </w:r>
    </w:p>
    <w:p w14:paraId="74730F11" w14:textId="7B656E4C" w:rsidR="009A26DF" w:rsidRPr="009A26DF" w:rsidRDefault="009A26DF" w:rsidP="00FF2519">
      <w:pPr>
        <w:tabs>
          <w:tab w:val="left" w:pos="3428"/>
        </w:tabs>
        <w:overflowPunct w:val="0"/>
        <w:autoSpaceDE w:val="0"/>
        <w:autoSpaceDN w:val="0"/>
        <w:adjustRightInd w:val="0"/>
        <w:spacing w:before="120" w:after="0"/>
        <w:ind w:firstLine="0"/>
        <w:textAlignment w:val="baseline"/>
        <w:rPr>
          <w:b/>
          <w:color w:val="000000" w:themeColor="text1"/>
          <w:u w:val="single"/>
        </w:rPr>
      </w:pPr>
      <w:r w:rsidRPr="009A26DF">
        <w:rPr>
          <w:color w:val="000000" w:themeColor="text1"/>
        </w:rPr>
        <w:t xml:space="preserve">V roku 2024 bolo </w:t>
      </w:r>
      <w:r w:rsidRPr="009A26DF">
        <w:rPr>
          <w:rFonts w:cs="Calibri"/>
          <w:color w:val="000000" w:themeColor="text1"/>
        </w:rPr>
        <w:t xml:space="preserve">do aktivity 2 zaradených 1 885 osôb s čerpanou sumou finančných príspevkov vo výške </w:t>
      </w:r>
      <w:r w:rsidRPr="009A26DF">
        <w:rPr>
          <w:rFonts w:eastAsia="Calibri" w:cstheme="minorHAnsi"/>
          <w:color w:val="000000" w:themeColor="text1"/>
        </w:rPr>
        <w:t xml:space="preserve">14 096 114 </w:t>
      </w:r>
      <w:r w:rsidR="00790522">
        <w:rPr>
          <w:rFonts w:cs="Calibri"/>
          <w:color w:val="000000" w:themeColor="text1"/>
        </w:rPr>
        <w:t>eur</w:t>
      </w:r>
      <w:r w:rsidRPr="009A26DF">
        <w:rPr>
          <w:rFonts w:cs="Calibri"/>
          <w:color w:val="000000" w:themeColor="text1"/>
        </w:rPr>
        <w:t xml:space="preserve">, </w:t>
      </w:r>
      <w:r w:rsidRPr="009A26DF">
        <w:rPr>
          <w:rFonts w:eastAsia="Calibri"/>
          <w:color w:val="000000" w:themeColor="text1"/>
        </w:rPr>
        <w:t>v štruktúre podľa nasledujúcej tabuľky.</w:t>
      </w:r>
    </w:p>
    <w:tbl>
      <w:tblPr>
        <w:tblpPr w:leftFromText="141" w:rightFromText="141" w:vertAnchor="text" w:horzAnchor="margin" w:tblpY="204"/>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591"/>
        <w:gridCol w:w="2919"/>
        <w:gridCol w:w="2914"/>
      </w:tblGrid>
      <w:tr w:rsidR="009A26DF" w:rsidRPr="009A26DF" w14:paraId="3A89AB39" w14:textId="77777777" w:rsidTr="00312A80">
        <w:trPr>
          <w:trHeight w:val="595"/>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D160166" w14:textId="77777777" w:rsidR="009A26DF" w:rsidRPr="009A26DF" w:rsidRDefault="009A26DF" w:rsidP="00FF2519">
            <w:pPr>
              <w:spacing w:after="0"/>
              <w:ind w:firstLine="0"/>
              <w:jc w:val="center"/>
              <w:rPr>
                <w:rFonts w:asciiTheme="minorHAnsi" w:hAnsiTheme="minorHAnsi" w:cstheme="minorHAnsi"/>
                <w:b/>
                <w:bCs/>
                <w:color w:val="000000" w:themeColor="text1"/>
                <w:sz w:val="20"/>
                <w:szCs w:val="20"/>
              </w:rPr>
            </w:pPr>
            <w:r w:rsidRPr="009A26DF">
              <w:rPr>
                <w:rFonts w:asciiTheme="minorHAnsi" w:hAnsiTheme="minorHAnsi" w:cstheme="minorHAnsi"/>
                <w:b/>
                <w:bCs/>
                <w:color w:val="000000" w:themeColor="text1"/>
                <w:sz w:val="20"/>
                <w:szCs w:val="20"/>
              </w:rPr>
              <w:t>Rok</w:t>
            </w:r>
          </w:p>
        </w:tc>
        <w:tc>
          <w:tcPr>
            <w:tcW w:w="141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0409A91" w14:textId="77777777" w:rsidR="009A26DF" w:rsidRPr="009A26DF" w:rsidRDefault="009A26DF" w:rsidP="00FF2519">
            <w:pPr>
              <w:spacing w:after="0"/>
              <w:ind w:firstLine="0"/>
              <w:jc w:val="center"/>
              <w:rPr>
                <w:rFonts w:asciiTheme="minorHAnsi" w:hAnsiTheme="minorHAnsi" w:cstheme="minorHAnsi"/>
                <w:b/>
                <w:bCs/>
                <w:color w:val="000000" w:themeColor="text1"/>
                <w:sz w:val="20"/>
                <w:szCs w:val="20"/>
              </w:rPr>
            </w:pPr>
            <w:r w:rsidRPr="009A26DF">
              <w:rPr>
                <w:rFonts w:asciiTheme="minorHAnsi" w:hAnsiTheme="minorHAnsi" w:cstheme="minorHAnsi"/>
                <w:b/>
                <w:bCs/>
                <w:color w:val="000000" w:themeColor="text1"/>
                <w:sz w:val="20"/>
                <w:szCs w:val="20"/>
              </w:rPr>
              <w:t>Počet vytvorených PM</w:t>
            </w:r>
          </w:p>
        </w:tc>
        <w:tc>
          <w:tcPr>
            <w:tcW w:w="159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97697E6" w14:textId="77777777" w:rsidR="009A26DF" w:rsidRPr="009A26DF" w:rsidRDefault="009A26DF" w:rsidP="00FF2519">
            <w:pPr>
              <w:spacing w:after="0"/>
              <w:ind w:firstLine="0"/>
              <w:jc w:val="center"/>
              <w:rPr>
                <w:rFonts w:asciiTheme="minorHAnsi" w:hAnsiTheme="minorHAnsi" w:cstheme="minorHAnsi"/>
                <w:b/>
                <w:bCs/>
                <w:color w:val="000000" w:themeColor="text1"/>
                <w:sz w:val="20"/>
                <w:szCs w:val="20"/>
              </w:rPr>
            </w:pPr>
            <w:r w:rsidRPr="009A26DF">
              <w:rPr>
                <w:rFonts w:asciiTheme="minorHAnsi" w:hAnsiTheme="minorHAnsi" w:cstheme="minorHAnsi"/>
                <w:b/>
                <w:bCs/>
                <w:color w:val="000000" w:themeColor="text1"/>
                <w:sz w:val="20"/>
                <w:szCs w:val="20"/>
              </w:rPr>
              <w:t>Z toho počet žien</w:t>
            </w:r>
          </w:p>
        </w:tc>
        <w:tc>
          <w:tcPr>
            <w:tcW w:w="158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5AE299F" w14:textId="77777777" w:rsidR="009A26DF" w:rsidRPr="009A26DF" w:rsidRDefault="009A26DF" w:rsidP="00FF2519">
            <w:pPr>
              <w:spacing w:after="0"/>
              <w:ind w:firstLine="0"/>
              <w:jc w:val="center"/>
              <w:rPr>
                <w:rFonts w:asciiTheme="minorHAnsi" w:hAnsiTheme="minorHAnsi" w:cstheme="minorHAnsi"/>
                <w:b/>
                <w:bCs/>
                <w:color w:val="000000" w:themeColor="text1"/>
                <w:sz w:val="20"/>
                <w:szCs w:val="20"/>
              </w:rPr>
            </w:pPr>
            <w:r w:rsidRPr="009A26DF">
              <w:rPr>
                <w:rFonts w:asciiTheme="minorHAnsi" w:hAnsiTheme="minorHAnsi" w:cstheme="minorHAnsi"/>
                <w:b/>
                <w:bCs/>
                <w:color w:val="000000" w:themeColor="text1"/>
                <w:sz w:val="20"/>
                <w:szCs w:val="20"/>
              </w:rPr>
              <w:t>Čerpanie finančných</w:t>
            </w:r>
          </w:p>
          <w:p w14:paraId="757F9525" w14:textId="657FB5BE" w:rsidR="009A26DF" w:rsidRPr="009A26DF" w:rsidRDefault="009A26DF" w:rsidP="00FF2519">
            <w:pPr>
              <w:spacing w:after="0"/>
              <w:ind w:firstLine="0"/>
              <w:jc w:val="center"/>
              <w:rPr>
                <w:rFonts w:asciiTheme="minorHAnsi" w:hAnsiTheme="minorHAnsi" w:cstheme="minorHAnsi"/>
                <w:b/>
                <w:bCs/>
                <w:color w:val="000000" w:themeColor="text1"/>
                <w:sz w:val="20"/>
                <w:szCs w:val="20"/>
              </w:rPr>
            </w:pPr>
            <w:r w:rsidRPr="009A26DF">
              <w:rPr>
                <w:rFonts w:asciiTheme="minorHAnsi" w:hAnsiTheme="minorHAnsi" w:cstheme="minorHAnsi"/>
                <w:b/>
                <w:bCs/>
                <w:color w:val="000000" w:themeColor="text1"/>
                <w:sz w:val="20"/>
                <w:szCs w:val="20"/>
              </w:rPr>
              <w:t xml:space="preserve">prostriedkov </w:t>
            </w:r>
            <w:r w:rsidRPr="009A26DF">
              <w:rPr>
                <w:rFonts w:asciiTheme="minorHAnsi" w:hAnsiTheme="minorHAnsi" w:cstheme="minorHAnsi"/>
                <w:color w:val="000000" w:themeColor="text1"/>
                <w:sz w:val="20"/>
                <w:szCs w:val="20"/>
              </w:rPr>
              <w:t xml:space="preserve">(v </w:t>
            </w:r>
            <w:r w:rsidR="00790522" w:rsidRPr="00FF2519">
              <w:rPr>
                <w:rFonts w:asciiTheme="minorHAnsi" w:hAnsiTheme="minorHAnsi" w:cstheme="minorHAnsi"/>
                <w:color w:val="000000" w:themeColor="text1"/>
                <w:sz w:val="20"/>
                <w:szCs w:val="20"/>
              </w:rPr>
              <w:t>eur</w:t>
            </w:r>
            <w:r w:rsidRPr="009A26DF">
              <w:rPr>
                <w:rFonts w:asciiTheme="minorHAnsi" w:hAnsiTheme="minorHAnsi" w:cstheme="minorHAnsi"/>
                <w:color w:val="000000" w:themeColor="text1"/>
                <w:sz w:val="20"/>
                <w:szCs w:val="20"/>
              </w:rPr>
              <w:t>)</w:t>
            </w:r>
          </w:p>
        </w:tc>
      </w:tr>
      <w:tr w:rsidR="009A26DF" w:rsidRPr="009A26DF" w14:paraId="0728FE8A" w14:textId="77777777" w:rsidTr="00312A80">
        <w:trPr>
          <w:trHeight w:hRule="exact" w:val="530"/>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tcPr>
          <w:p w14:paraId="4E7A6A12" w14:textId="77777777" w:rsidR="009A26DF" w:rsidRPr="009A26DF" w:rsidRDefault="009A26DF" w:rsidP="009A26DF">
            <w:pPr>
              <w:spacing w:after="0"/>
              <w:ind w:firstLine="0"/>
              <w:rPr>
                <w:rFonts w:asciiTheme="minorHAnsi" w:hAnsiTheme="minorHAnsi" w:cstheme="minorHAnsi"/>
                <w:b/>
                <w:bCs/>
                <w:color w:val="000000" w:themeColor="text1"/>
                <w:sz w:val="20"/>
                <w:szCs w:val="20"/>
              </w:rPr>
            </w:pPr>
            <w:r w:rsidRPr="009A26DF">
              <w:rPr>
                <w:rFonts w:asciiTheme="minorHAnsi" w:hAnsiTheme="minorHAnsi" w:cstheme="minorHAnsi"/>
                <w:b/>
                <w:bCs/>
                <w:color w:val="000000" w:themeColor="text1"/>
                <w:sz w:val="20"/>
                <w:szCs w:val="20"/>
              </w:rPr>
              <w:t>2024</w:t>
            </w:r>
          </w:p>
        </w:tc>
        <w:tc>
          <w:tcPr>
            <w:tcW w:w="1413" w:type="pct"/>
            <w:tcBorders>
              <w:top w:val="single" w:sz="4" w:space="0" w:color="auto"/>
              <w:left w:val="single" w:sz="4" w:space="0" w:color="auto"/>
              <w:bottom w:val="single" w:sz="4" w:space="0" w:color="auto"/>
              <w:right w:val="single" w:sz="4" w:space="0" w:color="auto"/>
            </w:tcBorders>
            <w:vAlign w:val="center"/>
          </w:tcPr>
          <w:p w14:paraId="49440F80" w14:textId="77777777" w:rsidR="009A26DF" w:rsidRPr="009A26DF" w:rsidRDefault="009A26DF" w:rsidP="00FF2519">
            <w:pPr>
              <w:spacing w:after="0"/>
              <w:ind w:firstLine="0"/>
              <w:jc w:val="center"/>
              <w:rPr>
                <w:rFonts w:asciiTheme="minorHAnsi" w:hAnsiTheme="minorHAnsi" w:cstheme="minorHAnsi"/>
                <w:color w:val="000000" w:themeColor="text1"/>
                <w:sz w:val="20"/>
                <w:szCs w:val="20"/>
              </w:rPr>
            </w:pPr>
            <w:r w:rsidRPr="009A26DF">
              <w:rPr>
                <w:rFonts w:asciiTheme="minorHAnsi" w:hAnsiTheme="minorHAnsi" w:cstheme="minorHAnsi"/>
                <w:color w:val="000000" w:themeColor="text1"/>
                <w:sz w:val="20"/>
                <w:szCs w:val="20"/>
              </w:rPr>
              <w:t>1 885</w:t>
            </w:r>
          </w:p>
        </w:tc>
        <w:tc>
          <w:tcPr>
            <w:tcW w:w="1592" w:type="pct"/>
            <w:tcBorders>
              <w:top w:val="single" w:sz="4" w:space="0" w:color="auto"/>
              <w:left w:val="single" w:sz="4" w:space="0" w:color="auto"/>
              <w:bottom w:val="single" w:sz="4" w:space="0" w:color="auto"/>
              <w:right w:val="single" w:sz="4" w:space="0" w:color="auto"/>
            </w:tcBorders>
            <w:vAlign w:val="center"/>
          </w:tcPr>
          <w:p w14:paraId="53138EF8" w14:textId="77777777" w:rsidR="009A26DF" w:rsidRPr="009A26DF" w:rsidRDefault="009A26DF" w:rsidP="00FF2519">
            <w:pPr>
              <w:spacing w:after="0"/>
              <w:ind w:firstLine="0"/>
              <w:jc w:val="center"/>
              <w:rPr>
                <w:rFonts w:asciiTheme="minorHAnsi" w:hAnsiTheme="minorHAnsi" w:cstheme="minorHAnsi"/>
                <w:color w:val="000000" w:themeColor="text1"/>
                <w:sz w:val="20"/>
                <w:szCs w:val="20"/>
              </w:rPr>
            </w:pPr>
            <w:r w:rsidRPr="009A26DF">
              <w:rPr>
                <w:rFonts w:asciiTheme="minorHAnsi" w:hAnsiTheme="minorHAnsi" w:cstheme="minorHAnsi"/>
                <w:color w:val="000000" w:themeColor="text1"/>
                <w:sz w:val="20"/>
                <w:szCs w:val="20"/>
              </w:rPr>
              <w:t>967</w:t>
            </w:r>
          </w:p>
        </w:tc>
        <w:tc>
          <w:tcPr>
            <w:tcW w:w="1589" w:type="pct"/>
            <w:tcBorders>
              <w:top w:val="single" w:sz="4" w:space="0" w:color="auto"/>
              <w:left w:val="single" w:sz="4" w:space="0" w:color="auto"/>
              <w:bottom w:val="single" w:sz="4" w:space="0" w:color="auto"/>
              <w:right w:val="single" w:sz="4" w:space="0" w:color="auto"/>
            </w:tcBorders>
            <w:vAlign w:val="center"/>
          </w:tcPr>
          <w:p w14:paraId="3060A865" w14:textId="0535C544" w:rsidR="009A26DF" w:rsidRPr="009A26DF" w:rsidRDefault="009A26DF" w:rsidP="00FF2519">
            <w:pPr>
              <w:spacing w:after="0"/>
              <w:ind w:firstLine="0"/>
              <w:jc w:val="center"/>
              <w:rPr>
                <w:rFonts w:asciiTheme="minorHAnsi" w:hAnsiTheme="minorHAnsi" w:cstheme="minorHAnsi"/>
                <w:color w:val="000000" w:themeColor="text1"/>
                <w:sz w:val="20"/>
                <w:szCs w:val="20"/>
              </w:rPr>
            </w:pPr>
            <w:r w:rsidRPr="009A26DF">
              <w:rPr>
                <w:rFonts w:asciiTheme="minorHAnsi" w:eastAsia="Calibri" w:hAnsiTheme="minorHAnsi" w:cstheme="minorHAnsi"/>
                <w:color w:val="000000" w:themeColor="text1"/>
                <w:sz w:val="20"/>
                <w:szCs w:val="20"/>
              </w:rPr>
              <w:t>14 096 114</w:t>
            </w:r>
          </w:p>
        </w:tc>
      </w:tr>
    </w:tbl>
    <w:p w14:paraId="50D86C67" w14:textId="77777777" w:rsidR="009A26DF" w:rsidRPr="009A26DF" w:rsidRDefault="009A26DF" w:rsidP="00FF2519">
      <w:pPr>
        <w:spacing w:before="120" w:after="0"/>
        <w:ind w:firstLine="0"/>
        <w:rPr>
          <w:color w:val="000000" w:themeColor="text1"/>
        </w:rPr>
      </w:pPr>
      <w:r w:rsidRPr="009A26DF">
        <w:rPr>
          <w:color w:val="000000" w:themeColor="text1"/>
        </w:rPr>
        <w:t xml:space="preserve">PM na prevádzkovanie alebo vykonávanie SZČ vytvorilo spolu 1 885 UoZ, z toho 918 mužov a 967 žien,  t. j. 51,3 % žien a 48,70 % mužov z celkového počtu zaradených osôb. </w:t>
      </w:r>
    </w:p>
    <w:p w14:paraId="7C606C35" w14:textId="1DDA6F0A" w:rsidR="009A26DF" w:rsidRPr="009A26DF" w:rsidRDefault="009A26DF" w:rsidP="00FF2519">
      <w:pPr>
        <w:spacing w:before="120" w:after="0"/>
        <w:ind w:firstLine="0"/>
        <w:rPr>
          <w:rFonts w:eastAsia="Calibri"/>
          <w:color w:val="000000" w:themeColor="text1"/>
        </w:rPr>
      </w:pPr>
      <w:r w:rsidRPr="009A26DF">
        <w:rPr>
          <w:rFonts w:eastAsia="Calibri"/>
          <w:color w:val="000000" w:themeColor="text1"/>
        </w:rPr>
        <w:t>Z hľadiska vekových charakteristík, z celkového počtu 1 885 UoZ, najväčšiu skupinu tvorili UoZ vo veku od 30 do 49 rokov, t. j. 995 UoZ (52,79 %), nasledovali Uo</w:t>
      </w:r>
      <w:r w:rsidR="00FF2519">
        <w:rPr>
          <w:rFonts w:eastAsia="Calibri"/>
          <w:color w:val="000000" w:themeColor="text1"/>
        </w:rPr>
        <w:t xml:space="preserve">Z vo veku do 30 rokov mínus 1 </w:t>
      </w:r>
      <w:r w:rsidRPr="009A26DF">
        <w:rPr>
          <w:rFonts w:eastAsia="Calibri"/>
          <w:color w:val="000000" w:themeColor="text1"/>
        </w:rPr>
        <w:t>deň v počte 647  UoZ (34,33  %),  z toho bolo 287 UoZ vo veku do 24 rokov (15,23 %)  a 360</w:t>
      </w:r>
    </w:p>
    <w:p w14:paraId="1A241E66" w14:textId="77777777" w:rsidR="009A26DF" w:rsidRPr="009A26DF" w:rsidRDefault="009A26DF" w:rsidP="009A26DF">
      <w:pPr>
        <w:spacing w:after="0"/>
        <w:ind w:firstLine="0"/>
        <w:rPr>
          <w:rFonts w:eastAsia="Calibri"/>
          <w:color w:val="000000" w:themeColor="text1"/>
        </w:rPr>
      </w:pPr>
      <w:r w:rsidRPr="009A26DF">
        <w:rPr>
          <w:noProof/>
          <w:color w:val="000000" w:themeColor="text1"/>
          <w:sz w:val="20"/>
          <w:szCs w:val="20"/>
        </w:rPr>
        <w:lastRenderedPageBreak/>
        <w:drawing>
          <wp:anchor distT="0" distB="0" distL="114300" distR="114300" simplePos="0" relativeHeight="252712448" behindDoc="0" locked="0" layoutInCell="1" allowOverlap="1" wp14:anchorId="27F9F980" wp14:editId="53D967A8">
            <wp:simplePos x="0" y="0"/>
            <wp:positionH relativeFrom="margin">
              <wp:posOffset>-2540</wp:posOffset>
            </wp:positionH>
            <wp:positionV relativeFrom="paragraph">
              <wp:posOffset>610235</wp:posOffset>
            </wp:positionV>
            <wp:extent cx="5855970" cy="2973705"/>
            <wp:effectExtent l="0" t="0" r="11430" b="17145"/>
            <wp:wrapTopAndBottom/>
            <wp:docPr id="455" name="Graf 45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r w:rsidRPr="009A26DF">
        <w:rPr>
          <w:rFonts w:eastAsia="Calibri"/>
          <w:color w:val="000000" w:themeColor="text1"/>
        </w:rPr>
        <w:t>UoZ vo veku od 25 do 29 rokov (19,10 %). Z celkového počtu UoZ, skupinu vo veku 50 rokov a viac, tvorili 243 UoZ (12,89 %). Počet zaradených UoZ do aktivity 2 Podpora SZČO je vyjadrený v štruktúre podľa grafu nižšie.</w:t>
      </w:r>
    </w:p>
    <w:p w14:paraId="76AEED51" w14:textId="77777777" w:rsidR="009A26DF" w:rsidRPr="009A26DF" w:rsidRDefault="009A26DF" w:rsidP="00944AE6">
      <w:pPr>
        <w:spacing w:after="0"/>
        <w:ind w:firstLine="0"/>
        <w:rPr>
          <w:rFonts w:eastAsia="Calibri"/>
          <w:color w:val="FF0000"/>
        </w:rPr>
      </w:pPr>
    </w:p>
    <w:p w14:paraId="2FD33A75" w14:textId="77777777" w:rsidR="009A26DF" w:rsidRPr="009A26DF" w:rsidRDefault="009A26DF" w:rsidP="009A26DF">
      <w:pPr>
        <w:ind w:firstLine="0"/>
        <w:rPr>
          <w:color w:val="000000" w:themeColor="text1"/>
        </w:rPr>
      </w:pPr>
      <w:r w:rsidRPr="009A26DF">
        <w:rPr>
          <w:noProof/>
          <w:color w:val="000000" w:themeColor="text1"/>
          <w:sz w:val="20"/>
          <w:szCs w:val="20"/>
        </w:rPr>
        <w:drawing>
          <wp:anchor distT="0" distB="0" distL="114300" distR="114300" simplePos="0" relativeHeight="252716544" behindDoc="0" locked="0" layoutInCell="1" allowOverlap="1" wp14:anchorId="6BCA3E03" wp14:editId="2CFB37BF">
            <wp:simplePos x="0" y="0"/>
            <wp:positionH relativeFrom="margin">
              <wp:posOffset>-635</wp:posOffset>
            </wp:positionH>
            <wp:positionV relativeFrom="paragraph">
              <wp:posOffset>1379855</wp:posOffset>
            </wp:positionV>
            <wp:extent cx="5862955" cy="3489960"/>
            <wp:effectExtent l="0" t="0" r="4445" b="15240"/>
            <wp:wrapTopAndBottom/>
            <wp:docPr id="456" name="Graf 45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rsidRPr="009A26DF">
        <w:rPr>
          <w:color w:val="000000" w:themeColor="text1"/>
        </w:rPr>
        <w:t>Z hľadiska vzdelania, podporené PM na SZČ obsadilo 809 UoZ (42,92 %) s úplným stredným odborným vzdelaním, s VŠ II. stupňa vytvorilo PM na samozamestnanie 455 UoZ (24,15 %),  so stredným odborným vzdelaním 296 UoZ (15,71 %), s úplným stredným všeobecným vzdelaním 110 UoZ (5,84 %), s VŠ I. stupňa 127  UoZ (6,74 %), 54 UoZ so základným vzdelaním (2,87 %),  s VŠ III. stupňa 12 UoZ (0,64 %),  vyššie odborné vzdelanie  malo 17  UoZ (0,90 %),  nižšie stredné odborné vzdelanie mali 2 UoZ ( 0,11 %) a neukončené  základné vzdelanie mali 2 UoZ (0,11 %), v štruktúre podľa grafu.</w:t>
      </w:r>
    </w:p>
    <w:p w14:paraId="399CC532" w14:textId="5DDED9D0" w:rsidR="009A26DF" w:rsidRPr="009A26DF" w:rsidRDefault="009A26DF" w:rsidP="00FF2519">
      <w:pPr>
        <w:spacing w:before="120" w:after="0"/>
        <w:ind w:firstLine="0"/>
        <w:rPr>
          <w:color w:val="000000" w:themeColor="text1"/>
        </w:rPr>
      </w:pPr>
      <w:r w:rsidRPr="009A26DF">
        <w:rPr>
          <w:color w:val="000000" w:themeColor="text1"/>
        </w:rPr>
        <w:t>Z celkového počtu 1 885 UoZ</w:t>
      </w:r>
      <w:r w:rsidR="00FF2519">
        <w:rPr>
          <w:color w:val="000000" w:themeColor="text1"/>
        </w:rPr>
        <w:t>, najviac UoZ, t. j. 771 UoZ  (</w:t>
      </w:r>
      <w:r w:rsidRPr="009A26DF">
        <w:rPr>
          <w:color w:val="000000" w:themeColor="text1"/>
        </w:rPr>
        <w:t xml:space="preserve">40,90 %) príjemcov príspevku na SZČ, ktorí v roku 2024 vytvorili PM na samozamestnanie, boli v evidencii úradu 13 - 24 mesiacov, 7 - 12 mesiacov bolo evidovaných 477 UoZ (25,31 %), viac ako 24 mesiacov bolo </w:t>
      </w:r>
      <w:r w:rsidRPr="009A26DF">
        <w:rPr>
          <w:color w:val="000000" w:themeColor="text1"/>
        </w:rPr>
        <w:lastRenderedPageBreak/>
        <w:t xml:space="preserve">v evidencii 376 UoZ (19,95 %), 4 - 6 mesiacov bolo evidovaných 232 UoZ (12,31 %), do </w:t>
      </w:r>
      <w:r w:rsidR="00FF2519">
        <w:rPr>
          <w:color w:val="000000" w:themeColor="text1"/>
        </w:rPr>
        <w:t xml:space="preserve">                 </w:t>
      </w:r>
      <w:r w:rsidRPr="009A26DF">
        <w:rPr>
          <w:color w:val="000000" w:themeColor="text1"/>
        </w:rPr>
        <w:t xml:space="preserve">3 mesiacov bolo v evidencii UoZ 29 UoZ (1,54 %) – v štruktúre podľa nasledujúceho grafu. </w:t>
      </w:r>
    </w:p>
    <w:p w14:paraId="4E45F0A5" w14:textId="77777777" w:rsidR="009A26DF" w:rsidRPr="009A26DF" w:rsidRDefault="009A26DF" w:rsidP="009A26DF">
      <w:pPr>
        <w:ind w:firstLine="0"/>
      </w:pPr>
      <w:r w:rsidRPr="009A26DF">
        <w:rPr>
          <w:noProof/>
        </w:rPr>
        <w:drawing>
          <wp:anchor distT="0" distB="0" distL="114300" distR="114300" simplePos="0" relativeHeight="252713472" behindDoc="1" locked="0" layoutInCell="1" allowOverlap="1" wp14:anchorId="1DF74E1A" wp14:editId="0E33D1AF">
            <wp:simplePos x="0" y="0"/>
            <wp:positionH relativeFrom="margin">
              <wp:posOffset>13970</wp:posOffset>
            </wp:positionH>
            <wp:positionV relativeFrom="paragraph">
              <wp:posOffset>50689</wp:posOffset>
            </wp:positionV>
            <wp:extent cx="5862955" cy="3156667"/>
            <wp:effectExtent l="0" t="0" r="4445" b="5715"/>
            <wp:wrapNone/>
            <wp:docPr id="457" name="Graf 45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p>
    <w:p w14:paraId="6C2DCFD7" w14:textId="77777777" w:rsidR="009A26DF" w:rsidRPr="009A26DF" w:rsidRDefault="009A26DF" w:rsidP="009A26DF">
      <w:pPr>
        <w:ind w:firstLine="0"/>
      </w:pPr>
    </w:p>
    <w:p w14:paraId="348B6C82" w14:textId="77777777" w:rsidR="009A26DF" w:rsidRPr="009A26DF" w:rsidRDefault="009A26DF" w:rsidP="009A26DF">
      <w:pPr>
        <w:ind w:firstLine="0"/>
      </w:pPr>
    </w:p>
    <w:p w14:paraId="63CE8560" w14:textId="77777777" w:rsidR="009A26DF" w:rsidRPr="009A26DF" w:rsidRDefault="009A26DF" w:rsidP="009A26DF">
      <w:pPr>
        <w:ind w:firstLine="0"/>
      </w:pPr>
    </w:p>
    <w:p w14:paraId="04DF9F07" w14:textId="77777777" w:rsidR="009A26DF" w:rsidRPr="009A26DF" w:rsidRDefault="009A26DF" w:rsidP="009A26DF">
      <w:pPr>
        <w:ind w:firstLine="0"/>
      </w:pPr>
    </w:p>
    <w:p w14:paraId="11E47948" w14:textId="77777777" w:rsidR="009A26DF" w:rsidRPr="009A26DF" w:rsidRDefault="009A26DF" w:rsidP="009A26DF">
      <w:pPr>
        <w:ind w:firstLine="0"/>
      </w:pPr>
    </w:p>
    <w:p w14:paraId="050D794E" w14:textId="77777777" w:rsidR="009A26DF" w:rsidRPr="009A26DF" w:rsidRDefault="009A26DF" w:rsidP="009A26DF">
      <w:pPr>
        <w:ind w:firstLine="0"/>
      </w:pPr>
    </w:p>
    <w:p w14:paraId="70F35703" w14:textId="77777777" w:rsidR="009A26DF" w:rsidRPr="009A26DF" w:rsidRDefault="009A26DF" w:rsidP="009A26DF">
      <w:pPr>
        <w:ind w:firstLine="0"/>
      </w:pPr>
    </w:p>
    <w:p w14:paraId="425DF857" w14:textId="77777777" w:rsidR="009A26DF" w:rsidRPr="009A26DF" w:rsidRDefault="009A26DF" w:rsidP="009A26DF">
      <w:pPr>
        <w:ind w:firstLine="0"/>
      </w:pPr>
    </w:p>
    <w:p w14:paraId="2A0CEAF6" w14:textId="77777777" w:rsidR="009A26DF" w:rsidRPr="009A26DF" w:rsidRDefault="009A26DF" w:rsidP="009A26DF">
      <w:pPr>
        <w:ind w:firstLine="0"/>
      </w:pPr>
    </w:p>
    <w:p w14:paraId="4C9EB28A" w14:textId="77777777" w:rsidR="009A26DF" w:rsidRPr="009A26DF" w:rsidRDefault="009A26DF" w:rsidP="009A26DF">
      <w:pPr>
        <w:ind w:firstLine="0"/>
      </w:pPr>
    </w:p>
    <w:p w14:paraId="7F34236F" w14:textId="77777777" w:rsidR="009A26DF" w:rsidRPr="009A26DF" w:rsidRDefault="009A26DF" w:rsidP="009A26DF">
      <w:pPr>
        <w:ind w:firstLine="0"/>
      </w:pPr>
    </w:p>
    <w:p w14:paraId="0E404839" w14:textId="77777777" w:rsidR="009A26DF" w:rsidRPr="009A26DF" w:rsidRDefault="009A26DF" w:rsidP="009A26DF">
      <w:pPr>
        <w:ind w:firstLine="0"/>
      </w:pPr>
    </w:p>
    <w:p w14:paraId="531F5F97" w14:textId="77777777" w:rsidR="009A26DF" w:rsidRPr="009A26DF" w:rsidRDefault="009A26DF" w:rsidP="009A26DF">
      <w:pPr>
        <w:ind w:firstLine="0"/>
      </w:pPr>
    </w:p>
    <w:p w14:paraId="75A2F620" w14:textId="77777777" w:rsidR="009A26DF" w:rsidRPr="009A26DF" w:rsidRDefault="009A26DF" w:rsidP="009A26DF">
      <w:pPr>
        <w:ind w:firstLine="0"/>
      </w:pPr>
    </w:p>
    <w:p w14:paraId="07C91467" w14:textId="77777777" w:rsidR="009A26DF" w:rsidRPr="009A26DF" w:rsidRDefault="009A26DF" w:rsidP="009A26DF">
      <w:pPr>
        <w:ind w:firstLine="0"/>
      </w:pPr>
    </w:p>
    <w:p w14:paraId="1D2C7B78" w14:textId="77777777" w:rsidR="009A26DF" w:rsidRPr="009A26DF" w:rsidRDefault="009A26DF" w:rsidP="00FF2519">
      <w:pPr>
        <w:spacing w:before="120" w:after="0"/>
        <w:ind w:firstLine="0"/>
        <w:rPr>
          <w:color w:val="000000" w:themeColor="text1"/>
        </w:rPr>
      </w:pPr>
      <w:r w:rsidRPr="009A26DF">
        <w:rPr>
          <w:color w:val="000000" w:themeColor="text1"/>
        </w:rPr>
        <w:t xml:space="preserve">V rámci štruktúry ZUoZ zaradených na tento nástroj AOTP, z celkového počtu 1 885 UoZ, ktorí v rámci aktivity 2 NP FSPZ v roku 2024 vytvorili PM na samozamestnanie, bolo 1 750 znevýhodnených UoZ, z toho bolo 1 180  DNO UoZ  (42,65 % ),  926  UoZ (33,47 %), ktorí najmenej 12 po sebe nasledujúcich kalendárnych mesiacov pred zaradením do evidencie UoZ nemali pravidelne platené zamestnanie, 243 občanov nad 50 rokov (8,78 %)  a 176 absolventov (6,36 %), 75 občanov, ktorí ukončili poberanie materskej dávky/rodičovského príspevku (2,71 %), 71 UoZ občanov so ZP (2,57 %), 58 občanov so vzdelaním nižším ako stredným odborným (2,10 %), 38 osamelých občanov - starostlivosť o odkázanú osobu/starajúci sa o dieťa (1,37 %). UoZ môže zároveň spĺňať viac znevýhodnení naraz - v štruktúre podľa nasledujúceho grafu. </w:t>
      </w:r>
    </w:p>
    <w:p w14:paraId="4E897CA4" w14:textId="77777777" w:rsidR="009A26DF" w:rsidRPr="009A26DF" w:rsidRDefault="009A26DF" w:rsidP="009A26DF">
      <w:pPr>
        <w:ind w:firstLine="0"/>
      </w:pPr>
      <w:r w:rsidRPr="009A26DF">
        <w:rPr>
          <w:noProof/>
        </w:rPr>
        <w:drawing>
          <wp:anchor distT="0" distB="0" distL="114300" distR="114300" simplePos="0" relativeHeight="252714496" behindDoc="1" locked="0" layoutInCell="1" allowOverlap="1" wp14:anchorId="360DB3F3" wp14:editId="732134BF">
            <wp:simplePos x="0" y="0"/>
            <wp:positionH relativeFrom="margin">
              <wp:posOffset>13970</wp:posOffset>
            </wp:positionH>
            <wp:positionV relativeFrom="paragraph">
              <wp:posOffset>97264</wp:posOffset>
            </wp:positionV>
            <wp:extent cx="5838825" cy="3005593"/>
            <wp:effectExtent l="0" t="0" r="9525" b="4445"/>
            <wp:wrapNone/>
            <wp:docPr id="459" name="Graf 45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p>
    <w:p w14:paraId="0B7F7573" w14:textId="77777777" w:rsidR="009A26DF" w:rsidRPr="009A26DF" w:rsidRDefault="009A26DF" w:rsidP="009A26DF">
      <w:pPr>
        <w:ind w:firstLine="0"/>
      </w:pPr>
    </w:p>
    <w:p w14:paraId="33C97666" w14:textId="77777777" w:rsidR="009A26DF" w:rsidRPr="009A26DF" w:rsidRDefault="009A26DF" w:rsidP="009A26DF">
      <w:pPr>
        <w:ind w:firstLine="0"/>
      </w:pPr>
    </w:p>
    <w:p w14:paraId="52CFF4AE" w14:textId="77777777" w:rsidR="009A26DF" w:rsidRPr="009A26DF" w:rsidRDefault="009A26DF" w:rsidP="009A26DF">
      <w:pPr>
        <w:ind w:firstLine="0"/>
      </w:pPr>
    </w:p>
    <w:p w14:paraId="0EEA97F2" w14:textId="77777777" w:rsidR="009A26DF" w:rsidRPr="009A26DF" w:rsidRDefault="009A26DF" w:rsidP="009A26DF">
      <w:pPr>
        <w:ind w:firstLine="0"/>
      </w:pPr>
    </w:p>
    <w:p w14:paraId="58D3E57F" w14:textId="77777777" w:rsidR="009A26DF" w:rsidRPr="009A26DF" w:rsidRDefault="009A26DF" w:rsidP="009A26DF">
      <w:pPr>
        <w:ind w:firstLine="0"/>
      </w:pPr>
    </w:p>
    <w:p w14:paraId="54181705" w14:textId="77777777" w:rsidR="009A26DF" w:rsidRPr="009A26DF" w:rsidRDefault="009A26DF" w:rsidP="009A26DF">
      <w:pPr>
        <w:ind w:firstLine="0"/>
      </w:pPr>
    </w:p>
    <w:p w14:paraId="3B380B82" w14:textId="77777777" w:rsidR="009A26DF" w:rsidRPr="009A26DF" w:rsidRDefault="009A26DF" w:rsidP="009A26DF">
      <w:pPr>
        <w:ind w:firstLine="0"/>
      </w:pPr>
    </w:p>
    <w:p w14:paraId="701E5B42" w14:textId="77777777" w:rsidR="009A26DF" w:rsidRPr="009A26DF" w:rsidRDefault="009A26DF" w:rsidP="009A26DF">
      <w:pPr>
        <w:ind w:firstLine="0"/>
        <w:rPr>
          <w:b/>
        </w:rPr>
      </w:pPr>
    </w:p>
    <w:p w14:paraId="579FD56E" w14:textId="77777777" w:rsidR="009A26DF" w:rsidRPr="009A26DF" w:rsidRDefault="009A26DF" w:rsidP="009A26DF">
      <w:pPr>
        <w:ind w:firstLine="0"/>
        <w:rPr>
          <w:b/>
        </w:rPr>
      </w:pPr>
    </w:p>
    <w:p w14:paraId="29CBD0E0" w14:textId="77777777" w:rsidR="009A26DF" w:rsidRPr="009A26DF" w:rsidRDefault="009A26DF" w:rsidP="009A26DF">
      <w:pPr>
        <w:ind w:firstLine="0"/>
        <w:rPr>
          <w:b/>
        </w:rPr>
      </w:pPr>
    </w:p>
    <w:p w14:paraId="0B18FB25" w14:textId="77777777" w:rsidR="009A26DF" w:rsidRPr="009A26DF" w:rsidRDefault="009A26DF" w:rsidP="009A26DF">
      <w:pPr>
        <w:ind w:firstLine="0"/>
        <w:rPr>
          <w:b/>
        </w:rPr>
      </w:pPr>
    </w:p>
    <w:p w14:paraId="58675EC8" w14:textId="77777777" w:rsidR="009A26DF" w:rsidRPr="009A26DF" w:rsidRDefault="009A26DF" w:rsidP="009A26DF">
      <w:pPr>
        <w:ind w:firstLine="0"/>
      </w:pPr>
    </w:p>
    <w:p w14:paraId="10ABFC2C" w14:textId="77777777" w:rsidR="009A26DF" w:rsidRPr="009A26DF" w:rsidRDefault="009A26DF" w:rsidP="009A26DF">
      <w:pPr>
        <w:ind w:firstLine="0"/>
      </w:pPr>
    </w:p>
    <w:p w14:paraId="30F5CB79" w14:textId="77777777" w:rsidR="009A26DF" w:rsidRPr="009A26DF" w:rsidRDefault="009A26DF" w:rsidP="009A26DF">
      <w:pPr>
        <w:ind w:firstLine="0"/>
        <w:rPr>
          <w:color w:val="000000" w:themeColor="text1"/>
        </w:rPr>
      </w:pPr>
    </w:p>
    <w:p w14:paraId="0A207A4F" w14:textId="77777777" w:rsidR="00FF2519" w:rsidRDefault="00FF2519" w:rsidP="009A26DF">
      <w:pPr>
        <w:ind w:firstLine="0"/>
        <w:rPr>
          <w:color w:val="000000" w:themeColor="text1"/>
        </w:rPr>
      </w:pPr>
    </w:p>
    <w:p w14:paraId="608BB03B" w14:textId="7C544109" w:rsidR="009A26DF" w:rsidRPr="009A26DF" w:rsidRDefault="009A26DF" w:rsidP="009A26DF">
      <w:pPr>
        <w:ind w:firstLine="0"/>
        <w:rPr>
          <w:color w:val="000000" w:themeColor="text1"/>
        </w:rPr>
      </w:pPr>
      <w:r w:rsidRPr="009A26DF">
        <w:rPr>
          <w:color w:val="000000" w:themeColor="text1"/>
        </w:rPr>
        <w:t xml:space="preserve">Z hľadiska štruktúry vytvorených PM na SZČ prostredníctvom samozamestnania, podľa SK NACE  bolo 360 PM v  oblasti stavebníctva (19,73 %), 294 PM (16,11 %) bolo vytvorených v oblasti odborných, vedeckých a technických činností, v ostatných činnostiach 369 PM (20,22 %), 235 PM (12,88 %) v priemyselnej výrobe, 175 PM (9,59 %) bolo vytvorených v oblasti veľkoobchodu a maloobchodu, 107 PM (5,86 %) v oblasti pôdohospodárstva, v oblasti </w:t>
      </w:r>
      <w:r w:rsidRPr="009A26DF">
        <w:rPr>
          <w:color w:val="000000" w:themeColor="text1"/>
        </w:rPr>
        <w:lastRenderedPageBreak/>
        <w:t>administratívnych služieb 94 PM (5,15 %), v oblasti vzdelávania 46 PM (12,88 %), v oblasti umenia, zábavy, rekreácie 45 PM (2,47 %), v oblasti informácií a komunikácie 41 PM (2,25 %),  v ubytovacích a stravovacích službách bolo vytvorených 38 PM (2,08 %), 8 PM (0,44 %)  bolo vytvorených v činnostiach v oblasti nehnuteľností, 6 PM (0,33 %) vo finančných a poisťovacích činnostiach, v oblasti zdravotníctva a sociálnej pomoci 4 PM (0,22 %), 3 PM v doprave a skladovaní  (0 ,16 %), 1 PM v činnostiach v oblasti dodávky vody (0,05 %), 1 PM v činnostiach v oblasti dodávky ele</w:t>
      </w:r>
      <w:r w:rsidR="00FF2519">
        <w:rPr>
          <w:color w:val="000000" w:themeColor="text1"/>
        </w:rPr>
        <w:t xml:space="preserve">ktriny, plynu, pary (0,05 %) - </w:t>
      </w:r>
      <w:r w:rsidRPr="009A26DF">
        <w:rPr>
          <w:color w:val="000000" w:themeColor="text1"/>
        </w:rPr>
        <w:t>v štruktúre podľa nasledujúceho grafu.</w:t>
      </w:r>
    </w:p>
    <w:p w14:paraId="69F4A804" w14:textId="77777777" w:rsidR="009A26DF" w:rsidRPr="009A26DF" w:rsidRDefault="009A26DF" w:rsidP="009A26DF">
      <w:pPr>
        <w:ind w:firstLine="0"/>
      </w:pPr>
      <w:r w:rsidRPr="009A26DF">
        <w:rPr>
          <w:noProof/>
        </w:rPr>
        <w:drawing>
          <wp:anchor distT="0" distB="0" distL="114300" distR="114300" simplePos="0" relativeHeight="252715520" behindDoc="1" locked="0" layoutInCell="1" allowOverlap="1" wp14:anchorId="64039195" wp14:editId="06A623B3">
            <wp:simplePos x="0" y="0"/>
            <wp:positionH relativeFrom="margin">
              <wp:align>right</wp:align>
            </wp:positionH>
            <wp:positionV relativeFrom="paragraph">
              <wp:posOffset>106045</wp:posOffset>
            </wp:positionV>
            <wp:extent cx="5856605" cy="2905125"/>
            <wp:effectExtent l="0" t="0" r="10795" b="9525"/>
            <wp:wrapNone/>
            <wp:docPr id="47" name="Graf 4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p>
    <w:p w14:paraId="69DE8076" w14:textId="77777777" w:rsidR="009A26DF" w:rsidRPr="009A26DF" w:rsidRDefault="009A26DF" w:rsidP="009A26DF">
      <w:pPr>
        <w:ind w:firstLine="0"/>
      </w:pPr>
    </w:p>
    <w:p w14:paraId="17F314FF" w14:textId="77777777" w:rsidR="009A26DF" w:rsidRPr="009A26DF" w:rsidRDefault="009A26DF" w:rsidP="009A26DF">
      <w:pPr>
        <w:ind w:firstLine="0"/>
      </w:pPr>
    </w:p>
    <w:p w14:paraId="63794437" w14:textId="77777777" w:rsidR="009A26DF" w:rsidRPr="009A26DF" w:rsidRDefault="009A26DF" w:rsidP="009A26DF">
      <w:pPr>
        <w:tabs>
          <w:tab w:val="left" w:pos="6851"/>
        </w:tabs>
        <w:ind w:firstLine="0"/>
      </w:pPr>
      <w:r w:rsidRPr="009A26DF">
        <w:tab/>
      </w:r>
    </w:p>
    <w:p w14:paraId="3E3ADA0E" w14:textId="77777777" w:rsidR="009A26DF" w:rsidRPr="009A26DF" w:rsidRDefault="009A26DF" w:rsidP="009A26DF">
      <w:pPr>
        <w:ind w:firstLine="0"/>
      </w:pPr>
    </w:p>
    <w:p w14:paraId="72CC3063" w14:textId="77777777" w:rsidR="009A26DF" w:rsidRPr="009A26DF" w:rsidRDefault="009A26DF" w:rsidP="009A26DF">
      <w:pPr>
        <w:ind w:firstLine="0"/>
      </w:pPr>
    </w:p>
    <w:p w14:paraId="1E6935FC" w14:textId="77777777" w:rsidR="009A26DF" w:rsidRPr="009A26DF" w:rsidRDefault="009A26DF" w:rsidP="009A26DF">
      <w:pPr>
        <w:ind w:firstLine="0"/>
      </w:pPr>
    </w:p>
    <w:p w14:paraId="4548CD4D" w14:textId="77777777" w:rsidR="009A26DF" w:rsidRPr="009A26DF" w:rsidRDefault="009A26DF" w:rsidP="009A26DF">
      <w:pPr>
        <w:ind w:firstLine="0"/>
      </w:pPr>
    </w:p>
    <w:p w14:paraId="14F8EB20" w14:textId="77777777" w:rsidR="009A26DF" w:rsidRPr="009A26DF" w:rsidRDefault="009A26DF" w:rsidP="009A26DF">
      <w:pPr>
        <w:ind w:firstLine="0"/>
      </w:pPr>
    </w:p>
    <w:p w14:paraId="2C60F089" w14:textId="77777777" w:rsidR="009A26DF" w:rsidRPr="009A26DF" w:rsidRDefault="009A26DF" w:rsidP="009A26DF">
      <w:pPr>
        <w:ind w:firstLine="0"/>
      </w:pPr>
    </w:p>
    <w:p w14:paraId="1DF87D4E" w14:textId="77777777" w:rsidR="009A26DF" w:rsidRPr="009A26DF" w:rsidRDefault="009A26DF" w:rsidP="009A26DF">
      <w:pPr>
        <w:ind w:firstLine="0"/>
      </w:pPr>
    </w:p>
    <w:p w14:paraId="60EBE264" w14:textId="77777777" w:rsidR="009A26DF" w:rsidRPr="009A26DF" w:rsidRDefault="009A26DF" w:rsidP="009A26DF">
      <w:pPr>
        <w:ind w:firstLine="0"/>
      </w:pPr>
    </w:p>
    <w:p w14:paraId="5458F3FD" w14:textId="77777777" w:rsidR="009A26DF" w:rsidRPr="009A26DF" w:rsidRDefault="009A26DF" w:rsidP="009A26DF">
      <w:pPr>
        <w:spacing w:after="0"/>
        <w:ind w:firstLine="0"/>
      </w:pPr>
    </w:p>
    <w:p w14:paraId="73950CB2" w14:textId="77777777" w:rsidR="009A26DF" w:rsidRPr="009A26DF" w:rsidRDefault="009A26DF" w:rsidP="009A26DF">
      <w:pPr>
        <w:spacing w:after="0"/>
        <w:ind w:firstLine="0"/>
        <w:rPr>
          <w:color w:val="000000" w:themeColor="text1"/>
          <w:highlight w:val="yellow"/>
        </w:rPr>
      </w:pPr>
    </w:p>
    <w:p w14:paraId="3814F60F" w14:textId="77777777" w:rsidR="009A26DF" w:rsidRPr="009A26DF" w:rsidRDefault="009A26DF" w:rsidP="009A26DF">
      <w:pPr>
        <w:spacing w:after="0"/>
        <w:ind w:firstLine="0"/>
        <w:rPr>
          <w:color w:val="000000" w:themeColor="text1"/>
          <w:highlight w:val="yellow"/>
        </w:rPr>
      </w:pPr>
    </w:p>
    <w:p w14:paraId="17307EC9" w14:textId="77777777" w:rsidR="009A26DF" w:rsidRPr="009A26DF" w:rsidRDefault="009A26DF" w:rsidP="009A26DF">
      <w:pPr>
        <w:spacing w:after="0"/>
        <w:ind w:firstLine="0"/>
        <w:rPr>
          <w:color w:val="000000" w:themeColor="text1"/>
          <w:highlight w:val="yellow"/>
        </w:rPr>
      </w:pPr>
    </w:p>
    <w:p w14:paraId="3A7C969F" w14:textId="77777777" w:rsidR="009A26DF" w:rsidRPr="009A26DF" w:rsidRDefault="009A26DF" w:rsidP="009A26DF">
      <w:pPr>
        <w:spacing w:after="0"/>
        <w:ind w:firstLine="0"/>
        <w:rPr>
          <w:color w:val="000000" w:themeColor="text1"/>
        </w:rPr>
      </w:pPr>
      <w:r w:rsidRPr="009A26DF">
        <w:rPr>
          <w:color w:val="000000" w:themeColor="text1"/>
        </w:rPr>
        <w:t xml:space="preserve">V roku 2024 bol o príspevok na prevádzkovanie alebo vykonávanie SZČ poskytovaný v rámci NP FSPZ zo strany UoZ značný záujem. Príspevok bol všeobecne hodnotený ako aktivita, ktorá do značnej miery prispievala k zníženiu miery nezamestnanosti v rámci územia Slovenskej republiky. Poskytnutie príspevku na začatie podnikania podporovalo UoZ k vytváraniu PM na SZČ prostredníctvom samozamestnania, čím prispievalo k zníženiu miery nezamestnanosti. </w:t>
      </w:r>
    </w:p>
    <w:p w14:paraId="3B1EB453" w14:textId="0EBA8FE1" w:rsidR="009A26DF" w:rsidRDefault="009A26DF" w:rsidP="009A26DF">
      <w:pPr>
        <w:spacing w:after="0"/>
        <w:ind w:firstLine="0"/>
        <w:rPr>
          <w:color w:val="000000" w:themeColor="text1"/>
        </w:rPr>
      </w:pPr>
      <w:r w:rsidRPr="009A26DF">
        <w:rPr>
          <w:color w:val="000000" w:themeColor="text1"/>
        </w:rPr>
        <w:t>Efektivita tohto nástroja AOTP zákona o službách zamestnanosti sa prejavovala v znížení počtu evidovaných nezamestnaných, v podporení činností a profesií, ktoré boli žiadané na TP v príslušnom regióne SR a to finančným podporením žiadateľov, ktorí mali potenciál vytvoriť stabilné PM na SZČ v regióne, s perspektívou jeho udržania najmenej po dobu 2 rokov odo dňa jeho začatia.</w:t>
      </w:r>
    </w:p>
    <w:p w14:paraId="55792489" w14:textId="489140F3" w:rsidR="00A43471" w:rsidRDefault="00FF2519" w:rsidP="00415C24">
      <w:pPr>
        <w:pStyle w:val="Nadpis3"/>
        <w:spacing w:before="240" w:after="0"/>
      </w:pPr>
      <w:bookmarkStart w:id="163" w:name="_Toc199230867"/>
      <w:r w:rsidRPr="001D1D33">
        <w:t xml:space="preserve">Aktivita 3 - </w:t>
      </w:r>
      <w:r w:rsidR="009A26DF" w:rsidRPr="001D1D33">
        <w:t>„Poskytovanie finančných príspevkov na vykonávanie absolven</w:t>
      </w:r>
      <w:r w:rsidR="001D1D33">
        <w:t>tskej praxe (Prax pre mladých)</w:t>
      </w:r>
      <w:bookmarkEnd w:id="163"/>
    </w:p>
    <w:p w14:paraId="06D958CA" w14:textId="4D3E9E27" w:rsidR="009A26DF" w:rsidRPr="00A43471" w:rsidRDefault="009A26DF" w:rsidP="00A43471">
      <w:pPr>
        <w:pStyle w:val="Normlnysozarkami11"/>
        <w:spacing w:before="120"/>
        <w:ind w:firstLine="0"/>
        <w:rPr>
          <w:sz w:val="24"/>
        </w:rPr>
      </w:pPr>
      <w:r w:rsidRPr="00A43471">
        <w:rPr>
          <w:sz w:val="24"/>
        </w:rPr>
        <w:t>Projekt je zameraný na zvýšenie možností uplatnenia mladých UoZ – NEET</w:t>
      </w:r>
      <w:r w:rsidR="001D1D33" w:rsidRPr="00A43471">
        <w:rPr>
          <w:sz w:val="24"/>
        </w:rPr>
        <w:t xml:space="preserve"> do 30 rokov </w:t>
      </w:r>
      <w:r w:rsidR="008156ED" w:rsidRPr="00A43471">
        <w:rPr>
          <w:sz w:val="24"/>
        </w:rPr>
        <w:t>mínus jeden deň, Jeho r</w:t>
      </w:r>
      <w:r w:rsidRPr="00A43471">
        <w:rPr>
          <w:sz w:val="24"/>
        </w:rPr>
        <w:t xml:space="preserve">ealizácia je od 1. mája 2024 do decembra 2029. </w:t>
      </w:r>
    </w:p>
    <w:p w14:paraId="5B266359" w14:textId="4431CB47" w:rsidR="009A26DF" w:rsidRPr="009A26DF" w:rsidRDefault="009A26DF" w:rsidP="008156ED">
      <w:pPr>
        <w:spacing w:before="120" w:after="0"/>
        <w:ind w:firstLine="0"/>
        <w:rPr>
          <w:spacing w:val="4"/>
        </w:rPr>
      </w:pPr>
      <w:r w:rsidRPr="00A43471">
        <w:rPr>
          <w:spacing w:val="4"/>
        </w:rPr>
        <w:t>Realizoval sa na celom území SR v rámci</w:t>
      </w:r>
      <w:r w:rsidR="008156ED">
        <w:rPr>
          <w:spacing w:val="4"/>
        </w:rPr>
        <w:t xml:space="preserve"> Programu Slovensko, z fondu ESF+,                       </w:t>
      </w:r>
      <w:r w:rsidR="008156ED" w:rsidRPr="008156ED">
        <w:rPr>
          <w:spacing w:val="4"/>
          <w:u w:val="single"/>
        </w:rPr>
        <w:t>priorita 4.4</w:t>
      </w:r>
      <w:r w:rsidR="008156ED">
        <w:rPr>
          <w:spacing w:val="4"/>
        </w:rPr>
        <w:t xml:space="preserve"> - Záruka pre mladých,  špecifický cieľ ESO4.1.</w:t>
      </w:r>
      <w:r w:rsidRPr="009A26DF">
        <w:rPr>
          <w:spacing w:val="4"/>
        </w:rPr>
        <w:t xml:space="preserve">a) </w:t>
      </w:r>
      <w:r w:rsidR="008156ED">
        <w:rPr>
          <w:spacing w:val="4"/>
        </w:rPr>
        <w:t xml:space="preserve">- </w:t>
      </w:r>
      <w:r w:rsidRPr="009A26DF">
        <w:rPr>
          <w:spacing w:val="4"/>
        </w:rPr>
        <w:t xml:space="preserve">Zlepšenie prístupu </w:t>
      </w:r>
      <w:r w:rsidR="008156ED">
        <w:rPr>
          <w:spacing w:val="4"/>
        </w:rPr>
        <w:t xml:space="preserve">                        </w:t>
      </w:r>
      <w:r w:rsidRPr="009A26DF">
        <w:rPr>
          <w:spacing w:val="4"/>
        </w:rPr>
        <w:t>k zamestnaniu a aktivačným opatreniam pre všetkých</w:t>
      </w:r>
      <w:r w:rsidR="008156ED">
        <w:rPr>
          <w:spacing w:val="4"/>
        </w:rPr>
        <w:t xml:space="preserve"> UoZ</w:t>
      </w:r>
      <w:r w:rsidRPr="009A26DF">
        <w:rPr>
          <w:spacing w:val="4"/>
        </w:rPr>
        <w:t>, predovšetkým mladých ľudí, a to najmä</w:t>
      </w:r>
      <w:r w:rsidR="008156ED">
        <w:rPr>
          <w:spacing w:val="4"/>
        </w:rPr>
        <w:t xml:space="preserve"> vykonávaním záruky pre mladých</w:t>
      </w:r>
      <w:r w:rsidRPr="009A26DF">
        <w:rPr>
          <w:spacing w:val="4"/>
        </w:rPr>
        <w:t>, pre dlhodobo nezamestnaných a znevýhodnené skupiny na trhu práce a neaktívne osoby, ako aj prostredníctvom podpory samostatnej zárobkovej čin</w:t>
      </w:r>
      <w:r w:rsidR="008156ED">
        <w:rPr>
          <w:spacing w:val="4"/>
        </w:rPr>
        <w:t>nosti a sociálneho hospodárstva.</w:t>
      </w:r>
    </w:p>
    <w:p w14:paraId="1EE2B2C6" w14:textId="65376A32" w:rsidR="009A26DF" w:rsidRPr="009A26DF" w:rsidRDefault="009A26DF" w:rsidP="00FF2519">
      <w:pPr>
        <w:tabs>
          <w:tab w:val="left" w:pos="709"/>
        </w:tabs>
        <w:spacing w:before="120" w:after="0"/>
        <w:ind w:firstLine="0"/>
      </w:pPr>
      <w:r w:rsidRPr="009A26DF">
        <w:rPr>
          <w:bCs/>
        </w:rPr>
        <w:t>Cieľom projektu</w:t>
      </w:r>
      <w:r w:rsidR="008156ED">
        <w:t xml:space="preserve"> je </w:t>
      </w:r>
      <w:r w:rsidRPr="009A26DF">
        <w:t>podpora zvýšenia zamestnateľnosti</w:t>
      </w:r>
      <w:r w:rsidRPr="009A26DF">
        <w:rPr>
          <w:color w:val="00B050"/>
        </w:rPr>
        <w:t xml:space="preserve"> </w:t>
      </w:r>
      <w:r w:rsidRPr="009A26DF">
        <w:t>uchádzačov o zamestnanie (ďalej len „UoZ“)</w:t>
      </w:r>
      <w:r w:rsidR="008156ED">
        <w:t xml:space="preserve"> </w:t>
      </w:r>
      <w:r w:rsidRPr="009A26DF">
        <w:t>prostredníctvom získavania a prehlbovania pracovných zručností a praktických skúseností, ktoré zodpovedajú ich dosiahnutému stupňu vzdelania, formou praxe vykonávanej u zamestnávateľa.</w:t>
      </w:r>
    </w:p>
    <w:p w14:paraId="33DC7496" w14:textId="64F17936" w:rsidR="009A26DF" w:rsidRPr="009A26DF" w:rsidRDefault="009A26DF" w:rsidP="009A26DF">
      <w:pPr>
        <w:spacing w:before="120" w:after="0"/>
        <w:ind w:hanging="6"/>
      </w:pPr>
      <w:r w:rsidRPr="009A26DF">
        <w:rPr>
          <w:bCs/>
        </w:rPr>
        <w:lastRenderedPageBreak/>
        <w:t>Cieľovou skupinou</w:t>
      </w:r>
      <w:r w:rsidR="008156ED">
        <w:t xml:space="preserve"> sú </w:t>
      </w:r>
      <w:r w:rsidRPr="009A26DF">
        <w:t>UoZ – NEET do 30 rokov veku (30 rokov mínus 1 deň), vedení v evidencii UoZ najmenej 1 mesiac, ktorí počas vykonávania praxe nem</w:t>
      </w:r>
      <w:r w:rsidR="008156ED">
        <w:t>ôžu</w:t>
      </w:r>
      <w:r w:rsidRPr="009A26DF">
        <w:t xml:space="preserve"> byť v </w:t>
      </w:r>
      <w:r w:rsidR="008156ED" w:rsidRPr="008156ED">
        <w:t xml:space="preserve">pracovnoprávnom vzťahu na základe dohody o práci vykonávanej mimo pracovného pomeru </w:t>
      </w:r>
      <w:r w:rsidRPr="009A26DF">
        <w:t>podľa § 6 ods. 2 písm. a) zákona o službách zamestnanosti.</w:t>
      </w:r>
    </w:p>
    <w:p w14:paraId="55DE17CA" w14:textId="4999D1EB" w:rsidR="009A26DF" w:rsidRPr="009A26DF" w:rsidRDefault="009A26DF" w:rsidP="009A26DF">
      <w:pPr>
        <w:spacing w:before="120" w:after="0"/>
        <w:ind w:hanging="6"/>
      </w:pPr>
      <w:r w:rsidRPr="009A26DF">
        <w:rPr>
          <w:bCs/>
        </w:rPr>
        <w:t>Hlavnou aktivitou projektu</w:t>
      </w:r>
      <w:r w:rsidRPr="009A26DF">
        <w:t xml:space="preserve"> </w:t>
      </w:r>
      <w:r w:rsidR="008156ED">
        <w:t xml:space="preserve">je </w:t>
      </w:r>
      <w:r w:rsidRPr="009A26DF">
        <w:t>zabezpečenie UoZ - NEET na účely vykonávania praxe                             pre zamestnávateľa a poskytovanie finančného príspevku UoZ na vykonávanie praxe.</w:t>
      </w:r>
      <w:r w:rsidR="008156ED">
        <w:t xml:space="preserve"> </w:t>
      </w:r>
      <w:r w:rsidRPr="009A26DF">
        <w:rPr>
          <w:bCs/>
        </w:rPr>
        <w:t>Prax</w:t>
      </w:r>
      <w:r w:rsidRPr="009A26DF">
        <w:t xml:space="preserve"> sa vykonávala u zamestnávateľa najmenej 3 mesiace a najviac 6 mesiacov bez možnosti jej predĺženia a opakovaného vykonávania v rozsahu 20 hodín týždenne. </w:t>
      </w:r>
      <w:r w:rsidR="008156ED">
        <w:t>P</w:t>
      </w:r>
      <w:r w:rsidRPr="009A26DF">
        <w:rPr>
          <w:bCs/>
        </w:rPr>
        <w:t>ríspev</w:t>
      </w:r>
      <w:r w:rsidR="008156ED">
        <w:rPr>
          <w:bCs/>
        </w:rPr>
        <w:t>o</w:t>
      </w:r>
      <w:r w:rsidRPr="009A26DF">
        <w:rPr>
          <w:bCs/>
        </w:rPr>
        <w:t>k</w:t>
      </w:r>
      <w:r w:rsidR="008156ED">
        <w:t xml:space="preserve"> </w:t>
      </w:r>
      <w:r w:rsidR="008156ED" w:rsidRPr="009A26DF">
        <w:t>UoZ</w:t>
      </w:r>
      <w:r w:rsidR="008156ED">
        <w:t xml:space="preserve"> poskytuje</w:t>
      </w:r>
      <w:r w:rsidRPr="009A26DF">
        <w:t xml:space="preserve"> úr</w:t>
      </w:r>
      <w:r w:rsidR="008156ED">
        <w:t>ad, v ktorého územnom obvode ma</w:t>
      </w:r>
      <w:r w:rsidRPr="009A26DF">
        <w:t xml:space="preserve"> UoZ trvalý pobyt. N</w:t>
      </w:r>
      <w:r w:rsidR="008156ED">
        <w:t>a poskytnutie príspev</w:t>
      </w:r>
      <w:r w:rsidRPr="009A26DF">
        <w:t>k</w:t>
      </w:r>
      <w:r w:rsidR="008156ED">
        <w:t>u</w:t>
      </w:r>
      <w:r w:rsidRPr="009A26DF">
        <w:t xml:space="preserve"> n</w:t>
      </w:r>
      <w:r w:rsidR="008156ED" w:rsidRPr="008156ED">
        <w:t>ie je</w:t>
      </w:r>
      <w:r w:rsidRPr="009A26DF">
        <w:t xml:space="preserve"> právny nárok.</w:t>
      </w:r>
    </w:p>
    <w:p w14:paraId="44439246" w14:textId="77777777" w:rsidR="009A26DF" w:rsidRPr="009A26DF" w:rsidRDefault="009A26DF" w:rsidP="009A26DF">
      <w:pPr>
        <w:spacing w:before="120" w:after="0"/>
        <w:ind w:hanging="6"/>
      </w:pPr>
      <w:r w:rsidRPr="009A26DF">
        <w:t xml:space="preserve">V roku 2024 bolo prijatých </w:t>
      </w:r>
      <w:r w:rsidRPr="009A26DF">
        <w:rPr>
          <w:bCs/>
        </w:rPr>
        <w:t>511 žiadostí zamestnávateľov</w:t>
      </w:r>
      <w:r w:rsidRPr="009A26DF">
        <w:t xml:space="preserve"> o zabezpečenie mladého UoZ                             na účely vykonávania praxe, z toho bolo </w:t>
      </w:r>
      <w:r w:rsidRPr="009A26DF">
        <w:rPr>
          <w:bCs/>
        </w:rPr>
        <w:t xml:space="preserve">schválených 461 </w:t>
      </w:r>
      <w:r w:rsidRPr="009A26DF">
        <w:t xml:space="preserve">žiadostí (90,22 %) na 858 PM a zároveň bolo prijatých </w:t>
      </w:r>
      <w:r w:rsidRPr="009A26DF">
        <w:rPr>
          <w:bCs/>
        </w:rPr>
        <w:t>840 žiadostí UoZ</w:t>
      </w:r>
      <w:r w:rsidRPr="009A26DF">
        <w:t xml:space="preserve"> o zaradenie na prax a o poskytnutie finančného príspevku na vykonávanie praxe, z toho bolo </w:t>
      </w:r>
      <w:r w:rsidRPr="009A26DF">
        <w:rPr>
          <w:bCs/>
        </w:rPr>
        <w:t xml:space="preserve">schválených 778 </w:t>
      </w:r>
      <w:r w:rsidRPr="009A26DF">
        <w:t xml:space="preserve">žiadostí (92,62 %).  </w:t>
      </w:r>
    </w:p>
    <w:p w14:paraId="6F4F64DD" w14:textId="77777777" w:rsidR="009A26DF" w:rsidRPr="009A26DF" w:rsidRDefault="009A26DF" w:rsidP="009A26DF">
      <w:r w:rsidRPr="009A26DF">
        <w:t xml:space="preserve">Do projektu bolo v roku 2024 </w:t>
      </w:r>
      <w:r w:rsidRPr="009A26DF">
        <w:rPr>
          <w:bCs/>
        </w:rPr>
        <w:t>zaradených 747 UoZ,</w:t>
      </w:r>
      <w:r w:rsidRPr="009A26DF">
        <w:t xml:space="preserve"> z toho 482 žien a 265 mužov s čerpaním finančných prostriedkov vo výške </w:t>
      </w:r>
      <w:r w:rsidRPr="009A26DF">
        <w:rPr>
          <w:bCs/>
        </w:rPr>
        <w:t>465 109,84 eur.</w:t>
      </w:r>
    </w:p>
    <w:p w14:paraId="6EA6B7F3" w14:textId="31D38159" w:rsidR="009A26DF" w:rsidRPr="009A26DF" w:rsidRDefault="009A26DF" w:rsidP="00BC6B28">
      <w:pPr>
        <w:spacing w:before="120" w:after="120"/>
        <w:ind w:hanging="6"/>
      </w:pPr>
      <w:r w:rsidRPr="009A26DF">
        <w:t>Z hľadiska vekovej štruktúry, najväčšiu skupinu tvorili UoZ vo veku do 24 rokov</w:t>
      </w:r>
      <w:r w:rsidR="00BC6B28">
        <w:t xml:space="preserve"> - </w:t>
      </w:r>
      <w:r w:rsidRPr="009A26DF">
        <w:rPr>
          <w:bCs/>
        </w:rPr>
        <w:t>550 UoZ</w:t>
      </w:r>
      <w:r w:rsidRPr="009A26DF">
        <w:t>, čo je 73,62 % zo všetkých zaradených UoZ na vykonávanie praxe. Druhou sk</w:t>
      </w:r>
      <w:r w:rsidR="00BC6B28">
        <w:t xml:space="preserve">upinou boli UoZ vo veku do 25 - </w:t>
      </w:r>
      <w:r w:rsidRPr="009A26DF">
        <w:t>29 rokov</w:t>
      </w:r>
      <w:r w:rsidR="00BC6B28">
        <w:t xml:space="preserve"> - </w:t>
      </w:r>
      <w:r w:rsidRPr="009A26DF">
        <w:t xml:space="preserve">197 UoZ (26,37%), pričom všetkých 747 UoZ, zaradených                                 do projektu spĺňalo </w:t>
      </w:r>
      <w:r w:rsidR="00BC6B28">
        <w:t xml:space="preserve">podmienku </w:t>
      </w:r>
      <w:r w:rsidRPr="009A26DF">
        <w:t>vek</w:t>
      </w:r>
      <w:r w:rsidR="00BC6B28">
        <w:t>u</w:t>
      </w:r>
      <w:r w:rsidRPr="009A26DF">
        <w:t xml:space="preserve"> do 30 rokov .  Počet zaradených UoZ  na vykonávanie praxe  podľa </w:t>
      </w:r>
      <w:r w:rsidR="00BC6B28">
        <w:t xml:space="preserve">veku </w:t>
      </w:r>
      <w:r w:rsidRPr="009A26DF">
        <w:t>je vyjadrený v nasledujúcom grafe.</w:t>
      </w:r>
    </w:p>
    <w:p w14:paraId="70F89989" w14:textId="77777777" w:rsidR="009A26DF" w:rsidRPr="009A26DF" w:rsidRDefault="009A26DF" w:rsidP="009A26DF">
      <w:pPr>
        <w:rPr>
          <w:b/>
        </w:rPr>
      </w:pPr>
      <w:r w:rsidRPr="009A26DF">
        <w:rPr>
          <w:rFonts w:asciiTheme="minorHAnsi" w:hAnsiTheme="minorHAnsi"/>
          <w:noProof/>
        </w:rPr>
        <w:drawing>
          <wp:inline distT="0" distB="0" distL="0" distR="0" wp14:anchorId="08E2BDDD" wp14:editId="7DBCDA6B">
            <wp:extent cx="5829300" cy="2767054"/>
            <wp:effectExtent l="0" t="0" r="0" b="14605"/>
            <wp:docPr id="53" name="Graf 53">
              <a:extLst xmlns:a="http://schemas.openxmlformats.org/drawingml/2006/main">
                <a:ext uri="{FF2B5EF4-FFF2-40B4-BE49-F238E27FC236}">
                  <a16:creationId xmlns:a16="http://schemas.microsoft.com/office/drawing/2014/main" id="{0B87CC50-89DE-853A-942C-3998104EA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44D05AB" w14:textId="239841AE" w:rsidR="009A26DF" w:rsidRPr="009A26DF" w:rsidRDefault="009A26DF" w:rsidP="00BC6B28">
      <w:pPr>
        <w:spacing w:before="120" w:after="0"/>
        <w:ind w:hanging="6"/>
      </w:pPr>
      <w:r w:rsidRPr="009A26DF">
        <w:rPr>
          <w:bCs/>
        </w:rPr>
        <w:t>Z </w:t>
      </w:r>
      <w:r w:rsidRPr="009A26DF">
        <w:t xml:space="preserve">celkového počtu </w:t>
      </w:r>
      <w:r w:rsidR="00BC6B28" w:rsidRPr="009A26DF">
        <w:t>658</w:t>
      </w:r>
      <w:r w:rsidR="00BC6B28">
        <w:t xml:space="preserve"> </w:t>
      </w:r>
      <w:r w:rsidRPr="009A26DF">
        <w:t xml:space="preserve">znevýhodnených </w:t>
      </w:r>
      <w:r w:rsidR="00BC6B28">
        <w:t>UoZ bolo:</w:t>
      </w:r>
    </w:p>
    <w:p w14:paraId="7D2F41F1" w14:textId="77777777" w:rsidR="00BC6B28" w:rsidRDefault="009A26DF" w:rsidP="00BC6B28">
      <w:pPr>
        <w:pStyle w:val="Odsekzoznamu"/>
        <w:numPr>
          <w:ilvl w:val="0"/>
          <w:numId w:val="34"/>
        </w:numPr>
        <w:spacing w:before="0" w:after="0"/>
        <w:ind w:left="284" w:hanging="284"/>
      </w:pPr>
      <w:r w:rsidRPr="009A26DF">
        <w:t>625 UoZ</w:t>
      </w:r>
      <w:r w:rsidR="00BC6B28">
        <w:t xml:space="preserve"> takých</w:t>
      </w:r>
      <w:r w:rsidRPr="009A26DF">
        <w:t>, ktorí najmenej 12 po sebe nasledujúcich kalendárnych mesiacov pred zaradením do evidencie UoZ  nemali pravidelne platené zamestn</w:t>
      </w:r>
      <w:r w:rsidR="00BC6B28">
        <w:t>anie (</w:t>
      </w:r>
      <w:r w:rsidRPr="009A26DF">
        <w:t>94,98 %</w:t>
      </w:r>
      <w:r w:rsidR="00BC6B28">
        <w:t>),</w:t>
      </w:r>
    </w:p>
    <w:p w14:paraId="1C03C821" w14:textId="77777777" w:rsidR="00BC6B28" w:rsidRDefault="00BC6B28" w:rsidP="00BC6B28">
      <w:pPr>
        <w:pStyle w:val="Odsekzoznamu"/>
        <w:numPr>
          <w:ilvl w:val="0"/>
          <w:numId w:val="34"/>
        </w:numPr>
        <w:spacing w:before="0" w:after="0"/>
        <w:ind w:left="284" w:hanging="284"/>
      </w:pPr>
      <w:r>
        <w:t>287 UoZ -  absolventov škôl (</w:t>
      </w:r>
      <w:r w:rsidR="009A26DF" w:rsidRPr="009A26DF">
        <w:t>43,62 %</w:t>
      </w:r>
      <w:r>
        <w:t>)</w:t>
      </w:r>
      <w:r w:rsidR="009A26DF" w:rsidRPr="009A26DF">
        <w:t>,</w:t>
      </w:r>
    </w:p>
    <w:p w14:paraId="0F6FEEF4" w14:textId="2953E9DE" w:rsidR="00BC6B28" w:rsidRDefault="009A26DF" w:rsidP="00BC6B28">
      <w:pPr>
        <w:pStyle w:val="Odsekzoznamu"/>
        <w:numPr>
          <w:ilvl w:val="0"/>
          <w:numId w:val="34"/>
        </w:numPr>
        <w:spacing w:before="0" w:after="0"/>
        <w:ind w:left="284" w:hanging="284"/>
      </w:pPr>
      <w:r w:rsidRPr="009A26DF">
        <w:t>2</w:t>
      </w:r>
      <w:r w:rsidR="00BC6B28">
        <w:t>00  UoZ dlhodobo nezamestnaní (</w:t>
      </w:r>
      <w:r w:rsidRPr="009A26DF">
        <w:t>30,04%</w:t>
      </w:r>
      <w:r w:rsidR="00BC6B28">
        <w:t>),</w:t>
      </w:r>
    </w:p>
    <w:p w14:paraId="079154BA" w14:textId="77777777" w:rsidR="00BC6B28" w:rsidRDefault="009A26DF" w:rsidP="00BC6B28">
      <w:pPr>
        <w:pStyle w:val="Odsekzoznamu"/>
        <w:numPr>
          <w:ilvl w:val="0"/>
          <w:numId w:val="34"/>
        </w:numPr>
        <w:spacing w:before="0" w:after="0"/>
        <w:ind w:left="284" w:hanging="284"/>
      </w:pPr>
      <w:r w:rsidRPr="009A26DF">
        <w:t>121 UoZ so vzdela</w:t>
      </w:r>
      <w:r w:rsidR="00BC6B28">
        <w:t>ním nižším ako stredné odborné (</w:t>
      </w:r>
      <w:r w:rsidRPr="009A26DF">
        <w:t>18,39%</w:t>
      </w:r>
      <w:r w:rsidR="00BC6B28">
        <w:t>),</w:t>
      </w:r>
    </w:p>
    <w:p w14:paraId="2051B97B" w14:textId="2A83A07D" w:rsidR="009A26DF" w:rsidRPr="009A26DF" w:rsidRDefault="00BC6B28" w:rsidP="00BC6B28">
      <w:pPr>
        <w:pStyle w:val="Odsekzoznamu"/>
        <w:numPr>
          <w:ilvl w:val="0"/>
          <w:numId w:val="34"/>
        </w:numPr>
        <w:spacing w:before="0" w:after="0"/>
        <w:ind w:left="284" w:hanging="284"/>
      </w:pPr>
      <w:r>
        <w:t>15 UoZ so ZP (</w:t>
      </w:r>
      <w:r w:rsidR="009A26DF" w:rsidRPr="009A26DF">
        <w:t>2,28%</w:t>
      </w:r>
      <w:r>
        <w:t>).</w:t>
      </w:r>
    </w:p>
    <w:p w14:paraId="7A456DA2" w14:textId="4A50769E" w:rsidR="009A26DF" w:rsidRPr="009A26DF" w:rsidRDefault="009A26DF" w:rsidP="00BC6B28">
      <w:pPr>
        <w:spacing w:before="120" w:after="120"/>
        <w:ind w:hanging="6"/>
      </w:pPr>
      <w:r w:rsidRPr="009A26DF">
        <w:rPr>
          <w:bCs/>
        </w:rPr>
        <w:t>Z hľadiska doby evidencie</w:t>
      </w:r>
      <w:r w:rsidRPr="009A26DF">
        <w:t>, pred zaradením</w:t>
      </w:r>
      <w:r w:rsidR="00BC6B28">
        <w:t xml:space="preserve"> UoZ</w:t>
      </w:r>
      <w:r w:rsidRPr="009A26DF">
        <w:t xml:space="preserve"> na vykonávanie praxe bolo v roku 2024  najviac – 308 UoZ (41,23 %) v evidencii UoZ do 3 mesiacov, 113 UoZ bolo v evidencii od 4 do 6 mesiacov (15,13%), od 7 do 12 mesiacov bolo v evidencii 156 UoZ (20,88 %), od 13 do 24 mesiacov bolo v evidencii 95 UoZ (12,72%), nad 24 mesiacov bolo v evidencii 75 UoZ (10,04%), čo znázorňuje graf nižšie.</w:t>
      </w:r>
    </w:p>
    <w:p w14:paraId="16BA586B" w14:textId="77777777" w:rsidR="009A26DF" w:rsidRPr="009A26DF" w:rsidRDefault="009A26DF" w:rsidP="009A26DF">
      <w:pPr>
        <w:rPr>
          <w:b/>
        </w:rPr>
      </w:pPr>
      <w:r w:rsidRPr="009A26DF">
        <w:rPr>
          <w:rFonts w:asciiTheme="minorHAnsi" w:hAnsiTheme="minorHAnsi"/>
          <w:noProof/>
        </w:rPr>
        <w:lastRenderedPageBreak/>
        <w:drawing>
          <wp:inline distT="0" distB="0" distL="0" distR="0" wp14:anchorId="291CAB42" wp14:editId="0BE11D9D">
            <wp:extent cx="5796915" cy="3085106"/>
            <wp:effectExtent l="0" t="0" r="13335" b="1270"/>
            <wp:docPr id="59" name="Graf 59">
              <a:extLst xmlns:a="http://schemas.openxmlformats.org/drawingml/2006/main">
                <a:ext uri="{FF2B5EF4-FFF2-40B4-BE49-F238E27FC236}">
                  <a16:creationId xmlns:a16="http://schemas.microsoft.com/office/drawing/2014/main" id="{7E89C702-14E9-706F-E1F2-035269984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BAB2CA6" w14:textId="77777777" w:rsidR="009A26DF" w:rsidRPr="009A26DF" w:rsidRDefault="009A26DF" w:rsidP="00BC6B28">
      <w:pPr>
        <w:spacing w:before="120" w:after="120"/>
        <w:ind w:hanging="6"/>
      </w:pPr>
      <w:r w:rsidRPr="009A26DF">
        <w:rPr>
          <w:bCs/>
        </w:rPr>
        <w:t>Podľa dosiahnutého stupňa</w:t>
      </w:r>
      <w:r w:rsidRPr="009A26DF">
        <w:t xml:space="preserve"> vzdelania, v  roku 2024 bolo zaradených na vykonávanie praxe  najviac – 449 UoZ s ukončeným úplným stredným odborným vzdelaním, čo je (60,11%) z celkového počtu zaradených UoZ, 86 UoZ  s úplným stredným všeobecným vzdelaním          (11,51%), 88 UoZ so stredným odborným vzdelaním (11,78%) a 77 UoZ so ukončeným základným vzdelaním (10,31%). Štruktúra zaradených UoZ na prax podľa dosiahnutého stupňa vzdelania v roku 2024 je vyjadrená v nasledujúcom grafe.</w:t>
      </w:r>
    </w:p>
    <w:p w14:paraId="3149B853" w14:textId="77777777" w:rsidR="009A26DF" w:rsidRPr="009A26DF" w:rsidRDefault="009A26DF" w:rsidP="009A26DF">
      <w:pPr>
        <w:rPr>
          <w:b/>
        </w:rPr>
      </w:pPr>
      <w:r w:rsidRPr="009A26DF">
        <w:rPr>
          <w:rFonts w:asciiTheme="minorHAnsi" w:hAnsiTheme="minorHAnsi"/>
          <w:noProof/>
        </w:rPr>
        <w:drawing>
          <wp:inline distT="0" distB="0" distL="0" distR="0" wp14:anchorId="54D7424B" wp14:editId="3E20E3C2">
            <wp:extent cx="5850890" cy="3124863"/>
            <wp:effectExtent l="0" t="0" r="16510" b="18415"/>
            <wp:docPr id="505" name="Graf 505">
              <a:extLst xmlns:a="http://schemas.openxmlformats.org/drawingml/2006/main">
                <a:ext uri="{FF2B5EF4-FFF2-40B4-BE49-F238E27FC236}">
                  <a16:creationId xmlns:a16="http://schemas.microsoft.com/office/drawing/2014/main" id="{980098C0-C9E6-D43D-30AF-336EAE6AD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4312583" w14:textId="77777777" w:rsidR="009A26DF" w:rsidRPr="009A26DF" w:rsidRDefault="009A26DF" w:rsidP="00BC6B28">
      <w:pPr>
        <w:spacing w:before="120" w:after="120"/>
        <w:ind w:hanging="6"/>
      </w:pPr>
      <w:r w:rsidRPr="009A26DF">
        <w:rPr>
          <w:bCs/>
        </w:rPr>
        <w:t>Z hľadiska profesie</w:t>
      </w:r>
      <w:r w:rsidRPr="009A26DF">
        <w:t xml:space="preserve"> (SK ISCO), ktorú v rámci praxe UoZ vykonávali, najväčšiu skupinu tvorili UoZ, ktorí pracovali ako administratívni pracovníci v počte 261 UoZ, čo je (34,94%) z celkového počtu 747 zaradených UoZ, Ďalšou väčšou skupinou boli technici a odborní pracovníci, ktorých bolo 178 UoZ (23,83%), špecialisti - 78 UoZ (10,44%) a pracovníci v službách a obchode v počte 68 UoZ (9,1%). Zvyšných 162 UoZ (21,69%) spadajú do kategórie pomocní a nekvalifikovaní pracovníci v štruktúre podľa grafu.</w:t>
      </w:r>
    </w:p>
    <w:p w14:paraId="1C79045F" w14:textId="77777777" w:rsidR="009A26DF" w:rsidRPr="009A26DF" w:rsidRDefault="009A26DF" w:rsidP="009A26DF">
      <w:pPr>
        <w:rPr>
          <w:b/>
        </w:rPr>
      </w:pPr>
    </w:p>
    <w:p w14:paraId="69A9706C" w14:textId="77777777" w:rsidR="009A26DF" w:rsidRPr="009A26DF" w:rsidRDefault="009A26DF" w:rsidP="009A26DF">
      <w:pPr>
        <w:rPr>
          <w:b/>
        </w:rPr>
      </w:pPr>
      <w:r w:rsidRPr="009A26DF">
        <w:rPr>
          <w:rFonts w:asciiTheme="minorHAnsi" w:hAnsiTheme="minorHAnsi"/>
          <w:noProof/>
        </w:rPr>
        <w:lastRenderedPageBreak/>
        <w:drawing>
          <wp:inline distT="0" distB="0" distL="0" distR="0" wp14:anchorId="4D870432" wp14:editId="37927CDD">
            <wp:extent cx="5850890" cy="3029447"/>
            <wp:effectExtent l="0" t="0" r="16510" b="0"/>
            <wp:docPr id="506" name="Graf 506">
              <a:extLst xmlns:a="http://schemas.openxmlformats.org/drawingml/2006/main">
                <a:ext uri="{FF2B5EF4-FFF2-40B4-BE49-F238E27FC236}">
                  <a16:creationId xmlns:a16="http://schemas.microsoft.com/office/drawing/2014/main" id="{3BB72F21-66D4-043F-29E4-40EBBF10D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7301F7E" w14:textId="247EBDA0" w:rsidR="006D4F1B" w:rsidRDefault="009F7D31" w:rsidP="006D4F1B">
      <w:pPr>
        <w:spacing w:before="120" w:after="0"/>
        <w:ind w:hanging="6"/>
      </w:pPr>
      <w:r w:rsidRPr="009A26DF">
        <w:rPr>
          <w:rFonts w:asciiTheme="minorHAnsi" w:hAnsiTheme="minorHAnsi"/>
          <w:noProof/>
        </w:rPr>
        <w:drawing>
          <wp:anchor distT="0" distB="0" distL="114300" distR="114300" simplePos="0" relativeHeight="252728832" behindDoc="0" locked="0" layoutInCell="1" allowOverlap="1" wp14:anchorId="414CA000" wp14:editId="5E7FA2CB">
            <wp:simplePos x="0" y="0"/>
            <wp:positionH relativeFrom="column">
              <wp:posOffset>-2540</wp:posOffset>
            </wp:positionH>
            <wp:positionV relativeFrom="paragraph">
              <wp:posOffset>807720</wp:posOffset>
            </wp:positionV>
            <wp:extent cx="5851525" cy="3092450"/>
            <wp:effectExtent l="0" t="0" r="15875" b="12700"/>
            <wp:wrapSquare wrapText="bothSides"/>
            <wp:docPr id="507" name="Graf 507">
              <a:extLst xmlns:a="http://schemas.openxmlformats.org/drawingml/2006/main">
                <a:ext uri="{FF2B5EF4-FFF2-40B4-BE49-F238E27FC236}">
                  <a16:creationId xmlns:a16="http://schemas.microsoft.com/office/drawing/2014/main" id="{51533A9C-B5BB-9926-A858-36890A2EC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sidR="009A26DF" w:rsidRPr="009A26DF">
        <w:rPr>
          <w:bCs/>
        </w:rPr>
        <w:t>Z hľadiska veľkosti podnikov</w:t>
      </w:r>
      <w:r w:rsidR="009A26DF" w:rsidRPr="009A26DF">
        <w:t>, bolo najviac podnikov s nezadanou veľkosťou v počte -138, čo je (29,93%) zo všetkých 461 schválených žiadostí zamestnávateľov,</w:t>
      </w:r>
      <w:r w:rsidR="00BC6B28">
        <w:t xml:space="preserve"> </w:t>
      </w:r>
      <w:r w:rsidR="009A26DF" w:rsidRPr="009A26DF">
        <w:t>ďalšiu skupinu tvorili  mikropodniky s počtom 130 čo je (28,20%), malý podnik v počte 67 (14,53%), stredný podnik 81 (17,57%)  a veľký podnik v počte 45  čo je (9,76%) v  štruk</w:t>
      </w:r>
      <w:r w:rsidR="006D4F1B">
        <w:t>túre podľa nasledujúceho grafu.</w:t>
      </w:r>
    </w:p>
    <w:p w14:paraId="2CADB8DD" w14:textId="5C697785" w:rsidR="006D4F1B" w:rsidRDefault="006D4F1B" w:rsidP="009F7D31">
      <w:pPr>
        <w:ind w:firstLine="0"/>
        <w:rPr>
          <w:rFonts w:eastAsia="Calibri" w:cstheme="minorHAnsi"/>
          <w:b/>
        </w:rPr>
      </w:pPr>
    </w:p>
    <w:p w14:paraId="300AF6DD" w14:textId="53F324C9" w:rsidR="00797451" w:rsidRDefault="007B2806" w:rsidP="00026469">
      <w:pPr>
        <w:pStyle w:val="Nadpis1"/>
        <w:tabs>
          <w:tab w:val="clear" w:pos="454"/>
          <w:tab w:val="left" w:pos="284"/>
        </w:tabs>
        <w:rPr>
          <w:rFonts w:eastAsia="Calibri"/>
        </w:rPr>
      </w:pPr>
      <w:bookmarkStart w:id="164" w:name="_Toc199230868"/>
      <w:r>
        <w:rPr>
          <w:rFonts w:eastAsia="Calibri"/>
        </w:rPr>
        <w:t>Záver</w:t>
      </w:r>
      <w:bookmarkEnd w:id="164"/>
    </w:p>
    <w:p w14:paraId="7841EC07" w14:textId="39A69B9A" w:rsidR="00C71EEC" w:rsidRDefault="002D763A" w:rsidP="00026469">
      <w:pPr>
        <w:widowControl w:val="0"/>
        <w:suppressAutoHyphens/>
        <w:autoSpaceDN w:val="0"/>
        <w:spacing w:before="120" w:after="120"/>
        <w:ind w:firstLine="0"/>
        <w:textAlignment w:val="baseline"/>
        <w:rPr>
          <w:rFonts w:eastAsia="Calibri"/>
          <w:kern w:val="3"/>
        </w:rPr>
      </w:pPr>
      <w:r w:rsidRPr="002D763A">
        <w:rPr>
          <w:rFonts w:eastAsia="Calibri"/>
          <w:kern w:val="3"/>
        </w:rPr>
        <w:t xml:space="preserve">V hodnotenom období roku 2024 bolo najviac finančných prostriedkov vynaložených na </w:t>
      </w:r>
      <w:r w:rsidR="00C71EEC" w:rsidRPr="002D763A">
        <w:rPr>
          <w:rFonts w:eastAsia="Calibri"/>
          <w:kern w:val="3"/>
        </w:rPr>
        <w:t>príspevky</w:t>
      </w:r>
      <w:r w:rsidR="00C71EEC">
        <w:rPr>
          <w:rFonts w:eastAsia="Calibri"/>
          <w:kern w:val="3"/>
        </w:rPr>
        <w:t xml:space="preserve"> poskytované v rámci programov a projektov vypracovaných a realizovaných podľa     §</w:t>
      </w:r>
      <w:r w:rsidR="00C71EEC" w:rsidRPr="002D763A">
        <w:rPr>
          <w:rFonts w:eastAsia="Calibri"/>
          <w:kern w:val="3"/>
        </w:rPr>
        <w:t xml:space="preserve"> </w:t>
      </w:r>
      <w:r w:rsidR="00C71EEC">
        <w:rPr>
          <w:rFonts w:eastAsia="Calibri"/>
          <w:kern w:val="3"/>
        </w:rPr>
        <w:t xml:space="preserve">54 zákona o službách. Na realizáciu </w:t>
      </w:r>
      <w:r w:rsidR="00265E73">
        <w:rPr>
          <w:rFonts w:eastAsia="Calibri"/>
          <w:kern w:val="3"/>
        </w:rPr>
        <w:t>17</w:t>
      </w:r>
      <w:r w:rsidR="00C71EEC">
        <w:rPr>
          <w:rFonts w:eastAsia="Calibri"/>
          <w:kern w:val="3"/>
        </w:rPr>
        <w:t xml:space="preserve"> národných a iných projektov</w:t>
      </w:r>
      <w:r w:rsidR="00265E73">
        <w:rPr>
          <w:rFonts w:eastAsia="Calibri"/>
          <w:kern w:val="3"/>
        </w:rPr>
        <w:t xml:space="preserve"> (v ich rámci samostatných aktivít a podaktivít),</w:t>
      </w:r>
      <w:r w:rsidR="00C71EEC">
        <w:rPr>
          <w:rFonts w:eastAsia="Calibri"/>
          <w:kern w:val="3"/>
        </w:rPr>
        <w:t xml:space="preserve"> vrátane regionálnych, bolo v hodnotenom  roku vyčerpaných </w:t>
      </w:r>
      <w:r w:rsidR="005B74B2">
        <w:rPr>
          <w:rFonts w:eastAsia="Calibri"/>
          <w:kern w:val="3"/>
        </w:rPr>
        <w:t xml:space="preserve">celkom </w:t>
      </w:r>
      <w:r w:rsidR="00265E73">
        <w:rPr>
          <w:rFonts w:eastAsia="Calibri"/>
          <w:kern w:val="3"/>
        </w:rPr>
        <w:t xml:space="preserve">           </w:t>
      </w:r>
      <w:r w:rsidR="00C71EEC" w:rsidRPr="00265E73">
        <w:rPr>
          <w:rFonts w:eastAsia="Calibri"/>
          <w:b/>
          <w:kern w:val="3"/>
        </w:rPr>
        <w:t>58 019 975 eur</w:t>
      </w:r>
      <w:r w:rsidR="00C71EEC">
        <w:rPr>
          <w:rFonts w:eastAsia="Calibri"/>
          <w:kern w:val="3"/>
        </w:rPr>
        <w:t xml:space="preserve">, v rámci ktorých bolo podporené pracovné uplatnenie / vytvorenie a udržanie pracovných miest / poskytnuté vzdelávanie, či rekvalifikácia celkom v </w:t>
      </w:r>
      <w:r w:rsidR="00C71EEC" w:rsidRPr="00265E73">
        <w:rPr>
          <w:rFonts w:eastAsia="Calibri"/>
          <w:b/>
          <w:kern w:val="3"/>
        </w:rPr>
        <w:t>75 002</w:t>
      </w:r>
      <w:r w:rsidR="00C71EEC">
        <w:rPr>
          <w:rFonts w:eastAsia="Calibri"/>
          <w:kern w:val="3"/>
        </w:rPr>
        <w:t xml:space="preserve"> </w:t>
      </w:r>
      <w:r w:rsidR="00C71EEC" w:rsidRPr="00265E73">
        <w:rPr>
          <w:rFonts w:eastAsia="Calibri"/>
          <w:b/>
          <w:kern w:val="3"/>
        </w:rPr>
        <w:t>prípadoch intervencii</w:t>
      </w:r>
      <w:r w:rsidR="00C71EEC">
        <w:rPr>
          <w:rFonts w:eastAsia="Calibri"/>
          <w:kern w:val="3"/>
        </w:rPr>
        <w:t xml:space="preserve"> v prospech UoZ, ZUoZ, záujemcov o</w:t>
      </w:r>
      <w:r w:rsidR="005B74B2">
        <w:rPr>
          <w:rFonts w:eastAsia="Calibri"/>
          <w:kern w:val="3"/>
        </w:rPr>
        <w:t> </w:t>
      </w:r>
      <w:r w:rsidR="00C71EEC">
        <w:rPr>
          <w:rFonts w:eastAsia="Calibri"/>
          <w:kern w:val="3"/>
        </w:rPr>
        <w:t>zamestnanie</w:t>
      </w:r>
      <w:r w:rsidR="005B74B2">
        <w:rPr>
          <w:rFonts w:eastAsia="Calibri"/>
          <w:kern w:val="3"/>
        </w:rPr>
        <w:t>, z</w:t>
      </w:r>
      <w:r w:rsidR="00415C24">
        <w:rPr>
          <w:rFonts w:eastAsia="Calibri"/>
          <w:kern w:val="3"/>
        </w:rPr>
        <w:t>amestnaných osôb – zamestnancov</w:t>
      </w:r>
      <w:r w:rsidR="00C71EEC">
        <w:rPr>
          <w:rFonts w:eastAsia="Calibri"/>
          <w:kern w:val="3"/>
        </w:rPr>
        <w:t>.</w:t>
      </w:r>
    </w:p>
    <w:p w14:paraId="01B1472B" w14:textId="24098B83" w:rsidR="00C71EEC" w:rsidRDefault="005B74B2" w:rsidP="00026469">
      <w:pPr>
        <w:widowControl w:val="0"/>
        <w:suppressAutoHyphens/>
        <w:autoSpaceDN w:val="0"/>
        <w:spacing w:before="120" w:after="120"/>
        <w:ind w:firstLine="0"/>
        <w:textAlignment w:val="baseline"/>
        <w:rPr>
          <w:rFonts w:eastAsia="Calibri"/>
          <w:kern w:val="3"/>
        </w:rPr>
      </w:pPr>
      <w:r>
        <w:rPr>
          <w:rFonts w:eastAsia="Calibri"/>
          <w:kern w:val="3"/>
        </w:rPr>
        <w:t xml:space="preserve">Z týchto projektov finančne najnáročnejšie boli: </w:t>
      </w:r>
      <w:r w:rsidRPr="005B74B2">
        <w:rPr>
          <w:rFonts w:eastAsia="Calibri"/>
          <w:kern w:val="3"/>
        </w:rPr>
        <w:t>NP Finančné stimuly pre zamestnanosť - Príspevok na SZČ</w:t>
      </w:r>
      <w:r>
        <w:rPr>
          <w:rFonts w:eastAsia="Calibri"/>
          <w:kern w:val="3"/>
        </w:rPr>
        <w:t xml:space="preserve"> (čerpanie </w:t>
      </w:r>
      <w:r w:rsidRPr="005B74B2">
        <w:rPr>
          <w:rFonts w:eastAsia="Calibri"/>
          <w:kern w:val="3"/>
        </w:rPr>
        <w:t>14 096</w:t>
      </w:r>
      <w:r>
        <w:rPr>
          <w:rFonts w:eastAsia="Calibri"/>
          <w:kern w:val="3"/>
        </w:rPr>
        <w:t> </w:t>
      </w:r>
      <w:r w:rsidRPr="005B74B2">
        <w:rPr>
          <w:rFonts w:eastAsia="Calibri"/>
          <w:kern w:val="3"/>
        </w:rPr>
        <w:t>114</w:t>
      </w:r>
      <w:r>
        <w:rPr>
          <w:rFonts w:eastAsia="Calibri"/>
          <w:kern w:val="3"/>
        </w:rPr>
        <w:t xml:space="preserve"> eur), p</w:t>
      </w:r>
      <w:r w:rsidRPr="005B74B2">
        <w:rPr>
          <w:rFonts w:eastAsia="Calibri"/>
          <w:kern w:val="3"/>
        </w:rPr>
        <w:t>rojekt Právo na Prvé zamestnanie</w:t>
      </w:r>
      <w:r>
        <w:rPr>
          <w:rFonts w:eastAsia="Calibri"/>
          <w:kern w:val="3"/>
        </w:rPr>
        <w:t xml:space="preserve"> (čerpanie </w:t>
      </w:r>
      <w:r w:rsidR="00821A53">
        <w:rPr>
          <w:rFonts w:eastAsia="Calibri"/>
          <w:kern w:val="3"/>
        </w:rPr>
        <w:t xml:space="preserve">          </w:t>
      </w:r>
      <w:r w:rsidR="00265E73" w:rsidRPr="00265E73">
        <w:rPr>
          <w:rFonts w:eastAsia="Calibri"/>
          <w:kern w:val="3"/>
        </w:rPr>
        <w:lastRenderedPageBreak/>
        <w:t>13 289 104</w:t>
      </w:r>
      <w:r>
        <w:rPr>
          <w:rFonts w:eastAsia="Calibri"/>
          <w:kern w:val="3"/>
        </w:rPr>
        <w:t xml:space="preserve"> eur)</w:t>
      </w:r>
      <w:r w:rsidR="00265E73">
        <w:rPr>
          <w:rFonts w:eastAsia="Calibri"/>
          <w:kern w:val="3"/>
        </w:rPr>
        <w:t xml:space="preserve"> a do tretice projekt </w:t>
      </w:r>
      <w:r w:rsidR="00265E73" w:rsidRPr="00265E73">
        <w:rPr>
          <w:rFonts w:eastAsia="Calibri"/>
          <w:kern w:val="3"/>
        </w:rPr>
        <w:t>Podpora rozvoja zručností zamestnancov</w:t>
      </w:r>
      <w:r w:rsidR="00265E73">
        <w:rPr>
          <w:rFonts w:eastAsia="Calibri"/>
          <w:kern w:val="3"/>
        </w:rPr>
        <w:t xml:space="preserve">, na ktorý bolo vyčerpaných </w:t>
      </w:r>
      <w:r w:rsidR="00265E73" w:rsidRPr="00265E73">
        <w:rPr>
          <w:rFonts w:eastAsia="Calibri"/>
          <w:kern w:val="3"/>
        </w:rPr>
        <w:t>9 426</w:t>
      </w:r>
      <w:r w:rsidR="00265E73">
        <w:rPr>
          <w:rFonts w:eastAsia="Calibri"/>
          <w:kern w:val="3"/>
        </w:rPr>
        <w:t> </w:t>
      </w:r>
      <w:r w:rsidR="00265E73" w:rsidRPr="00265E73">
        <w:rPr>
          <w:rFonts w:eastAsia="Calibri"/>
          <w:kern w:val="3"/>
        </w:rPr>
        <w:t>153</w:t>
      </w:r>
      <w:r w:rsidR="00265E73">
        <w:rPr>
          <w:rFonts w:eastAsia="Calibri"/>
          <w:kern w:val="3"/>
        </w:rPr>
        <w:t xml:space="preserve"> eur.</w:t>
      </w:r>
    </w:p>
    <w:p w14:paraId="78F32BCE" w14:textId="48079E47" w:rsidR="002D763A" w:rsidRPr="002D763A" w:rsidRDefault="00265E73" w:rsidP="00026469">
      <w:pPr>
        <w:widowControl w:val="0"/>
        <w:suppressAutoHyphens/>
        <w:autoSpaceDN w:val="0"/>
        <w:spacing w:before="120" w:after="120"/>
        <w:ind w:firstLine="0"/>
        <w:textAlignment w:val="baseline"/>
        <w:rPr>
          <w:rFonts w:eastAsia="Calibri"/>
          <w:kern w:val="3"/>
        </w:rPr>
      </w:pPr>
      <w:r>
        <w:rPr>
          <w:rFonts w:eastAsia="Calibri"/>
          <w:kern w:val="3"/>
        </w:rPr>
        <w:t xml:space="preserve">K finančne najnáročnejším príspevkom sa vyprofilovali príspevky vyplácané na </w:t>
      </w:r>
      <w:r w:rsidR="002D763A" w:rsidRPr="002D763A">
        <w:rPr>
          <w:rFonts w:eastAsia="Calibri"/>
          <w:kern w:val="3"/>
        </w:rPr>
        <w:t xml:space="preserve">podporu integračných podnikov, </w:t>
      </w:r>
      <w:r w:rsidR="00821A53">
        <w:rPr>
          <w:rFonts w:eastAsia="Calibri"/>
          <w:kern w:val="3"/>
        </w:rPr>
        <w:t xml:space="preserve">najmä </w:t>
      </w:r>
      <w:r w:rsidR="002D763A" w:rsidRPr="002D763A">
        <w:rPr>
          <w:rFonts w:eastAsia="Calibri"/>
          <w:kern w:val="3"/>
        </w:rPr>
        <w:t xml:space="preserve">vyrovnávací príspevok podľa § 19b zákona o sociálnej ekonomike, keď </w:t>
      </w:r>
      <w:r>
        <w:rPr>
          <w:rFonts w:eastAsia="Calibri"/>
          <w:kern w:val="3"/>
        </w:rPr>
        <w:t xml:space="preserve">v roku 2024 </w:t>
      </w:r>
      <w:r w:rsidR="002D763A" w:rsidRPr="002D763A">
        <w:rPr>
          <w:rFonts w:eastAsia="Calibri"/>
          <w:kern w:val="3"/>
        </w:rPr>
        <w:t xml:space="preserve">bolo vyčerpaných </w:t>
      </w:r>
      <w:r w:rsidR="002D763A" w:rsidRPr="00265E73">
        <w:rPr>
          <w:rFonts w:eastAsia="Calibri"/>
          <w:b/>
          <w:kern w:val="3"/>
        </w:rPr>
        <w:t xml:space="preserve">51 607 197 </w:t>
      </w:r>
      <w:r w:rsidR="007E1605" w:rsidRPr="00265E73">
        <w:rPr>
          <w:rFonts w:eastAsia="Calibri"/>
          <w:b/>
          <w:kern w:val="3"/>
        </w:rPr>
        <w:t>eur</w:t>
      </w:r>
      <w:r w:rsidR="002D763A" w:rsidRPr="002D763A">
        <w:rPr>
          <w:rFonts w:eastAsia="Calibri"/>
          <w:kern w:val="3"/>
        </w:rPr>
        <w:t xml:space="preserve">. Pomoc bola poskytnutá spolu </w:t>
      </w:r>
      <w:r w:rsidR="00821A53">
        <w:rPr>
          <w:rFonts w:eastAsia="Calibri"/>
          <w:kern w:val="3"/>
        </w:rPr>
        <w:t xml:space="preserve">   </w:t>
      </w:r>
      <w:r w:rsidR="002D763A" w:rsidRPr="002D763A">
        <w:rPr>
          <w:rFonts w:eastAsia="Calibri"/>
          <w:kern w:val="3"/>
        </w:rPr>
        <w:t>1 380 integračným podnikom, z toho 1 302 malým</w:t>
      </w:r>
      <w:r w:rsidR="007E1605">
        <w:rPr>
          <w:rFonts w:eastAsia="Calibri"/>
          <w:kern w:val="3"/>
        </w:rPr>
        <w:t xml:space="preserve"> a stredným podnikom (MSP) a 78 </w:t>
      </w:r>
      <w:r w:rsidR="002D763A" w:rsidRPr="002D763A">
        <w:rPr>
          <w:rFonts w:eastAsia="Calibri"/>
          <w:kern w:val="3"/>
        </w:rPr>
        <w:t xml:space="preserve">veľkým podnikom.   </w:t>
      </w:r>
    </w:p>
    <w:p w14:paraId="21E8E5FB" w14:textId="4E6E631B" w:rsidR="002D763A" w:rsidRDefault="00265E73" w:rsidP="00026469">
      <w:pPr>
        <w:widowControl w:val="0"/>
        <w:suppressAutoHyphens/>
        <w:autoSpaceDN w:val="0"/>
        <w:spacing w:before="120" w:after="120"/>
        <w:ind w:firstLine="0"/>
        <w:textAlignment w:val="baseline"/>
        <w:rPr>
          <w:rFonts w:eastAsia="Calibri"/>
          <w:kern w:val="3"/>
        </w:rPr>
      </w:pPr>
      <w:r>
        <w:rPr>
          <w:rFonts w:eastAsia="Calibri"/>
          <w:kern w:val="3"/>
        </w:rPr>
        <w:t>Finančne náročné sú aj AOTP určené</w:t>
      </w:r>
      <w:r w:rsidR="002D763A" w:rsidRPr="002D763A">
        <w:rPr>
          <w:rFonts w:eastAsia="Calibri"/>
          <w:kern w:val="3"/>
        </w:rPr>
        <w:t xml:space="preserve"> na podporu pracovného uplatnenia ob</w:t>
      </w:r>
      <w:r w:rsidR="0012497F">
        <w:rPr>
          <w:rFonts w:eastAsia="Calibri"/>
          <w:kern w:val="3"/>
        </w:rPr>
        <w:t>čanov so zdravotným postihnutím, najmä p</w:t>
      </w:r>
      <w:r w:rsidR="002D763A" w:rsidRPr="002D763A">
        <w:rPr>
          <w:rFonts w:eastAsia="Calibri"/>
          <w:kern w:val="3"/>
        </w:rPr>
        <w:t>ríspevok na úhradu prevádzkových nákladov chránenej dielne alebo chráneného pracoviska a na dopravu zamestnancov</w:t>
      </w:r>
      <w:r w:rsidR="0012497F" w:rsidRPr="0012497F">
        <w:rPr>
          <w:rFonts w:eastAsia="Calibri"/>
          <w:kern w:val="3"/>
        </w:rPr>
        <w:t xml:space="preserve"> </w:t>
      </w:r>
      <w:r w:rsidR="0012497F" w:rsidRPr="002D763A">
        <w:rPr>
          <w:rFonts w:eastAsia="Calibri"/>
          <w:kern w:val="3"/>
        </w:rPr>
        <w:t>podľa § 60 zákona o službách zamestnanosti</w:t>
      </w:r>
      <w:r w:rsidR="0012497F">
        <w:rPr>
          <w:rFonts w:eastAsia="Calibri"/>
          <w:kern w:val="3"/>
        </w:rPr>
        <w:t xml:space="preserve">, na ktorý </w:t>
      </w:r>
      <w:r w:rsidR="002D763A" w:rsidRPr="002D763A">
        <w:rPr>
          <w:rFonts w:eastAsia="Calibri"/>
          <w:kern w:val="3"/>
        </w:rPr>
        <w:t xml:space="preserve">bolo vyčerpaných celkom </w:t>
      </w:r>
      <w:r w:rsidR="002D763A" w:rsidRPr="0012497F">
        <w:rPr>
          <w:rFonts w:eastAsia="Calibri"/>
          <w:b/>
          <w:kern w:val="3"/>
        </w:rPr>
        <w:t xml:space="preserve">37 007 695 </w:t>
      </w:r>
      <w:r w:rsidR="007E1605" w:rsidRPr="0012497F">
        <w:rPr>
          <w:rFonts w:eastAsia="Calibri"/>
          <w:b/>
          <w:kern w:val="3"/>
        </w:rPr>
        <w:t>eur</w:t>
      </w:r>
      <w:r w:rsidR="0012497F">
        <w:rPr>
          <w:rFonts w:eastAsia="Calibri"/>
          <w:kern w:val="3"/>
        </w:rPr>
        <w:t>, pričom p</w:t>
      </w:r>
      <w:r w:rsidR="002D763A" w:rsidRPr="002D763A">
        <w:rPr>
          <w:rFonts w:eastAsia="Calibri"/>
          <w:kern w:val="3"/>
        </w:rPr>
        <w:t>omoc bola poskytnutá spolu 4 111 podnikom, z toho bolo 2 261 mikropodnikov, 1 537 malých podnikov a 272 stredných podnikov. Spolu bolo týmto príspevkom podporených 4 070 MSP a 41veľkých podnikov.</w:t>
      </w:r>
      <w:r w:rsidR="002C0596">
        <w:rPr>
          <w:rFonts w:eastAsia="Calibri"/>
          <w:kern w:val="3"/>
        </w:rPr>
        <w:t xml:space="preserve"> </w:t>
      </w:r>
      <w:r w:rsidR="002D763A" w:rsidRPr="002D763A">
        <w:rPr>
          <w:rFonts w:eastAsia="Calibri"/>
          <w:kern w:val="3"/>
        </w:rPr>
        <w:t xml:space="preserve">Na príspevok na činnosť pracovného asistenta podľa § 59 zákona o službách zamestnanosti  bolo za rok 2024 vyčerpaných celkom </w:t>
      </w:r>
      <w:r w:rsidR="002D763A" w:rsidRPr="0012497F">
        <w:rPr>
          <w:rFonts w:eastAsia="Calibri"/>
          <w:b/>
          <w:kern w:val="3"/>
        </w:rPr>
        <w:t xml:space="preserve">14 341 345 </w:t>
      </w:r>
      <w:r w:rsidR="007E1605" w:rsidRPr="0012497F">
        <w:rPr>
          <w:rFonts w:eastAsia="Calibri"/>
          <w:b/>
          <w:kern w:val="3"/>
        </w:rPr>
        <w:t>eur</w:t>
      </w:r>
      <w:r w:rsidR="002D763A" w:rsidRPr="0012497F">
        <w:rPr>
          <w:rFonts w:eastAsia="Calibri"/>
          <w:b/>
          <w:kern w:val="3"/>
        </w:rPr>
        <w:t>.</w:t>
      </w:r>
      <w:r w:rsidR="002D763A" w:rsidRPr="002D763A">
        <w:rPr>
          <w:rFonts w:eastAsia="Calibri"/>
          <w:kern w:val="3"/>
        </w:rPr>
        <w:t xml:space="preserve"> Pomoc bola poskytnutá spolu 1 205 podnikom, z toho bolo 584 zamestnávateľov a 621 SZČO. Z hľadiska veľkosti bolo 929 mikropodnikov (vrátane SZČO), 206 malým podnikov a 36 stredných podnikov. Spolu boli príspevky poskytnuté pre 1 171 MSP a pre 34 veľkých podnikov. Pri tomto type AOTP sa príspevok poskytuje zamestnávateľovi, ktorý zamestnáva občana so zdravotným postihnutím (OZP), ktorý pri práci potrebuje pomoc pracovného asistenta. Taktiež sa príspevok poskytuje SZČO so zdravotným postihnutím na činnosť pracovného asistenta.</w:t>
      </w:r>
    </w:p>
    <w:p w14:paraId="458A213A" w14:textId="770940E2" w:rsidR="00821A53" w:rsidRPr="002D763A" w:rsidRDefault="00821A53" w:rsidP="007223DF">
      <w:pPr>
        <w:widowControl w:val="0"/>
        <w:suppressAutoHyphens/>
        <w:autoSpaceDN w:val="0"/>
        <w:spacing w:before="120" w:after="120"/>
        <w:ind w:firstLine="0"/>
        <w:textAlignment w:val="baseline"/>
        <w:rPr>
          <w:rFonts w:eastAsia="Calibri"/>
          <w:kern w:val="3"/>
        </w:rPr>
      </w:pPr>
      <w:r>
        <w:rPr>
          <w:rFonts w:eastAsia="Calibri"/>
          <w:kern w:val="3"/>
        </w:rPr>
        <w:t xml:space="preserve">Je potrebné podotknúť, že </w:t>
      </w:r>
      <w:r w:rsidRPr="00DC61EE">
        <w:rPr>
          <w:rFonts w:eastAsia="Calibri"/>
          <w:b/>
          <w:kern w:val="3"/>
        </w:rPr>
        <w:t>na poskytovanie vyššie uvedených troch príspevkov</w:t>
      </w:r>
      <w:r>
        <w:rPr>
          <w:rFonts w:eastAsia="Calibri"/>
          <w:kern w:val="3"/>
        </w:rPr>
        <w:t xml:space="preserve"> (§ 19b</w:t>
      </w:r>
      <w:r w:rsidRPr="00821A53">
        <w:t xml:space="preserve"> </w:t>
      </w:r>
      <w:r w:rsidRPr="00821A53">
        <w:rPr>
          <w:rFonts w:eastAsia="Calibri"/>
          <w:kern w:val="3"/>
        </w:rPr>
        <w:t xml:space="preserve">zákona </w:t>
      </w:r>
      <w:r>
        <w:rPr>
          <w:rFonts w:eastAsia="Calibri"/>
          <w:kern w:val="3"/>
        </w:rPr>
        <w:t xml:space="preserve">     </w:t>
      </w:r>
      <w:r w:rsidRPr="00821A53">
        <w:rPr>
          <w:rFonts w:eastAsia="Calibri"/>
          <w:kern w:val="3"/>
        </w:rPr>
        <w:t>o sociálnej ekonomike</w:t>
      </w:r>
      <w:r w:rsidR="00D9257E">
        <w:rPr>
          <w:rFonts w:eastAsia="Calibri"/>
          <w:kern w:val="3"/>
        </w:rPr>
        <w:t>,</w:t>
      </w:r>
      <w:r>
        <w:rPr>
          <w:rFonts w:eastAsia="Calibri"/>
          <w:kern w:val="3"/>
        </w:rPr>
        <w:t xml:space="preserve"> § 59 a</w:t>
      </w:r>
      <w:r w:rsidR="00D9257E">
        <w:rPr>
          <w:rFonts w:eastAsia="Calibri"/>
          <w:kern w:val="3"/>
        </w:rPr>
        <w:t xml:space="preserve"> §</w:t>
      </w:r>
      <w:r>
        <w:rPr>
          <w:rFonts w:eastAsia="Calibri"/>
          <w:kern w:val="3"/>
        </w:rPr>
        <w:t xml:space="preserve"> 60 </w:t>
      </w:r>
      <w:r w:rsidRPr="002D763A">
        <w:rPr>
          <w:rFonts w:eastAsia="Calibri"/>
          <w:kern w:val="3"/>
        </w:rPr>
        <w:t>zákona o službách zamestnanosti</w:t>
      </w:r>
      <w:r>
        <w:rPr>
          <w:rFonts w:eastAsia="Calibri"/>
          <w:kern w:val="3"/>
        </w:rPr>
        <w:t xml:space="preserve">) </w:t>
      </w:r>
      <w:r w:rsidRPr="00DC61EE">
        <w:rPr>
          <w:rFonts w:eastAsia="Calibri"/>
          <w:b/>
          <w:kern w:val="3"/>
        </w:rPr>
        <w:t>je právny nárok</w:t>
      </w:r>
      <w:r>
        <w:rPr>
          <w:rFonts w:eastAsia="Calibri"/>
          <w:kern w:val="3"/>
        </w:rPr>
        <w:t xml:space="preserve">. Spolu na tieto tri príspevky bolo v roku 2024 </w:t>
      </w:r>
      <w:r w:rsidR="00DC61EE">
        <w:rPr>
          <w:rFonts w:eastAsia="Calibri"/>
          <w:kern w:val="3"/>
        </w:rPr>
        <w:t xml:space="preserve">vynaložených </w:t>
      </w:r>
      <w:r w:rsidRPr="00DC61EE">
        <w:rPr>
          <w:rFonts w:eastAsia="Calibri"/>
          <w:b/>
          <w:kern w:val="3"/>
        </w:rPr>
        <w:t>102 956 237 eur</w:t>
      </w:r>
      <w:r>
        <w:rPr>
          <w:rFonts w:eastAsia="Calibri"/>
          <w:kern w:val="3"/>
        </w:rPr>
        <w:t xml:space="preserve"> a </w:t>
      </w:r>
      <w:r w:rsidR="00DC61EE">
        <w:rPr>
          <w:rFonts w:eastAsia="Calibri"/>
          <w:kern w:val="3"/>
        </w:rPr>
        <w:t>i</w:t>
      </w:r>
      <w:r>
        <w:rPr>
          <w:rFonts w:eastAsia="Calibri"/>
          <w:kern w:val="3"/>
        </w:rPr>
        <w:t xml:space="preserve">ch podiel na čerpaní </w:t>
      </w:r>
      <w:r w:rsidR="00DC61EE">
        <w:rPr>
          <w:rFonts w:eastAsia="Calibri"/>
          <w:kern w:val="3"/>
        </w:rPr>
        <w:t xml:space="preserve">zdrojov </w:t>
      </w:r>
      <w:r>
        <w:rPr>
          <w:rFonts w:eastAsia="Calibri"/>
          <w:kern w:val="3"/>
        </w:rPr>
        <w:t xml:space="preserve">na AOTP predstavuje </w:t>
      </w:r>
      <w:r w:rsidR="00DC61EE">
        <w:rPr>
          <w:rFonts w:eastAsia="Calibri"/>
          <w:kern w:val="3"/>
        </w:rPr>
        <w:t xml:space="preserve">takmer </w:t>
      </w:r>
      <w:r w:rsidR="00DC61EE" w:rsidRPr="00DC61EE">
        <w:rPr>
          <w:rFonts w:eastAsia="Calibri"/>
          <w:b/>
          <w:kern w:val="3"/>
        </w:rPr>
        <w:t>60 %</w:t>
      </w:r>
      <w:r w:rsidR="00DC61EE">
        <w:rPr>
          <w:rFonts w:eastAsia="Calibri"/>
          <w:kern w:val="3"/>
        </w:rPr>
        <w:t xml:space="preserve"> (59,78 %)</w:t>
      </w:r>
      <w:r>
        <w:rPr>
          <w:rFonts w:eastAsia="Calibri"/>
          <w:kern w:val="3"/>
        </w:rPr>
        <w:t xml:space="preserve"> </w:t>
      </w:r>
      <w:r w:rsidR="00DC61EE">
        <w:rPr>
          <w:rFonts w:eastAsia="Calibri"/>
          <w:kern w:val="3"/>
        </w:rPr>
        <w:t>všetkých finančných prostriedkov vyčerpaných na AOTP. Oproti tomu sa za posledné roky (od roku 2020) prestali v praxi uplatňovať príspevky definované zákonom o službách zamestnanosti</w:t>
      </w:r>
      <w:r w:rsidR="007223DF">
        <w:rPr>
          <w:rFonts w:eastAsia="Calibri"/>
          <w:kern w:val="3"/>
        </w:rPr>
        <w:t>,</w:t>
      </w:r>
      <w:r w:rsidR="00DC61EE">
        <w:rPr>
          <w:rFonts w:eastAsia="Calibri"/>
          <w:kern w:val="3"/>
        </w:rPr>
        <w:t xml:space="preserve"> na ktoré nie je právny nárok a ani finančné zdroje nie sú na ten účel k dispozícií. </w:t>
      </w:r>
      <w:r w:rsidR="007223DF">
        <w:rPr>
          <w:rFonts w:eastAsia="Calibri"/>
          <w:kern w:val="3"/>
        </w:rPr>
        <w:t>Preto vyvstáva logická otázka</w:t>
      </w:r>
      <w:r w:rsidR="00DC61EE">
        <w:rPr>
          <w:rFonts w:eastAsia="Calibri"/>
          <w:kern w:val="3"/>
        </w:rPr>
        <w:t>, či by aplikačná prax nemala stimulovať k</w:t>
      </w:r>
      <w:r w:rsidR="007223DF">
        <w:rPr>
          <w:rFonts w:eastAsia="Calibri"/>
          <w:kern w:val="3"/>
        </w:rPr>
        <w:t xml:space="preserve"> legislatívnemu </w:t>
      </w:r>
      <w:r w:rsidR="00DC61EE">
        <w:rPr>
          <w:rFonts w:eastAsia="Calibri"/>
          <w:kern w:val="3"/>
        </w:rPr>
        <w:t xml:space="preserve">prehodnoteniu potrebnosti </w:t>
      </w:r>
      <w:r w:rsidR="007223DF">
        <w:rPr>
          <w:rFonts w:eastAsia="Calibri"/>
          <w:kern w:val="3"/>
        </w:rPr>
        <w:t xml:space="preserve">takej širokej palety nevyužívaných nástrojov </w:t>
      </w:r>
      <w:r w:rsidR="00DC61EE">
        <w:rPr>
          <w:rFonts w:eastAsia="Calibri"/>
          <w:kern w:val="3"/>
        </w:rPr>
        <w:t>v zákone o službách zamestnanosti</w:t>
      </w:r>
      <w:r w:rsidR="007223DF">
        <w:rPr>
          <w:rFonts w:eastAsia="Calibri"/>
          <w:kern w:val="3"/>
        </w:rPr>
        <w:t xml:space="preserve"> (</w:t>
      </w:r>
      <w:r w:rsidR="007223DF" w:rsidRPr="007223DF">
        <w:rPr>
          <w:rFonts w:eastAsia="Calibri"/>
          <w:kern w:val="3"/>
        </w:rPr>
        <w:t xml:space="preserve">§ 46, </w:t>
      </w:r>
      <w:r w:rsidR="007223DF">
        <w:rPr>
          <w:rFonts w:eastAsia="Calibri"/>
          <w:kern w:val="3"/>
        </w:rPr>
        <w:t xml:space="preserve">§ 47, </w:t>
      </w:r>
      <w:r w:rsidR="007223DF" w:rsidRPr="007223DF">
        <w:rPr>
          <w:rFonts w:eastAsia="Calibri"/>
          <w:kern w:val="3"/>
        </w:rPr>
        <w:t>§ 49,</w:t>
      </w:r>
      <w:r w:rsidR="007223DF">
        <w:rPr>
          <w:rFonts w:eastAsia="Calibri"/>
          <w:kern w:val="3"/>
        </w:rPr>
        <w:t xml:space="preserve"> § 50, § 51, § 53b, § 56 a</w:t>
      </w:r>
      <w:r w:rsidR="007223DF" w:rsidRPr="007223DF">
        <w:rPr>
          <w:rFonts w:eastAsia="Calibri"/>
          <w:kern w:val="3"/>
        </w:rPr>
        <w:t xml:space="preserve"> § 57</w:t>
      </w:r>
      <w:r w:rsidR="007223DF">
        <w:rPr>
          <w:rFonts w:eastAsia="Calibri"/>
          <w:kern w:val="3"/>
        </w:rPr>
        <w:t xml:space="preserve">), s ponechaním len obligatórnych príspevkov a tiež programov a projektov podľa § 54, ktoré prakticky suplujú a nahradzujú nepoužívané paragrafy a príspevky. </w:t>
      </w:r>
    </w:p>
    <w:p w14:paraId="04A605BE" w14:textId="2B23521B" w:rsidR="00A17676" w:rsidRDefault="00085E3F" w:rsidP="00085E3F">
      <w:pPr>
        <w:spacing w:before="120" w:after="0"/>
        <w:ind w:firstLine="0"/>
        <w:rPr>
          <w:rFonts w:eastAsia="Calibri" w:cstheme="minorHAnsi"/>
        </w:rPr>
      </w:pPr>
      <w:r w:rsidRPr="00085E3F">
        <w:rPr>
          <w:rFonts w:eastAsia="Calibri" w:cstheme="minorHAnsi"/>
        </w:rPr>
        <w:t xml:space="preserve">Záverom </w:t>
      </w:r>
      <w:r w:rsidR="007223DF">
        <w:rPr>
          <w:rFonts w:eastAsia="Calibri" w:cstheme="minorHAnsi"/>
        </w:rPr>
        <w:t xml:space="preserve">tejto správy </w:t>
      </w:r>
      <w:r w:rsidRPr="00085E3F">
        <w:rPr>
          <w:rFonts w:eastAsia="Calibri" w:cstheme="minorHAnsi"/>
        </w:rPr>
        <w:t xml:space="preserve">je potrebné uviesť, že aj napriek neľahkej </w:t>
      </w:r>
      <w:r w:rsidR="0012497F">
        <w:rPr>
          <w:rFonts w:eastAsia="Calibri" w:cstheme="minorHAnsi"/>
        </w:rPr>
        <w:t xml:space="preserve">ekonomickej situácii na globálnych trhoch </w:t>
      </w:r>
      <w:r w:rsidR="00C979FF">
        <w:rPr>
          <w:rFonts w:eastAsia="Calibri" w:cstheme="minorHAnsi"/>
        </w:rPr>
        <w:t>v hodnotenom roku 2024</w:t>
      </w:r>
      <w:r w:rsidR="00D9257E">
        <w:rPr>
          <w:rFonts w:eastAsia="Calibri" w:cstheme="minorHAnsi"/>
        </w:rPr>
        <w:t>,</w:t>
      </w:r>
      <w:r w:rsidR="00C979FF">
        <w:rPr>
          <w:rFonts w:eastAsia="Calibri" w:cstheme="minorHAnsi"/>
        </w:rPr>
        <w:t xml:space="preserve"> </w:t>
      </w:r>
      <w:r w:rsidR="0012497F">
        <w:rPr>
          <w:rFonts w:eastAsia="Calibri" w:cstheme="minorHAnsi"/>
        </w:rPr>
        <w:t>ako dôsledku geopolitických zmien (</w:t>
      </w:r>
      <w:r w:rsidR="00C979FF">
        <w:rPr>
          <w:rFonts w:eastAsia="Calibri" w:cstheme="minorHAnsi"/>
        </w:rPr>
        <w:t xml:space="preserve">energetická kríza, prechod na uhlíkovo neutrálne systémy, útlm priemyselnej výroby, </w:t>
      </w:r>
      <w:r w:rsidR="0012497F">
        <w:rPr>
          <w:rFonts w:eastAsia="Calibri" w:cstheme="minorHAnsi"/>
        </w:rPr>
        <w:t>špeciálna vojenská operácia Ruskej federáci</w:t>
      </w:r>
      <w:r w:rsidR="007223DF">
        <w:rPr>
          <w:rFonts w:eastAsia="Calibri" w:cstheme="minorHAnsi"/>
        </w:rPr>
        <w:t xml:space="preserve">e na Ukrajine, </w:t>
      </w:r>
      <w:r w:rsidR="00C979FF">
        <w:rPr>
          <w:rFonts w:eastAsia="Calibri" w:cstheme="minorHAnsi"/>
        </w:rPr>
        <w:t xml:space="preserve">zvyšujúci sa vplyv krajín združených v BRICS, Šanghajskej organizácii pre spoluprácu, novej koncepcie </w:t>
      </w:r>
      <w:r w:rsidR="007223DF">
        <w:rPr>
          <w:rFonts w:eastAsia="Calibri" w:cstheme="minorHAnsi"/>
        </w:rPr>
        <w:t>multipolárne</w:t>
      </w:r>
      <w:r w:rsidR="0012497F">
        <w:rPr>
          <w:rFonts w:eastAsia="Calibri" w:cstheme="minorHAnsi"/>
        </w:rPr>
        <w:t>ho</w:t>
      </w:r>
      <w:r w:rsidR="00C979FF">
        <w:rPr>
          <w:rFonts w:eastAsia="Calibri" w:cstheme="minorHAnsi"/>
        </w:rPr>
        <w:t xml:space="preserve"> sveta so stratou dominancie USA a EÚ)</w:t>
      </w:r>
      <w:r w:rsidR="00415C24">
        <w:rPr>
          <w:rFonts w:eastAsia="Calibri" w:cstheme="minorHAnsi"/>
        </w:rPr>
        <w:t>,</w:t>
      </w:r>
      <w:r w:rsidR="0012497F">
        <w:rPr>
          <w:rFonts w:eastAsia="Calibri" w:cstheme="minorHAnsi"/>
        </w:rPr>
        <w:t xml:space="preserve"> </w:t>
      </w:r>
      <w:r w:rsidR="00524F5A">
        <w:rPr>
          <w:rFonts w:eastAsia="Calibri" w:cstheme="minorHAnsi"/>
        </w:rPr>
        <w:t xml:space="preserve">s dopadom na krehkú, </w:t>
      </w:r>
      <w:r w:rsidR="0012497F">
        <w:rPr>
          <w:rFonts w:eastAsia="Calibri" w:cstheme="minorHAnsi"/>
        </w:rPr>
        <w:t>export</w:t>
      </w:r>
      <w:r w:rsidR="00524F5A">
        <w:rPr>
          <w:rFonts w:eastAsia="Calibri" w:cstheme="minorHAnsi"/>
        </w:rPr>
        <w:t>ne</w:t>
      </w:r>
      <w:r w:rsidR="0012497F">
        <w:rPr>
          <w:rFonts w:eastAsia="Calibri" w:cstheme="minorHAnsi"/>
        </w:rPr>
        <w:t xml:space="preserve"> orientovanú slovenskú ekonomiku</w:t>
      </w:r>
      <w:r w:rsidRPr="00085E3F">
        <w:rPr>
          <w:rFonts w:eastAsia="Calibri" w:cstheme="minorHAnsi"/>
        </w:rPr>
        <w:t>, sa aj vďak</w:t>
      </w:r>
      <w:r w:rsidR="00C979FF">
        <w:rPr>
          <w:rFonts w:eastAsia="Calibri" w:cstheme="minorHAnsi"/>
        </w:rPr>
        <w:t>a aktívnej politike trhu práce, spolu s kľúčovými vplyvmi a stabilizačnými</w:t>
      </w:r>
      <w:r w:rsidR="00C979FF" w:rsidRPr="00085E3F">
        <w:rPr>
          <w:rFonts w:eastAsia="Calibri" w:cstheme="minorHAnsi"/>
        </w:rPr>
        <w:t xml:space="preserve"> opatrenia</w:t>
      </w:r>
      <w:r w:rsidR="00C979FF">
        <w:rPr>
          <w:rFonts w:eastAsia="Calibri" w:cstheme="minorHAnsi"/>
        </w:rPr>
        <w:t>mi</w:t>
      </w:r>
      <w:r w:rsidR="00C979FF" w:rsidRPr="00085E3F">
        <w:rPr>
          <w:rFonts w:eastAsia="Calibri" w:cstheme="minorHAnsi"/>
        </w:rPr>
        <w:t xml:space="preserve"> vlády SR</w:t>
      </w:r>
      <w:r w:rsidRPr="00085E3F">
        <w:rPr>
          <w:rFonts w:eastAsia="Calibri" w:cstheme="minorHAnsi"/>
        </w:rPr>
        <w:t xml:space="preserve"> </w:t>
      </w:r>
      <w:r w:rsidR="002C0596">
        <w:rPr>
          <w:rFonts w:eastAsia="Calibri" w:cstheme="minorHAnsi"/>
        </w:rPr>
        <w:t>podarilo v</w:t>
      </w:r>
      <w:r w:rsidR="00524F5A">
        <w:rPr>
          <w:rFonts w:eastAsia="Calibri" w:cstheme="minorHAnsi"/>
        </w:rPr>
        <w:t xml:space="preserve"> roku 2024 pozitívne ovplyvniť nezamestnanosť na Slovensku.</w:t>
      </w:r>
      <w:r w:rsidRPr="00085E3F">
        <w:rPr>
          <w:rFonts w:eastAsia="Calibri" w:cstheme="minorHAnsi"/>
        </w:rPr>
        <w:t xml:space="preserve"> </w:t>
      </w:r>
    </w:p>
    <w:p w14:paraId="05314375" w14:textId="27EF74C6" w:rsidR="00A17676" w:rsidRDefault="00524F5A" w:rsidP="00085E3F">
      <w:pPr>
        <w:spacing w:before="120" w:after="0"/>
        <w:ind w:firstLine="0"/>
        <w:rPr>
          <w:rFonts w:eastAsia="Calibri" w:cstheme="minorHAnsi"/>
        </w:rPr>
      </w:pPr>
      <w:r>
        <w:rPr>
          <w:rFonts w:eastAsia="Calibri" w:cstheme="minorHAnsi"/>
        </w:rPr>
        <w:t>Dobrým p</w:t>
      </w:r>
      <w:r w:rsidR="00A17676">
        <w:rPr>
          <w:rFonts w:eastAsia="Calibri" w:cstheme="minorHAnsi"/>
        </w:rPr>
        <w:t xml:space="preserve">ríkladom je </w:t>
      </w:r>
      <w:r w:rsidR="00B86042">
        <w:rPr>
          <w:rFonts w:eastAsia="Calibri" w:cstheme="minorHAnsi"/>
        </w:rPr>
        <w:t xml:space="preserve">projekt </w:t>
      </w:r>
      <w:r w:rsidR="00B86042" w:rsidRPr="00B86042">
        <w:rPr>
          <w:rFonts w:eastAsia="Calibri" w:cstheme="minorHAnsi"/>
          <w:i/>
        </w:rPr>
        <w:t>Pripravený na prácu v</w:t>
      </w:r>
      <w:r w:rsidR="00B86042">
        <w:rPr>
          <w:rFonts w:eastAsia="Calibri" w:cstheme="minorHAnsi"/>
          <w:i/>
        </w:rPr>
        <w:t> </w:t>
      </w:r>
      <w:r w:rsidR="00B86042" w:rsidRPr="00B86042">
        <w:rPr>
          <w:rFonts w:eastAsia="Calibri" w:cstheme="minorHAnsi"/>
          <w:i/>
        </w:rPr>
        <w:t>priemysle</w:t>
      </w:r>
      <w:r w:rsidR="00B86042">
        <w:rPr>
          <w:rFonts w:eastAsia="Calibri" w:cstheme="minorHAnsi"/>
          <w:i/>
        </w:rPr>
        <w:t xml:space="preserve">, </w:t>
      </w:r>
      <w:r w:rsidR="00415C24">
        <w:rPr>
          <w:rFonts w:eastAsia="Calibri" w:cstheme="minorHAnsi"/>
        </w:rPr>
        <w:t>ktorý sa bude r</w:t>
      </w:r>
      <w:r w:rsidRPr="00337408">
        <w:rPr>
          <w:rFonts w:eastAsia="Calibri" w:cstheme="minorHAnsi"/>
        </w:rPr>
        <w:t>ealizova</w:t>
      </w:r>
      <w:r w:rsidR="00415C24">
        <w:rPr>
          <w:rFonts w:eastAsia="Calibri" w:cstheme="minorHAnsi"/>
        </w:rPr>
        <w:t xml:space="preserve">ť </w:t>
      </w:r>
      <w:r w:rsidRPr="00337408">
        <w:rPr>
          <w:rFonts w:eastAsia="Calibri" w:cstheme="minorHAnsi"/>
        </w:rPr>
        <w:t>na</w:t>
      </w:r>
      <w:r w:rsidRPr="00B86042">
        <w:rPr>
          <w:rFonts w:eastAsia="Calibri" w:cstheme="minorHAnsi"/>
        </w:rPr>
        <w:t xml:space="preserve"> vybraných 20 úradoch</w:t>
      </w:r>
      <w:r w:rsidR="00337408">
        <w:rPr>
          <w:rFonts w:eastAsia="Calibri" w:cstheme="minorHAnsi"/>
        </w:rPr>
        <w:t>,</w:t>
      </w:r>
      <w:r w:rsidRPr="00B86042">
        <w:rPr>
          <w:rFonts w:eastAsia="Calibri" w:cstheme="minorHAnsi"/>
        </w:rPr>
        <w:t xml:space="preserve"> </w:t>
      </w:r>
      <w:r w:rsidR="00B86042" w:rsidRPr="00B86042">
        <w:rPr>
          <w:rFonts w:eastAsia="Calibri" w:cstheme="minorHAnsi"/>
        </w:rPr>
        <w:t>ktorý</w:t>
      </w:r>
      <w:r w:rsidR="00B86042">
        <w:rPr>
          <w:rFonts w:eastAsia="Calibri" w:cstheme="minorHAnsi"/>
          <w:i/>
        </w:rPr>
        <w:t xml:space="preserve"> </w:t>
      </w:r>
      <w:r w:rsidR="00B86042" w:rsidRPr="00B86042">
        <w:rPr>
          <w:rFonts w:eastAsia="Calibri" w:cstheme="minorHAnsi"/>
        </w:rPr>
        <w:t xml:space="preserve">má za cieľ zvýšiť predpoklady </w:t>
      </w:r>
      <w:r w:rsidR="00B86042">
        <w:rPr>
          <w:rFonts w:eastAsia="Calibri" w:cstheme="minorHAnsi"/>
        </w:rPr>
        <w:t>UoZ pre</w:t>
      </w:r>
      <w:r w:rsidR="00B86042" w:rsidRPr="00B86042">
        <w:rPr>
          <w:rFonts w:eastAsia="Calibri" w:cstheme="minorHAnsi"/>
        </w:rPr>
        <w:t xml:space="preserve"> uplatnenie sa na trhu práce prostredníctvom vzdelania potrebného pre prácu v priemysl</w:t>
      </w:r>
      <w:r w:rsidR="00B86042">
        <w:rPr>
          <w:rFonts w:eastAsia="Calibri" w:cstheme="minorHAnsi"/>
        </w:rPr>
        <w:t>e, predovšetkým v</w:t>
      </w:r>
      <w:r w:rsidR="00337408">
        <w:rPr>
          <w:rFonts w:eastAsia="Calibri" w:cstheme="minorHAnsi"/>
        </w:rPr>
        <w:t> </w:t>
      </w:r>
      <w:r w:rsidR="00B86042">
        <w:rPr>
          <w:rFonts w:eastAsia="Calibri" w:cstheme="minorHAnsi"/>
        </w:rPr>
        <w:t>automobilovom</w:t>
      </w:r>
      <w:r w:rsidR="00337408">
        <w:rPr>
          <w:rFonts w:eastAsia="Calibri" w:cstheme="minorHAnsi"/>
        </w:rPr>
        <w:t xml:space="preserve">. Pôjde o prípravu operátorov vo výrobe a prostredníctvom </w:t>
      </w:r>
      <w:r w:rsidR="00B86042" w:rsidRPr="00B86042">
        <w:rPr>
          <w:rFonts w:eastAsia="Calibri" w:cstheme="minorHAnsi"/>
        </w:rPr>
        <w:t>o</w:t>
      </w:r>
      <w:r w:rsidR="00983EB0">
        <w:rPr>
          <w:rFonts w:eastAsia="Calibri" w:cstheme="minorHAnsi"/>
        </w:rPr>
        <w:t>dborných</w:t>
      </w:r>
      <w:r w:rsidR="00337408">
        <w:rPr>
          <w:rFonts w:eastAsia="Calibri" w:cstheme="minorHAnsi"/>
        </w:rPr>
        <w:t xml:space="preserve"> kurzov, ako </w:t>
      </w:r>
      <w:r w:rsidR="00B86042" w:rsidRPr="00B86042">
        <w:rPr>
          <w:rFonts w:eastAsia="Calibri" w:cstheme="minorHAnsi"/>
        </w:rPr>
        <w:t>napríklad mechatronik, priemyselný mechanik a</w:t>
      </w:r>
      <w:r w:rsidR="00337408">
        <w:rPr>
          <w:rFonts w:eastAsia="Calibri" w:cstheme="minorHAnsi"/>
        </w:rPr>
        <w:t> </w:t>
      </w:r>
      <w:r w:rsidR="00B86042" w:rsidRPr="00B86042">
        <w:rPr>
          <w:rFonts w:eastAsia="Calibri" w:cstheme="minorHAnsi"/>
        </w:rPr>
        <w:t>podobne</w:t>
      </w:r>
      <w:r w:rsidR="00337408">
        <w:rPr>
          <w:rFonts w:eastAsia="Calibri" w:cstheme="minorHAnsi"/>
        </w:rPr>
        <w:t xml:space="preserve">, </w:t>
      </w:r>
      <w:r w:rsidR="00415C24">
        <w:rPr>
          <w:rFonts w:eastAsia="Calibri" w:cstheme="minorHAnsi"/>
        </w:rPr>
        <w:t xml:space="preserve">s cieľom </w:t>
      </w:r>
      <w:r w:rsidR="00337408">
        <w:rPr>
          <w:rFonts w:eastAsia="Calibri" w:cstheme="minorHAnsi"/>
        </w:rPr>
        <w:t>zabezpečiť potrebnú kvalifikovanú pracovnú silu pre automobilový priemysel</w:t>
      </w:r>
      <w:r w:rsidR="00B86042" w:rsidRPr="00B86042">
        <w:rPr>
          <w:rFonts w:eastAsia="Calibri" w:cstheme="minorHAnsi"/>
        </w:rPr>
        <w:t>.</w:t>
      </w:r>
    </w:p>
    <w:p w14:paraId="5B82EAF5" w14:textId="57573FDD" w:rsidR="00524F5A" w:rsidRDefault="00337408" w:rsidP="00085E3F">
      <w:pPr>
        <w:spacing w:before="120" w:after="0"/>
        <w:ind w:firstLine="0"/>
        <w:rPr>
          <w:rFonts w:eastAsia="Calibri" w:cstheme="minorHAnsi"/>
        </w:rPr>
      </w:pPr>
      <w:r>
        <w:rPr>
          <w:noProof/>
        </w:rPr>
        <w:lastRenderedPageBreak/>
        <w:drawing>
          <wp:anchor distT="0" distB="0" distL="114300" distR="114300" simplePos="0" relativeHeight="252731904" behindDoc="0" locked="0" layoutInCell="1" allowOverlap="1" wp14:anchorId="0092639E" wp14:editId="282A6AA0">
            <wp:simplePos x="0" y="0"/>
            <wp:positionH relativeFrom="column">
              <wp:posOffset>2937873</wp:posOffset>
            </wp:positionH>
            <wp:positionV relativeFrom="paragraph">
              <wp:posOffset>-813</wp:posOffset>
            </wp:positionV>
            <wp:extent cx="2885153" cy="2170430"/>
            <wp:effectExtent l="0" t="0" r="0" b="127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886743" cy="2171626"/>
                    </a:xfrm>
                    <a:prstGeom prst="rect">
                      <a:avLst/>
                    </a:prstGeom>
                  </pic:spPr>
                </pic:pic>
              </a:graphicData>
            </a:graphic>
            <wp14:sizeRelH relativeFrom="margin">
              <wp14:pctWidth>0</wp14:pctWidth>
            </wp14:sizeRelH>
            <wp14:sizeRelV relativeFrom="margin">
              <wp14:pctHeight>0</wp14:pctHeight>
            </wp14:sizeRelV>
          </wp:anchor>
        </w:drawing>
      </w:r>
      <w:r w:rsidR="00524F5A">
        <w:rPr>
          <w:noProof/>
        </w:rPr>
        <w:drawing>
          <wp:inline distT="0" distB="0" distL="0" distR="0" wp14:anchorId="06FA4B39" wp14:editId="0496FAF3">
            <wp:extent cx="2893795" cy="2170707"/>
            <wp:effectExtent l="0" t="0" r="1905" b="1270"/>
            <wp:docPr id="24" name="Obrázok 1" descr="http://intranet.upsvr.sk/images/gallery/kgr/pripravenynapriemysel220525/o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upsvr.sk/images/gallery/kgr/pripravenynapriemysel220525/o_6.jpe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37499" cy="2203490"/>
                    </a:xfrm>
                    <a:prstGeom prst="rect">
                      <a:avLst/>
                    </a:prstGeom>
                    <a:noFill/>
                    <a:ln>
                      <a:noFill/>
                    </a:ln>
                  </pic:spPr>
                </pic:pic>
              </a:graphicData>
            </a:graphic>
          </wp:inline>
        </w:drawing>
      </w:r>
    </w:p>
    <w:p w14:paraId="31D70AC3" w14:textId="52BE8A88" w:rsidR="001D3A56" w:rsidRPr="002D763A" w:rsidRDefault="00983EB0" w:rsidP="00983EB0">
      <w:pPr>
        <w:spacing w:before="120" w:after="0"/>
        <w:ind w:firstLine="0"/>
        <w:rPr>
          <w:rFonts w:eastAsia="Calibri" w:cstheme="minorHAnsi"/>
        </w:rPr>
      </w:pPr>
      <w:r w:rsidRPr="00983EB0">
        <w:rPr>
          <w:rFonts w:eastAsia="Calibri" w:cstheme="minorHAnsi"/>
        </w:rPr>
        <w:t xml:space="preserve">Medzi naliehavé výzvy v oblasti trhu práce patrí v súčasnosti nedostatok pracovnej sily </w:t>
      </w:r>
      <w:r>
        <w:rPr>
          <w:rFonts w:eastAsia="Calibri" w:cstheme="minorHAnsi"/>
        </w:rPr>
        <w:t xml:space="preserve">                    </w:t>
      </w:r>
      <w:r w:rsidRPr="00983EB0">
        <w:rPr>
          <w:rFonts w:eastAsia="Calibri" w:cstheme="minorHAnsi"/>
        </w:rPr>
        <w:t xml:space="preserve">s </w:t>
      </w:r>
      <w:r>
        <w:rPr>
          <w:rFonts w:eastAsia="Calibri" w:cstheme="minorHAnsi"/>
        </w:rPr>
        <w:t>vyhovujúcim kvalifikačným profi</w:t>
      </w:r>
      <w:r w:rsidRPr="00983EB0">
        <w:rPr>
          <w:rFonts w:eastAsia="Calibri" w:cstheme="minorHAnsi"/>
        </w:rPr>
        <w:t>lom. Slovenská ekonomika b</w:t>
      </w:r>
      <w:r>
        <w:rPr>
          <w:rFonts w:eastAsia="Calibri" w:cstheme="minorHAnsi"/>
        </w:rPr>
        <w:t>ude už v najbližšej dekáde poci</w:t>
      </w:r>
      <w:r w:rsidRPr="00983EB0">
        <w:rPr>
          <w:rFonts w:eastAsia="Calibri" w:cstheme="minorHAnsi"/>
        </w:rPr>
        <w:t>ťovať dôsledky odchodu početnejších ročníkov do dôchodku</w:t>
      </w:r>
      <w:r>
        <w:rPr>
          <w:rFonts w:eastAsia="Calibri" w:cstheme="minorHAnsi"/>
        </w:rPr>
        <w:t xml:space="preserve"> </w:t>
      </w:r>
      <w:r w:rsidRPr="00983EB0">
        <w:rPr>
          <w:rFonts w:eastAsia="Calibri" w:cstheme="minorHAnsi"/>
        </w:rPr>
        <w:t>a nástup menej početných roční</w:t>
      </w:r>
      <w:r>
        <w:rPr>
          <w:rFonts w:eastAsia="Calibri" w:cstheme="minorHAnsi"/>
        </w:rPr>
        <w:t>kov na trh práce. Riešenie tých</w:t>
      </w:r>
      <w:r w:rsidRPr="00983EB0">
        <w:rPr>
          <w:rFonts w:eastAsia="Calibri" w:cstheme="minorHAnsi"/>
        </w:rPr>
        <w:t>to výziev si bude vyžadov</w:t>
      </w:r>
      <w:r>
        <w:rPr>
          <w:rFonts w:eastAsia="Calibri" w:cstheme="minorHAnsi"/>
        </w:rPr>
        <w:t>ať spoločenskú zhodu na koncepč</w:t>
      </w:r>
      <w:r w:rsidRPr="00983EB0">
        <w:rPr>
          <w:rFonts w:eastAsia="Calibri" w:cstheme="minorHAnsi"/>
        </w:rPr>
        <w:t>ných politikách zameraných na zvýšenie miery participácie</w:t>
      </w:r>
      <w:r>
        <w:rPr>
          <w:rFonts w:eastAsia="Calibri" w:cstheme="minorHAnsi"/>
        </w:rPr>
        <w:t xml:space="preserve"> </w:t>
      </w:r>
      <w:r w:rsidRPr="00983EB0">
        <w:rPr>
          <w:rFonts w:eastAsia="Calibri" w:cstheme="minorHAnsi"/>
        </w:rPr>
        <w:t>obyvateľstva na trhu práce</w:t>
      </w:r>
      <w:r>
        <w:rPr>
          <w:rFonts w:eastAsia="Calibri" w:cstheme="minorHAnsi"/>
        </w:rPr>
        <w:t>,</w:t>
      </w:r>
      <w:r w:rsidRPr="00983EB0">
        <w:rPr>
          <w:rFonts w:eastAsia="Calibri" w:cstheme="minorHAnsi"/>
        </w:rPr>
        <w:t xml:space="preserve"> vrátane starších ročníkov, udržanie mladých ľudí na Slovensku, a</w:t>
      </w:r>
      <w:r>
        <w:rPr>
          <w:rFonts w:eastAsia="Calibri" w:cstheme="minorHAnsi"/>
        </w:rPr>
        <w:t>le aj opatrenia typu podpory za</w:t>
      </w:r>
      <w:r w:rsidRPr="00983EB0">
        <w:rPr>
          <w:rFonts w:eastAsia="Calibri" w:cstheme="minorHAnsi"/>
        </w:rPr>
        <w:t>mestnávania pracovníkov zo</w:t>
      </w:r>
      <w:r>
        <w:rPr>
          <w:rFonts w:eastAsia="Calibri" w:cstheme="minorHAnsi"/>
        </w:rPr>
        <w:t xml:space="preserve"> zahraničia alebo koncepcie udr</w:t>
      </w:r>
      <w:r w:rsidRPr="00983EB0">
        <w:rPr>
          <w:rFonts w:eastAsia="Calibri" w:cstheme="minorHAnsi"/>
        </w:rPr>
        <w:t xml:space="preserve">žateľnej </w:t>
      </w:r>
      <w:r>
        <w:rPr>
          <w:rFonts w:eastAsia="Calibri" w:cstheme="minorHAnsi"/>
        </w:rPr>
        <w:t xml:space="preserve">legálnej </w:t>
      </w:r>
      <w:r w:rsidRPr="00983EB0">
        <w:rPr>
          <w:rFonts w:eastAsia="Calibri" w:cstheme="minorHAnsi"/>
        </w:rPr>
        <w:t>migrá</w:t>
      </w:r>
      <w:r>
        <w:rPr>
          <w:rFonts w:eastAsia="Calibri" w:cstheme="minorHAnsi"/>
        </w:rPr>
        <w:t>cie.</w:t>
      </w:r>
    </w:p>
    <w:p w14:paraId="4DC18A89" w14:textId="66BB8E51" w:rsidR="00EA4FCD" w:rsidRDefault="00EA4FCD" w:rsidP="00EA4FCD">
      <w:pPr>
        <w:spacing w:before="120" w:after="0"/>
        <w:ind w:firstLine="0"/>
        <w:rPr>
          <w:rFonts w:eastAsia="Calibri" w:cstheme="minorHAnsi"/>
        </w:rPr>
      </w:pPr>
      <w:r>
        <w:rPr>
          <w:rFonts w:eastAsia="Calibri" w:cstheme="minorHAnsi"/>
        </w:rPr>
        <w:t>Aktívna politika trhu práce dlhodobo prispieva</w:t>
      </w:r>
      <w:r w:rsidR="00BA73C7">
        <w:rPr>
          <w:rFonts w:eastAsia="Calibri" w:cstheme="minorHAnsi"/>
        </w:rPr>
        <w:t>,</w:t>
      </w:r>
      <w:r>
        <w:rPr>
          <w:rFonts w:eastAsia="Calibri" w:cstheme="minorHAnsi"/>
        </w:rPr>
        <w:t xml:space="preserve"> a aj v nastávajúcom období </w:t>
      </w:r>
      <w:r w:rsidR="00722129">
        <w:rPr>
          <w:rFonts w:eastAsia="Calibri" w:cstheme="minorHAnsi"/>
        </w:rPr>
        <w:t>sa bude podieľať</w:t>
      </w:r>
      <w:r w:rsidR="00BA73C7">
        <w:rPr>
          <w:rFonts w:eastAsia="Calibri" w:cstheme="minorHAnsi"/>
        </w:rPr>
        <w:t>,</w:t>
      </w:r>
      <w:r>
        <w:rPr>
          <w:rFonts w:eastAsia="Calibri" w:cstheme="minorHAnsi"/>
        </w:rPr>
        <w:t xml:space="preserve"> relatívne značnými finančnými prostriedkami</w:t>
      </w:r>
      <w:r w:rsidR="00722129">
        <w:rPr>
          <w:rFonts w:eastAsia="Calibri" w:cstheme="minorHAnsi"/>
        </w:rPr>
        <w:t xml:space="preserve"> na vyrovnávaní</w:t>
      </w:r>
      <w:r>
        <w:rPr>
          <w:rFonts w:eastAsia="Calibri" w:cstheme="minorHAnsi"/>
        </w:rPr>
        <w:t xml:space="preserve"> nerovnováhy medzi dopytom a ponukou pracovnej sily, hlavne prostredníctvom intervencií do odstraňovania štrukturálnych disparít medzi </w:t>
      </w:r>
      <w:r w:rsidR="00BA73C7">
        <w:rPr>
          <w:rFonts w:eastAsia="Calibri" w:cstheme="minorHAnsi"/>
        </w:rPr>
        <w:t xml:space="preserve">vzdelanostnými a odbornými </w:t>
      </w:r>
      <w:r>
        <w:rPr>
          <w:rFonts w:eastAsia="Calibri" w:cstheme="minorHAnsi"/>
        </w:rPr>
        <w:t xml:space="preserve">charakteristikami disponibilnej pracovnej sily - UoZ a potrebami pracovného </w:t>
      </w:r>
      <w:r w:rsidR="00722129">
        <w:rPr>
          <w:rFonts w:eastAsia="Calibri" w:cstheme="minorHAnsi"/>
        </w:rPr>
        <w:t>trhu tak</w:t>
      </w:r>
      <w:r w:rsidR="00BA73C7">
        <w:rPr>
          <w:rFonts w:eastAsia="Calibri" w:cstheme="minorHAnsi"/>
        </w:rPr>
        <w:t>,</w:t>
      </w:r>
      <w:bookmarkStart w:id="165" w:name="_GoBack"/>
      <w:bookmarkEnd w:id="165"/>
      <w:r w:rsidR="00722129">
        <w:rPr>
          <w:rFonts w:eastAsia="Calibri" w:cstheme="minorHAnsi"/>
        </w:rPr>
        <w:t xml:space="preserve"> aby boli v súlade s investičnými zámermi</w:t>
      </w:r>
      <w:r>
        <w:rPr>
          <w:rFonts w:eastAsia="Calibri" w:cstheme="minorHAnsi"/>
        </w:rPr>
        <w:t xml:space="preserve"> v</w:t>
      </w:r>
      <w:r w:rsidR="00722129">
        <w:rPr>
          <w:rFonts w:eastAsia="Calibri" w:cstheme="minorHAnsi"/>
        </w:rPr>
        <w:t> hospodárstve SR a strategickými cieľmi a potrebami</w:t>
      </w:r>
      <w:r>
        <w:rPr>
          <w:rFonts w:eastAsia="Calibri" w:cstheme="minorHAnsi"/>
        </w:rPr>
        <w:t>, ako napr. riešenie dôsledkov</w:t>
      </w:r>
      <w:r w:rsidRPr="00EA4FCD">
        <w:rPr>
          <w:rFonts w:eastAsia="Calibri" w:cstheme="minorHAnsi"/>
        </w:rPr>
        <w:t xml:space="preserve"> v sociálnej, hospodárskej a environmentálnej oblasti, ako aj v oblasti zamestnanosti</w:t>
      </w:r>
      <w:r>
        <w:rPr>
          <w:rFonts w:eastAsia="Calibri" w:cstheme="minorHAnsi"/>
        </w:rPr>
        <w:t>, spôsobených</w:t>
      </w:r>
      <w:r w:rsidRPr="00EA4FCD">
        <w:rPr>
          <w:rFonts w:eastAsia="Calibri" w:cstheme="minorHAnsi"/>
        </w:rPr>
        <w:t xml:space="preserve"> transformáciou</w:t>
      </w:r>
      <w:r>
        <w:rPr>
          <w:rFonts w:eastAsia="Calibri" w:cstheme="minorHAnsi"/>
        </w:rPr>
        <w:t>,</w:t>
      </w:r>
      <w:r w:rsidRPr="00EA4FCD">
        <w:rPr>
          <w:rFonts w:eastAsia="Calibri" w:cstheme="minorHAnsi"/>
        </w:rPr>
        <w:t xml:space="preserve"> smerom k energetickým a klimatickým cieľom Únie na rok 2030 a k dosiahnutiu klimaticky neutrálneho hospodárstva Únie do roku 2050</w:t>
      </w:r>
      <w:r>
        <w:rPr>
          <w:rFonts w:eastAsia="Calibri" w:cstheme="minorHAnsi"/>
        </w:rPr>
        <w:t>, v rámci Fondu na spravodlivú transformáciu.</w:t>
      </w:r>
    </w:p>
    <w:p w14:paraId="46FAC3FA" w14:textId="41D5359B" w:rsidR="001D3A56" w:rsidRPr="002D763A" w:rsidRDefault="001D3A56" w:rsidP="00CF64B9">
      <w:pPr>
        <w:spacing w:after="0"/>
        <w:ind w:firstLine="0"/>
        <w:rPr>
          <w:rFonts w:eastAsia="Calibri" w:cstheme="minorHAnsi"/>
        </w:rPr>
      </w:pPr>
    </w:p>
    <w:p w14:paraId="4105DAA5" w14:textId="17A0BAC0" w:rsidR="00797451" w:rsidRPr="00CF64B9" w:rsidRDefault="007B2806" w:rsidP="007B2806">
      <w:pPr>
        <w:spacing w:after="0"/>
        <w:ind w:left="3545" w:hanging="1"/>
        <w:rPr>
          <w:rFonts w:eastAsia="Calibri" w:cstheme="minorHAnsi"/>
          <w:b/>
        </w:rPr>
      </w:pPr>
      <w:r>
        <w:rPr>
          <w:rFonts w:eastAsia="Calibri" w:cstheme="minorHAnsi"/>
          <w:b/>
          <w:noProof/>
        </w:rPr>
        <w:drawing>
          <wp:inline distT="0" distB="0" distL="0" distR="0" wp14:anchorId="2D7EDCC3" wp14:editId="0AA91156">
            <wp:extent cx="487680" cy="323215"/>
            <wp:effectExtent l="0" t="0" r="7620" b="63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rot="10800000">
                      <a:off x="0" y="0"/>
                      <a:ext cx="487680" cy="323215"/>
                    </a:xfrm>
                    <a:prstGeom prst="rect">
                      <a:avLst/>
                    </a:prstGeom>
                    <a:noFill/>
                  </pic:spPr>
                </pic:pic>
              </a:graphicData>
            </a:graphic>
          </wp:inline>
        </w:drawing>
      </w:r>
      <w:r>
        <w:rPr>
          <w:rFonts w:eastAsia="Calibri" w:cstheme="minorHAnsi"/>
          <w:b/>
        </w:rPr>
        <w:t xml:space="preserve">    </w:t>
      </w:r>
      <w:r>
        <w:rPr>
          <w:rFonts w:eastAsia="Calibri" w:cstheme="minorHAnsi"/>
          <w:b/>
          <w:noProof/>
        </w:rPr>
        <w:drawing>
          <wp:inline distT="0" distB="0" distL="0" distR="0" wp14:anchorId="1FFA0BBB" wp14:editId="34A27B9F">
            <wp:extent cx="487680" cy="323215"/>
            <wp:effectExtent l="0" t="0" r="7620" b="63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7680" cy="323215"/>
                    </a:xfrm>
                    <a:prstGeom prst="rect">
                      <a:avLst/>
                    </a:prstGeom>
                    <a:noFill/>
                  </pic:spPr>
                </pic:pic>
              </a:graphicData>
            </a:graphic>
          </wp:inline>
        </w:drawing>
      </w:r>
    </w:p>
    <w:p w14:paraId="7EB09676" w14:textId="76FA8E57" w:rsidR="00CF64B9" w:rsidRPr="00A34B93" w:rsidRDefault="00CF64B9" w:rsidP="00A34B93">
      <w:pPr>
        <w:spacing w:after="0"/>
        <w:ind w:firstLine="0"/>
        <w:rPr>
          <w:rFonts w:eastAsia="Calibri" w:cstheme="minorHAnsi"/>
        </w:rPr>
      </w:pPr>
    </w:p>
    <w:sectPr w:rsidR="00CF64B9" w:rsidRPr="00A34B93" w:rsidSect="00BB4336">
      <w:footerReference w:type="default" r:id="rId135"/>
      <w:pgSz w:w="11906" w:h="16838" w:code="9"/>
      <w:pgMar w:top="992" w:right="127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06468" w14:textId="77777777" w:rsidR="00C6032B" w:rsidRDefault="00C6032B" w:rsidP="00F97718">
      <w:pPr>
        <w:spacing w:after="0"/>
      </w:pPr>
      <w:r>
        <w:separator/>
      </w:r>
    </w:p>
  </w:endnote>
  <w:endnote w:type="continuationSeparator" w:id="0">
    <w:p w14:paraId="7E5C70FE" w14:textId="77777777" w:rsidR="00C6032B" w:rsidRDefault="00C6032B" w:rsidP="00F97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ahnschrift SemiLigh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645585"/>
      <w:docPartObj>
        <w:docPartGallery w:val="Page Numbers (Bottom of Page)"/>
        <w:docPartUnique/>
      </w:docPartObj>
    </w:sdtPr>
    <w:sdtEndPr/>
    <w:sdtContent>
      <w:p w14:paraId="10A846B7" w14:textId="7630AC46" w:rsidR="00D9257E" w:rsidRDefault="00D9257E">
        <w:pPr>
          <w:pStyle w:val="Pta"/>
          <w:jc w:val="center"/>
        </w:pPr>
        <w:r>
          <w:fldChar w:fldCharType="begin"/>
        </w:r>
        <w:r>
          <w:instrText>PAGE   \* MERGEFORMAT</w:instrText>
        </w:r>
        <w:r>
          <w:fldChar w:fldCharType="separate"/>
        </w:r>
        <w:r w:rsidR="00BA73C7">
          <w:rPr>
            <w:noProof/>
          </w:rPr>
          <w:t>103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EA92E" w14:textId="77777777" w:rsidR="00C6032B" w:rsidRDefault="00C6032B" w:rsidP="00F97718">
      <w:pPr>
        <w:spacing w:after="0"/>
      </w:pPr>
      <w:r>
        <w:separator/>
      </w:r>
    </w:p>
  </w:footnote>
  <w:footnote w:type="continuationSeparator" w:id="0">
    <w:p w14:paraId="03BC0970" w14:textId="77777777" w:rsidR="00C6032B" w:rsidRDefault="00C6032B" w:rsidP="00F97718">
      <w:pPr>
        <w:spacing w:after="0"/>
      </w:pPr>
      <w:r>
        <w:continuationSeparator/>
      </w:r>
    </w:p>
  </w:footnote>
  <w:footnote w:id="1">
    <w:p w14:paraId="486E92E7" w14:textId="77777777" w:rsidR="00D9257E" w:rsidRDefault="00D9257E" w:rsidP="006D0EB4">
      <w:pPr>
        <w:ind w:left="142" w:hanging="142"/>
        <w:rPr>
          <w:sz w:val="18"/>
          <w:szCs w:val="14"/>
        </w:rPr>
      </w:pPr>
      <w:r>
        <w:rPr>
          <w:rStyle w:val="Odkaznapoznmkupodiarou"/>
          <w:sz w:val="18"/>
          <w:szCs w:val="14"/>
        </w:rPr>
        <w:footnoteRef/>
      </w:r>
      <w:r>
        <w:rPr>
          <w:sz w:val="18"/>
          <w:szCs w:val="14"/>
        </w:rPr>
        <w:t xml:space="preserve"> Poskytovateľom regionálnej investičnej pomoci a pomoci na podporu zamestnanosti vo forme príspevku na vytvorenie nového pracovného miesta je Ministerstvo práce, sociálnych vecí a rodiny Slovenskej republiky prostredníctvom Ústredia práce, sociálnych vecí a rodiny podľa § 2 ods. 5 písm. d) zákona  č. 561/2007 Z. z. o investičnej pomoci a o zmene a doplnení niektorých zákonov v znení neskorších predpisov, ktorý bol platný do 31. 3. 2018 a od 1. 4. 2018 podľa § 3 ods. c) zákona č. 57/2018 Z .z. o regionálnej investičnej pomoci a o zmene a doplnení niektorých zákonov.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BD15057_"/>
      </v:shape>
    </w:pict>
  </w:numPicBullet>
  <w:abstractNum w:abstractNumId="0" w15:restartNumberingAfterBreak="0">
    <w:nsid w:val="00567E92"/>
    <w:multiLevelType w:val="hybridMultilevel"/>
    <w:tmpl w:val="1602D05A"/>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2E54874"/>
    <w:multiLevelType w:val="hybridMultilevel"/>
    <w:tmpl w:val="061E0684"/>
    <w:lvl w:ilvl="0" w:tplc="E0C0C0C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1F4E4C"/>
    <w:multiLevelType w:val="hybridMultilevel"/>
    <w:tmpl w:val="120813E8"/>
    <w:lvl w:ilvl="0" w:tplc="041B000B">
      <w:start w:val="1"/>
      <w:numFmt w:val="bullet"/>
      <w:lvlText w:val=""/>
      <w:lvlJc w:val="left"/>
      <w:pPr>
        <w:ind w:left="502"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A91C2A"/>
    <w:multiLevelType w:val="hybridMultilevel"/>
    <w:tmpl w:val="69569776"/>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43329A"/>
    <w:multiLevelType w:val="multilevel"/>
    <w:tmpl w:val="9EE2D062"/>
    <w:lvl w:ilvl="0">
      <w:start w:val="1"/>
      <w:numFmt w:val="decimal"/>
      <w:pStyle w:val="Nadpis1"/>
      <w:lvlText w:val="%1"/>
      <w:lvlJc w:val="left"/>
      <w:pPr>
        <w:ind w:left="432" w:hanging="432"/>
      </w:pPr>
    </w:lvl>
    <w:lvl w:ilvl="1">
      <w:start w:val="1"/>
      <w:numFmt w:val="decimal"/>
      <w:pStyle w:val="Nadpis2"/>
      <w:lvlText w:val="%1.%2"/>
      <w:lvlJc w:val="left"/>
      <w:pPr>
        <w:ind w:left="7806" w:hanging="576"/>
      </w:pPr>
    </w:lvl>
    <w:lvl w:ilvl="2">
      <w:start w:val="1"/>
      <w:numFmt w:val="decimal"/>
      <w:pStyle w:val="Nadpis3"/>
      <w:lvlText w:val="%1.%2.%3"/>
      <w:lvlJc w:val="left"/>
      <w:pPr>
        <w:ind w:left="1146" w:hanging="720"/>
      </w:pPr>
      <w:rPr>
        <w:b/>
      </w:rPr>
    </w:lvl>
    <w:lvl w:ilvl="3">
      <w:start w:val="1"/>
      <w:numFmt w:val="decimal"/>
      <w:pStyle w:val="Nadpis4"/>
      <w:lvlText w:val="%1.%2.%3.%4"/>
      <w:lvlJc w:val="left"/>
      <w:pPr>
        <w:ind w:left="864" w:hanging="864"/>
      </w:pPr>
      <w:rPr>
        <w:i w:val="0"/>
      </w:rPr>
    </w:lvl>
    <w:lvl w:ilvl="4">
      <w:start w:val="1"/>
      <w:numFmt w:val="decimal"/>
      <w:pStyle w:val="Nadpis5"/>
      <w:lvlText w:val="%1.%2.%3.%4.%5"/>
      <w:lvlJc w:val="left"/>
      <w:pPr>
        <w:ind w:left="1150" w:hanging="1008"/>
      </w:pPr>
      <w:rPr>
        <w:b/>
      </w:r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13597EE8"/>
    <w:multiLevelType w:val="hybridMultilevel"/>
    <w:tmpl w:val="5D9A75F6"/>
    <w:lvl w:ilvl="0" w:tplc="DCCAD9C0">
      <w:start w:val="5"/>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377725E"/>
    <w:multiLevelType w:val="hybridMultilevel"/>
    <w:tmpl w:val="8E4ED92A"/>
    <w:lvl w:ilvl="0" w:tplc="466292FE">
      <w:start w:val="1"/>
      <w:numFmt w:val="bullet"/>
      <w:lvlText w:val="-"/>
      <w:lvlJc w:val="left"/>
      <w:pPr>
        <w:ind w:left="720" w:hanging="360"/>
      </w:pPr>
      <w:rPr>
        <w:rFonts w:ascii="Calibri" w:eastAsia="Calibri"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37823D7"/>
    <w:multiLevelType w:val="hybridMultilevel"/>
    <w:tmpl w:val="2D5C769C"/>
    <w:lvl w:ilvl="0" w:tplc="466292FE">
      <w:start w:val="1"/>
      <w:numFmt w:val="bullet"/>
      <w:lvlText w:val="-"/>
      <w:lvlJc w:val="left"/>
      <w:pPr>
        <w:ind w:left="502"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DC0848"/>
    <w:multiLevelType w:val="hybridMultilevel"/>
    <w:tmpl w:val="CA12B1D0"/>
    <w:lvl w:ilvl="0" w:tplc="466292FE">
      <w:start w:val="1"/>
      <w:numFmt w:val="bullet"/>
      <w:lvlText w:val="-"/>
      <w:lvlJc w:val="left"/>
      <w:pPr>
        <w:ind w:left="715" w:hanging="360"/>
      </w:pPr>
      <w:rPr>
        <w:rFonts w:ascii="Calibri" w:eastAsia="Calibri" w:hAnsi="Calibri" w:cs="Times New Roman" w:hint="default"/>
        <w:color w:val="auto"/>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9" w15:restartNumberingAfterBreak="0">
    <w:nsid w:val="1B3C7FB8"/>
    <w:multiLevelType w:val="hybridMultilevel"/>
    <w:tmpl w:val="11C0786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C9D604E"/>
    <w:multiLevelType w:val="hybridMultilevel"/>
    <w:tmpl w:val="697E83D4"/>
    <w:lvl w:ilvl="0" w:tplc="99A4A044">
      <w:numFmt w:val="bullet"/>
      <w:lvlText w:val="-"/>
      <w:lvlJc w:val="left"/>
      <w:pPr>
        <w:ind w:left="502"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0F03F00"/>
    <w:multiLevelType w:val="hybridMultilevel"/>
    <w:tmpl w:val="6242FFDE"/>
    <w:lvl w:ilvl="0" w:tplc="041B000F">
      <w:start w:val="1"/>
      <w:numFmt w:val="decimal"/>
      <w:lvlText w:val="%1."/>
      <w:lvlJc w:val="left"/>
      <w:pPr>
        <w:ind w:left="360" w:hanging="360"/>
      </w:pPr>
      <w:rPr>
        <w:rFont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22FF4EE7"/>
    <w:multiLevelType w:val="hybridMultilevel"/>
    <w:tmpl w:val="8F3C8DCC"/>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56B3A2D"/>
    <w:multiLevelType w:val="hybridMultilevel"/>
    <w:tmpl w:val="D7DA6542"/>
    <w:lvl w:ilvl="0" w:tplc="466292FE">
      <w:start w:val="1"/>
      <w:numFmt w:val="bullet"/>
      <w:lvlText w:val="-"/>
      <w:lvlJc w:val="left"/>
      <w:pPr>
        <w:ind w:left="715" w:hanging="360"/>
      </w:pPr>
      <w:rPr>
        <w:rFonts w:ascii="Calibri" w:eastAsia="Calibri" w:hAnsi="Calibri" w:cs="Times New Roman" w:hint="default"/>
        <w:color w:val="auto"/>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14" w15:restartNumberingAfterBreak="0">
    <w:nsid w:val="26431C95"/>
    <w:multiLevelType w:val="hybridMultilevel"/>
    <w:tmpl w:val="DA906FFA"/>
    <w:lvl w:ilvl="0" w:tplc="5E8EF51E">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A926CEA"/>
    <w:multiLevelType w:val="hybridMultilevel"/>
    <w:tmpl w:val="B89A686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B1C124A"/>
    <w:multiLevelType w:val="hybridMultilevel"/>
    <w:tmpl w:val="5630DBEC"/>
    <w:lvl w:ilvl="0" w:tplc="09FEB6F4">
      <w:start w:val="1"/>
      <w:numFmt w:val="lowerLetter"/>
      <w:lvlText w:val="%1)"/>
      <w:lvlJc w:val="left"/>
      <w:pPr>
        <w:ind w:left="354" w:hanging="360"/>
      </w:pPr>
      <w:rPr>
        <w:rFonts w:hint="default"/>
      </w:rPr>
    </w:lvl>
    <w:lvl w:ilvl="1" w:tplc="041B0019" w:tentative="1">
      <w:start w:val="1"/>
      <w:numFmt w:val="lowerLetter"/>
      <w:lvlText w:val="%2."/>
      <w:lvlJc w:val="left"/>
      <w:pPr>
        <w:ind w:left="1074" w:hanging="360"/>
      </w:pPr>
    </w:lvl>
    <w:lvl w:ilvl="2" w:tplc="041B001B" w:tentative="1">
      <w:start w:val="1"/>
      <w:numFmt w:val="lowerRoman"/>
      <w:lvlText w:val="%3."/>
      <w:lvlJc w:val="right"/>
      <w:pPr>
        <w:ind w:left="1794" w:hanging="180"/>
      </w:pPr>
    </w:lvl>
    <w:lvl w:ilvl="3" w:tplc="041B000F" w:tentative="1">
      <w:start w:val="1"/>
      <w:numFmt w:val="decimal"/>
      <w:lvlText w:val="%4."/>
      <w:lvlJc w:val="left"/>
      <w:pPr>
        <w:ind w:left="2514" w:hanging="360"/>
      </w:pPr>
    </w:lvl>
    <w:lvl w:ilvl="4" w:tplc="041B0019" w:tentative="1">
      <w:start w:val="1"/>
      <w:numFmt w:val="lowerLetter"/>
      <w:lvlText w:val="%5."/>
      <w:lvlJc w:val="left"/>
      <w:pPr>
        <w:ind w:left="3234" w:hanging="360"/>
      </w:pPr>
    </w:lvl>
    <w:lvl w:ilvl="5" w:tplc="041B001B" w:tentative="1">
      <w:start w:val="1"/>
      <w:numFmt w:val="lowerRoman"/>
      <w:lvlText w:val="%6."/>
      <w:lvlJc w:val="right"/>
      <w:pPr>
        <w:ind w:left="3954" w:hanging="180"/>
      </w:pPr>
    </w:lvl>
    <w:lvl w:ilvl="6" w:tplc="041B000F" w:tentative="1">
      <w:start w:val="1"/>
      <w:numFmt w:val="decimal"/>
      <w:lvlText w:val="%7."/>
      <w:lvlJc w:val="left"/>
      <w:pPr>
        <w:ind w:left="4674" w:hanging="360"/>
      </w:pPr>
    </w:lvl>
    <w:lvl w:ilvl="7" w:tplc="041B0019" w:tentative="1">
      <w:start w:val="1"/>
      <w:numFmt w:val="lowerLetter"/>
      <w:lvlText w:val="%8."/>
      <w:lvlJc w:val="left"/>
      <w:pPr>
        <w:ind w:left="5394" w:hanging="360"/>
      </w:pPr>
    </w:lvl>
    <w:lvl w:ilvl="8" w:tplc="041B001B" w:tentative="1">
      <w:start w:val="1"/>
      <w:numFmt w:val="lowerRoman"/>
      <w:lvlText w:val="%9."/>
      <w:lvlJc w:val="right"/>
      <w:pPr>
        <w:ind w:left="6114" w:hanging="180"/>
      </w:pPr>
    </w:lvl>
  </w:abstractNum>
  <w:abstractNum w:abstractNumId="17" w15:restartNumberingAfterBreak="0">
    <w:nsid w:val="2D7654C7"/>
    <w:multiLevelType w:val="hybridMultilevel"/>
    <w:tmpl w:val="53DC9E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3DF2316"/>
    <w:multiLevelType w:val="hybridMultilevel"/>
    <w:tmpl w:val="79E6FD9C"/>
    <w:lvl w:ilvl="0" w:tplc="041B0005">
      <w:start w:val="1"/>
      <w:numFmt w:val="bullet"/>
      <w:lvlText w:val=""/>
      <w:lvlJc w:val="left"/>
      <w:pPr>
        <w:ind w:left="644" w:hanging="360"/>
      </w:pPr>
      <w:rPr>
        <w:rFonts w:ascii="Wingdings" w:hAnsi="Wingdings"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19" w15:restartNumberingAfterBreak="0">
    <w:nsid w:val="35F41C50"/>
    <w:multiLevelType w:val="hybridMultilevel"/>
    <w:tmpl w:val="49B0611A"/>
    <w:lvl w:ilvl="0" w:tplc="9C2E1A28">
      <w:start w:val="1"/>
      <w:numFmt w:val="bullet"/>
      <w:lvlText w:val=""/>
      <w:lvlPicBulletId w:val="0"/>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9081DC2"/>
    <w:multiLevelType w:val="hybridMultilevel"/>
    <w:tmpl w:val="E6A2597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9E677F7"/>
    <w:multiLevelType w:val="multilevel"/>
    <w:tmpl w:val="FAA2C4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0A106D"/>
    <w:multiLevelType w:val="hybridMultilevel"/>
    <w:tmpl w:val="B5202936"/>
    <w:lvl w:ilvl="0" w:tplc="7AC2E110">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3CEF6190"/>
    <w:multiLevelType w:val="hybridMultilevel"/>
    <w:tmpl w:val="26981B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DE005EF"/>
    <w:multiLevelType w:val="multilevel"/>
    <w:tmpl w:val="D0F011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FF1498A"/>
    <w:multiLevelType w:val="hybridMultilevel"/>
    <w:tmpl w:val="0D946884"/>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424801BA"/>
    <w:multiLevelType w:val="hybridMultilevel"/>
    <w:tmpl w:val="85B631D6"/>
    <w:lvl w:ilvl="0" w:tplc="523058FC">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31F4CDB"/>
    <w:multiLevelType w:val="hybridMultilevel"/>
    <w:tmpl w:val="7C0EA742"/>
    <w:lvl w:ilvl="0" w:tplc="27ECF398">
      <w:start w:val="1"/>
      <w:numFmt w:val="bullet"/>
      <w:lvlText w:val="-"/>
      <w:lvlJc w:val="left"/>
      <w:pPr>
        <w:ind w:left="720" w:hanging="360"/>
      </w:pPr>
      <w:rPr>
        <w:rFonts w:ascii="Calibri" w:eastAsiaTheme="minorHAns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7C22091"/>
    <w:multiLevelType w:val="hybridMultilevel"/>
    <w:tmpl w:val="611AA8B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89666DE"/>
    <w:multiLevelType w:val="hybridMultilevel"/>
    <w:tmpl w:val="6024C470"/>
    <w:lvl w:ilvl="0" w:tplc="21EE24FC">
      <w:start w:val="1"/>
      <w:numFmt w:val="bullet"/>
      <w:lvlText w:val=""/>
      <w:lvlJc w:val="left"/>
      <w:pPr>
        <w:ind w:left="1080" w:hanging="360"/>
      </w:pPr>
      <w:rPr>
        <w:rFonts w:ascii="Wingdings 2" w:hAnsi="Wingdings 2" w:hint="default"/>
        <w:color w:val="B7194A"/>
        <w:sz w:val="20"/>
      </w:rPr>
    </w:lvl>
    <w:lvl w:ilvl="1" w:tplc="8D2EC2FA">
      <w:start w:val="1"/>
      <w:numFmt w:val="bullet"/>
      <w:lvlText w:val=""/>
      <w:lvlJc w:val="left"/>
      <w:pPr>
        <w:ind w:left="1800" w:hanging="360"/>
      </w:pPr>
      <w:rPr>
        <w:rFonts w:ascii="Symbol" w:hAnsi="Symbol" w:hint="default"/>
        <w:color w:val="1F497D" w:themeColor="text2"/>
      </w:rPr>
    </w:lvl>
    <w:lvl w:ilvl="2" w:tplc="E4CAB614">
      <w:start w:val="1"/>
      <w:numFmt w:val="lowerLetter"/>
      <w:lvlText w:val="%3)"/>
      <w:lvlJc w:val="left"/>
      <w:pPr>
        <w:ind w:left="2520" w:hanging="360"/>
      </w:pPr>
      <w:rPr>
        <w:rFont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 w15:restartNumberingAfterBreak="0">
    <w:nsid w:val="48994A85"/>
    <w:multiLevelType w:val="hybridMultilevel"/>
    <w:tmpl w:val="94E8F3E2"/>
    <w:lvl w:ilvl="0" w:tplc="041B000D">
      <w:start w:val="1"/>
      <w:numFmt w:val="bullet"/>
      <w:lvlText w:val=""/>
      <w:lvlJc w:val="left"/>
      <w:pPr>
        <w:ind w:left="715" w:hanging="360"/>
      </w:pPr>
      <w:rPr>
        <w:rFonts w:ascii="Wingdings" w:hAnsi="Wingdings" w:hint="default"/>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31" w15:restartNumberingAfterBreak="0">
    <w:nsid w:val="4E1B210E"/>
    <w:multiLevelType w:val="hybridMultilevel"/>
    <w:tmpl w:val="9F3405EE"/>
    <w:lvl w:ilvl="0" w:tplc="041B000D">
      <w:start w:val="1"/>
      <w:numFmt w:val="bullet"/>
      <w:lvlText w:val=""/>
      <w:lvlJc w:val="left"/>
      <w:pPr>
        <w:ind w:left="715" w:hanging="360"/>
      </w:pPr>
      <w:rPr>
        <w:rFonts w:ascii="Wingdings" w:hAnsi="Wingdings" w:hint="default"/>
        <w:color w:val="auto"/>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32" w15:restartNumberingAfterBreak="0">
    <w:nsid w:val="51432BC9"/>
    <w:multiLevelType w:val="hybridMultilevel"/>
    <w:tmpl w:val="EEC6C610"/>
    <w:lvl w:ilvl="0" w:tplc="6B6CB0F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3E53ABC"/>
    <w:multiLevelType w:val="hybridMultilevel"/>
    <w:tmpl w:val="AEC67F72"/>
    <w:lvl w:ilvl="0" w:tplc="67906D18">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4BD0BEC"/>
    <w:multiLevelType w:val="singleLevel"/>
    <w:tmpl w:val="72D6F376"/>
    <w:lvl w:ilvl="0">
      <w:start w:val="1"/>
      <w:numFmt w:val="bullet"/>
      <w:pStyle w:val="Zoznamsodrkami"/>
      <w:lvlText w:val=""/>
      <w:lvlJc w:val="left"/>
      <w:pPr>
        <w:tabs>
          <w:tab w:val="num" w:pos="283"/>
        </w:tabs>
        <w:ind w:left="283" w:hanging="283"/>
      </w:pPr>
      <w:rPr>
        <w:rFonts w:ascii="Symbol" w:hAnsi="Symbol"/>
      </w:rPr>
    </w:lvl>
  </w:abstractNum>
  <w:abstractNum w:abstractNumId="35" w15:restartNumberingAfterBreak="0">
    <w:nsid w:val="5B0C36CD"/>
    <w:multiLevelType w:val="hybridMultilevel"/>
    <w:tmpl w:val="84EE2EE8"/>
    <w:lvl w:ilvl="0" w:tplc="0AB2A90A">
      <w:start w:val="1"/>
      <w:numFmt w:val="bullet"/>
      <w:lvlText w:val="-"/>
      <w:lvlJc w:val="left"/>
      <w:pPr>
        <w:ind w:left="480" w:hanging="360"/>
      </w:pPr>
      <w:rPr>
        <w:rFonts w:ascii="Times New Roman" w:eastAsia="Times New Roman" w:hAnsi="Times New Roman" w:cs="Times New Roman" w:hint="default"/>
      </w:rPr>
    </w:lvl>
    <w:lvl w:ilvl="1" w:tplc="041B0003" w:tentative="1">
      <w:start w:val="1"/>
      <w:numFmt w:val="bullet"/>
      <w:lvlText w:val="o"/>
      <w:lvlJc w:val="left"/>
      <w:pPr>
        <w:ind w:left="1200" w:hanging="360"/>
      </w:pPr>
      <w:rPr>
        <w:rFonts w:ascii="Courier New" w:hAnsi="Courier New" w:cs="Courier New" w:hint="default"/>
      </w:rPr>
    </w:lvl>
    <w:lvl w:ilvl="2" w:tplc="041B0005" w:tentative="1">
      <w:start w:val="1"/>
      <w:numFmt w:val="bullet"/>
      <w:lvlText w:val=""/>
      <w:lvlJc w:val="left"/>
      <w:pPr>
        <w:ind w:left="1920" w:hanging="360"/>
      </w:pPr>
      <w:rPr>
        <w:rFonts w:ascii="Wingdings" w:hAnsi="Wingdings" w:hint="default"/>
      </w:rPr>
    </w:lvl>
    <w:lvl w:ilvl="3" w:tplc="041B0001" w:tentative="1">
      <w:start w:val="1"/>
      <w:numFmt w:val="bullet"/>
      <w:lvlText w:val=""/>
      <w:lvlJc w:val="left"/>
      <w:pPr>
        <w:ind w:left="2640" w:hanging="360"/>
      </w:pPr>
      <w:rPr>
        <w:rFonts w:ascii="Symbol" w:hAnsi="Symbol" w:hint="default"/>
      </w:rPr>
    </w:lvl>
    <w:lvl w:ilvl="4" w:tplc="041B0003" w:tentative="1">
      <w:start w:val="1"/>
      <w:numFmt w:val="bullet"/>
      <w:lvlText w:val="o"/>
      <w:lvlJc w:val="left"/>
      <w:pPr>
        <w:ind w:left="3360" w:hanging="360"/>
      </w:pPr>
      <w:rPr>
        <w:rFonts w:ascii="Courier New" w:hAnsi="Courier New" w:cs="Courier New" w:hint="default"/>
      </w:rPr>
    </w:lvl>
    <w:lvl w:ilvl="5" w:tplc="041B0005" w:tentative="1">
      <w:start w:val="1"/>
      <w:numFmt w:val="bullet"/>
      <w:lvlText w:val=""/>
      <w:lvlJc w:val="left"/>
      <w:pPr>
        <w:ind w:left="4080" w:hanging="360"/>
      </w:pPr>
      <w:rPr>
        <w:rFonts w:ascii="Wingdings" w:hAnsi="Wingdings" w:hint="default"/>
      </w:rPr>
    </w:lvl>
    <w:lvl w:ilvl="6" w:tplc="041B0001" w:tentative="1">
      <w:start w:val="1"/>
      <w:numFmt w:val="bullet"/>
      <w:lvlText w:val=""/>
      <w:lvlJc w:val="left"/>
      <w:pPr>
        <w:ind w:left="4800" w:hanging="360"/>
      </w:pPr>
      <w:rPr>
        <w:rFonts w:ascii="Symbol" w:hAnsi="Symbol" w:hint="default"/>
      </w:rPr>
    </w:lvl>
    <w:lvl w:ilvl="7" w:tplc="041B0003" w:tentative="1">
      <w:start w:val="1"/>
      <w:numFmt w:val="bullet"/>
      <w:lvlText w:val="o"/>
      <w:lvlJc w:val="left"/>
      <w:pPr>
        <w:ind w:left="5520" w:hanging="360"/>
      </w:pPr>
      <w:rPr>
        <w:rFonts w:ascii="Courier New" w:hAnsi="Courier New" w:cs="Courier New" w:hint="default"/>
      </w:rPr>
    </w:lvl>
    <w:lvl w:ilvl="8" w:tplc="041B0005" w:tentative="1">
      <w:start w:val="1"/>
      <w:numFmt w:val="bullet"/>
      <w:lvlText w:val=""/>
      <w:lvlJc w:val="left"/>
      <w:pPr>
        <w:ind w:left="6240" w:hanging="360"/>
      </w:pPr>
      <w:rPr>
        <w:rFonts w:ascii="Wingdings" w:hAnsi="Wingdings" w:hint="default"/>
      </w:rPr>
    </w:lvl>
  </w:abstractNum>
  <w:abstractNum w:abstractNumId="36" w15:restartNumberingAfterBreak="0">
    <w:nsid w:val="649D1D2D"/>
    <w:multiLevelType w:val="hybridMultilevel"/>
    <w:tmpl w:val="3C6A1324"/>
    <w:lvl w:ilvl="0" w:tplc="77348036">
      <w:start w:val="2"/>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7" w15:restartNumberingAfterBreak="0">
    <w:nsid w:val="64B257AC"/>
    <w:multiLevelType w:val="hybridMultilevel"/>
    <w:tmpl w:val="4A0AF6CC"/>
    <w:lvl w:ilvl="0" w:tplc="7AC2E11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65B0A74"/>
    <w:multiLevelType w:val="hybridMultilevel"/>
    <w:tmpl w:val="83CA7F20"/>
    <w:lvl w:ilvl="0" w:tplc="466292FE">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D2E4A69"/>
    <w:multiLevelType w:val="hybridMultilevel"/>
    <w:tmpl w:val="D2524128"/>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 w15:restartNumberingAfterBreak="0">
    <w:nsid w:val="6D801F29"/>
    <w:multiLevelType w:val="multilevel"/>
    <w:tmpl w:val="0C7E84B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pStyle w:val="rove3"/>
      <w:lvlText w:val="%1.%2.%3"/>
      <w:lvlJc w:val="left"/>
      <w:pPr>
        <w:ind w:left="720" w:hanging="720"/>
      </w:pPr>
      <w:rPr>
        <w:rFonts w:hint="default"/>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3D92678"/>
    <w:multiLevelType w:val="hybridMultilevel"/>
    <w:tmpl w:val="A806604C"/>
    <w:lvl w:ilvl="0" w:tplc="041B000D">
      <w:start w:val="1"/>
      <w:numFmt w:val="bullet"/>
      <w:lvlText w:val=""/>
      <w:lvlJc w:val="left"/>
      <w:pPr>
        <w:ind w:left="715" w:hanging="360"/>
      </w:pPr>
      <w:rPr>
        <w:rFonts w:ascii="Wingdings" w:hAnsi="Wingdings" w:hint="default"/>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42" w15:restartNumberingAfterBreak="0">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0"/>
      <w:lvlText w:val="%1.%2."/>
      <w:lvlJc w:val="left"/>
      <w:pPr>
        <w:ind w:left="432" w:hanging="432"/>
      </w:pPr>
      <w:rPr>
        <w:rFonts w:cs="Times New Roman"/>
      </w:rPr>
    </w:lvl>
    <w:lvl w:ilvl="2">
      <w:start w:val="1"/>
      <w:numFmt w:val="decimal"/>
      <w:pStyle w:val="Nadpis30"/>
      <w:lvlText w:val="%1.%2.%3."/>
      <w:lvlJc w:val="left"/>
      <w:pPr>
        <w:ind w:left="122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76A443F9"/>
    <w:multiLevelType w:val="hybridMultilevel"/>
    <w:tmpl w:val="C23E79A8"/>
    <w:lvl w:ilvl="0" w:tplc="85D4B574">
      <w:start w:val="27"/>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70C5EFA"/>
    <w:multiLevelType w:val="hybridMultilevel"/>
    <w:tmpl w:val="BF76A8D0"/>
    <w:lvl w:ilvl="0" w:tplc="041B000B">
      <w:start w:val="1"/>
      <w:numFmt w:val="bullet"/>
      <w:lvlText w:val=""/>
      <w:lvlJc w:val="left"/>
      <w:pPr>
        <w:ind w:left="502"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A4F78D5"/>
    <w:multiLevelType w:val="hybridMultilevel"/>
    <w:tmpl w:val="904A0194"/>
    <w:lvl w:ilvl="0" w:tplc="27ECF398">
      <w:start w:val="1"/>
      <w:numFmt w:val="bullet"/>
      <w:lvlText w:val="-"/>
      <w:lvlJc w:val="left"/>
      <w:pPr>
        <w:ind w:left="644" w:hanging="360"/>
      </w:pPr>
      <w:rPr>
        <w:rFonts w:ascii="Calibri" w:eastAsiaTheme="minorHAnsi" w:hAnsi="Calibri"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46" w15:restartNumberingAfterBreak="0">
    <w:nsid w:val="7FEE2D6F"/>
    <w:multiLevelType w:val="hybridMultilevel"/>
    <w:tmpl w:val="8020ED3C"/>
    <w:lvl w:ilvl="0" w:tplc="27ECF398">
      <w:start w:val="1"/>
      <w:numFmt w:val="bullet"/>
      <w:lvlText w:val="-"/>
      <w:lvlJc w:val="left"/>
      <w:pPr>
        <w:ind w:left="720" w:hanging="360"/>
      </w:pPr>
      <w:rPr>
        <w:rFonts w:ascii="Calibri" w:eastAsiaTheme="minorHAns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2"/>
  </w:num>
  <w:num w:numId="2">
    <w:abstractNumId w:val="24"/>
  </w:num>
  <w:num w:numId="3">
    <w:abstractNumId w:val="40"/>
  </w:num>
  <w:num w:numId="4">
    <w:abstractNumId w:val="0"/>
  </w:num>
  <w:num w:numId="5">
    <w:abstractNumId w:val="25"/>
  </w:num>
  <w:num w:numId="6">
    <w:abstractNumId w:val="7"/>
  </w:num>
  <w:num w:numId="7">
    <w:abstractNumId w:val="10"/>
  </w:num>
  <w:num w:numId="8">
    <w:abstractNumId w:val="34"/>
  </w:num>
  <w:num w:numId="9">
    <w:abstractNumId w:val="19"/>
  </w:num>
  <w:num w:numId="10">
    <w:abstractNumId w:val="6"/>
  </w:num>
  <w:num w:numId="11">
    <w:abstractNumId w:val="38"/>
  </w:num>
  <w:num w:numId="12">
    <w:abstractNumId w:val="5"/>
  </w:num>
  <w:num w:numId="13">
    <w:abstractNumId w:val="23"/>
  </w:num>
  <w:num w:numId="14">
    <w:abstractNumId w:val="33"/>
  </w:num>
  <w:num w:numId="15">
    <w:abstractNumId w:val="44"/>
  </w:num>
  <w:num w:numId="16">
    <w:abstractNumId w:val="2"/>
  </w:num>
  <w:num w:numId="17">
    <w:abstractNumId w:val="39"/>
  </w:num>
  <w:num w:numId="18">
    <w:abstractNumId w:val="32"/>
  </w:num>
  <w:num w:numId="19">
    <w:abstractNumId w:val="36"/>
  </w:num>
  <w:num w:numId="20">
    <w:abstractNumId w:val="14"/>
  </w:num>
  <w:num w:numId="21">
    <w:abstractNumId w:val="46"/>
  </w:num>
  <w:num w:numId="22">
    <w:abstractNumId w:val="45"/>
  </w:num>
  <w:num w:numId="23">
    <w:abstractNumId w:val="29"/>
  </w:num>
  <w:num w:numId="24">
    <w:abstractNumId w:val="43"/>
  </w:num>
  <w:num w:numId="25">
    <w:abstractNumId w:val="28"/>
  </w:num>
  <w:num w:numId="26">
    <w:abstractNumId w:val="20"/>
  </w:num>
  <w:num w:numId="27">
    <w:abstractNumId w:val="41"/>
  </w:num>
  <w:num w:numId="28">
    <w:abstractNumId w:val="8"/>
  </w:num>
  <w:num w:numId="29">
    <w:abstractNumId w:val="13"/>
  </w:num>
  <w:num w:numId="30">
    <w:abstractNumId w:val="31"/>
  </w:num>
  <w:num w:numId="31">
    <w:abstractNumId w:val="30"/>
  </w:num>
  <w:num w:numId="32">
    <w:abstractNumId w:val="18"/>
  </w:num>
  <w:num w:numId="33">
    <w:abstractNumId w:val="15"/>
  </w:num>
  <w:num w:numId="34">
    <w:abstractNumId w:val="35"/>
  </w:num>
  <w:num w:numId="35">
    <w:abstractNumId w:val="26"/>
  </w:num>
  <w:num w:numId="36">
    <w:abstractNumId w:val="21"/>
  </w:num>
  <w:num w:numId="37">
    <w:abstractNumId w:val="32"/>
  </w:num>
  <w:num w:numId="38">
    <w:abstractNumId w:val="4"/>
  </w:num>
  <w:num w:numId="39">
    <w:abstractNumId w:val="1"/>
  </w:num>
  <w:num w:numId="40">
    <w:abstractNumId w:val="3"/>
  </w:num>
  <w:num w:numId="41">
    <w:abstractNumId w:val="17"/>
  </w:num>
  <w:num w:numId="42">
    <w:abstractNumId w:val="1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22"/>
  </w:num>
  <w:num w:numId="46">
    <w:abstractNumId w:val="9"/>
  </w:num>
  <w:num w:numId="47">
    <w:abstractNumId w:val="37"/>
  </w:num>
  <w:num w:numId="48">
    <w:abstractNumId w:val="27"/>
  </w:num>
  <w:num w:numId="49">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57"/>
    <w:rsid w:val="00000276"/>
    <w:rsid w:val="000006F2"/>
    <w:rsid w:val="000008C8"/>
    <w:rsid w:val="00000F83"/>
    <w:rsid w:val="00001279"/>
    <w:rsid w:val="000016B5"/>
    <w:rsid w:val="00001900"/>
    <w:rsid w:val="00001A86"/>
    <w:rsid w:val="00002BA9"/>
    <w:rsid w:val="0000355B"/>
    <w:rsid w:val="00004CE0"/>
    <w:rsid w:val="00005922"/>
    <w:rsid w:val="00006096"/>
    <w:rsid w:val="00006278"/>
    <w:rsid w:val="00006761"/>
    <w:rsid w:val="00006875"/>
    <w:rsid w:val="000069B5"/>
    <w:rsid w:val="00007158"/>
    <w:rsid w:val="0000743B"/>
    <w:rsid w:val="000076CA"/>
    <w:rsid w:val="00007F6B"/>
    <w:rsid w:val="00010214"/>
    <w:rsid w:val="0001074B"/>
    <w:rsid w:val="00010BE2"/>
    <w:rsid w:val="000114C6"/>
    <w:rsid w:val="00011554"/>
    <w:rsid w:val="000121DD"/>
    <w:rsid w:val="000131CB"/>
    <w:rsid w:val="00013CB3"/>
    <w:rsid w:val="00014C07"/>
    <w:rsid w:val="00014D4D"/>
    <w:rsid w:val="000151F7"/>
    <w:rsid w:val="00015E0E"/>
    <w:rsid w:val="0001695B"/>
    <w:rsid w:val="000172DF"/>
    <w:rsid w:val="00017499"/>
    <w:rsid w:val="00017B12"/>
    <w:rsid w:val="00017B24"/>
    <w:rsid w:val="00021050"/>
    <w:rsid w:val="00021514"/>
    <w:rsid w:val="00021798"/>
    <w:rsid w:val="00021A3F"/>
    <w:rsid w:val="000221CB"/>
    <w:rsid w:val="00022280"/>
    <w:rsid w:val="0002257B"/>
    <w:rsid w:val="000236D6"/>
    <w:rsid w:val="00023D97"/>
    <w:rsid w:val="000240E7"/>
    <w:rsid w:val="00024841"/>
    <w:rsid w:val="00026469"/>
    <w:rsid w:val="000264F8"/>
    <w:rsid w:val="000265FA"/>
    <w:rsid w:val="000266B3"/>
    <w:rsid w:val="00027E12"/>
    <w:rsid w:val="00027F72"/>
    <w:rsid w:val="00027FFA"/>
    <w:rsid w:val="00030AFF"/>
    <w:rsid w:val="00030ED5"/>
    <w:rsid w:val="00031A35"/>
    <w:rsid w:val="00032575"/>
    <w:rsid w:val="000326FA"/>
    <w:rsid w:val="00032C5D"/>
    <w:rsid w:val="00033B93"/>
    <w:rsid w:val="000343A0"/>
    <w:rsid w:val="00034A9D"/>
    <w:rsid w:val="00034D64"/>
    <w:rsid w:val="000358BF"/>
    <w:rsid w:val="00035BCF"/>
    <w:rsid w:val="000365D9"/>
    <w:rsid w:val="00036883"/>
    <w:rsid w:val="00036B1A"/>
    <w:rsid w:val="000377DD"/>
    <w:rsid w:val="00037B58"/>
    <w:rsid w:val="0004032D"/>
    <w:rsid w:val="000406F6"/>
    <w:rsid w:val="00040C24"/>
    <w:rsid w:val="00041320"/>
    <w:rsid w:val="0004194C"/>
    <w:rsid w:val="00041FA5"/>
    <w:rsid w:val="00041FCB"/>
    <w:rsid w:val="00042807"/>
    <w:rsid w:val="000428BB"/>
    <w:rsid w:val="00042F75"/>
    <w:rsid w:val="000431CF"/>
    <w:rsid w:val="00043263"/>
    <w:rsid w:val="00043495"/>
    <w:rsid w:val="000434AE"/>
    <w:rsid w:val="0004365E"/>
    <w:rsid w:val="000436D2"/>
    <w:rsid w:val="00043817"/>
    <w:rsid w:val="0004397E"/>
    <w:rsid w:val="0004436E"/>
    <w:rsid w:val="000447E8"/>
    <w:rsid w:val="00044839"/>
    <w:rsid w:val="00044D4E"/>
    <w:rsid w:val="00044E64"/>
    <w:rsid w:val="00044E98"/>
    <w:rsid w:val="0004561E"/>
    <w:rsid w:val="00045CF8"/>
    <w:rsid w:val="00046004"/>
    <w:rsid w:val="0004641C"/>
    <w:rsid w:val="00046C8B"/>
    <w:rsid w:val="00047229"/>
    <w:rsid w:val="00047DFE"/>
    <w:rsid w:val="00050B59"/>
    <w:rsid w:val="00050BEA"/>
    <w:rsid w:val="000510DF"/>
    <w:rsid w:val="00051386"/>
    <w:rsid w:val="0005141C"/>
    <w:rsid w:val="00051B04"/>
    <w:rsid w:val="00052062"/>
    <w:rsid w:val="0005306D"/>
    <w:rsid w:val="000530F4"/>
    <w:rsid w:val="00053A25"/>
    <w:rsid w:val="00054AA2"/>
    <w:rsid w:val="00054DED"/>
    <w:rsid w:val="00054E3C"/>
    <w:rsid w:val="0005508F"/>
    <w:rsid w:val="000557FD"/>
    <w:rsid w:val="00055F80"/>
    <w:rsid w:val="000563DA"/>
    <w:rsid w:val="000565F6"/>
    <w:rsid w:val="00056FE1"/>
    <w:rsid w:val="00057969"/>
    <w:rsid w:val="00057E83"/>
    <w:rsid w:val="00060471"/>
    <w:rsid w:val="00061625"/>
    <w:rsid w:val="00061CC2"/>
    <w:rsid w:val="00061DF7"/>
    <w:rsid w:val="000624C5"/>
    <w:rsid w:val="000630CB"/>
    <w:rsid w:val="00063122"/>
    <w:rsid w:val="00063962"/>
    <w:rsid w:val="00064B9A"/>
    <w:rsid w:val="00065AD0"/>
    <w:rsid w:val="00065BFF"/>
    <w:rsid w:val="00067F22"/>
    <w:rsid w:val="00070158"/>
    <w:rsid w:val="000710DA"/>
    <w:rsid w:val="00071420"/>
    <w:rsid w:val="000728C5"/>
    <w:rsid w:val="00072A48"/>
    <w:rsid w:val="00072B63"/>
    <w:rsid w:val="00072BAB"/>
    <w:rsid w:val="00073133"/>
    <w:rsid w:val="00073281"/>
    <w:rsid w:val="000732C4"/>
    <w:rsid w:val="000737CD"/>
    <w:rsid w:val="00074449"/>
    <w:rsid w:val="00074C48"/>
    <w:rsid w:val="00074D88"/>
    <w:rsid w:val="00074E66"/>
    <w:rsid w:val="000766EC"/>
    <w:rsid w:val="00076A6A"/>
    <w:rsid w:val="00076DEE"/>
    <w:rsid w:val="00077624"/>
    <w:rsid w:val="000776AF"/>
    <w:rsid w:val="00077817"/>
    <w:rsid w:val="0007788A"/>
    <w:rsid w:val="00077BEF"/>
    <w:rsid w:val="0008033D"/>
    <w:rsid w:val="00080A04"/>
    <w:rsid w:val="00080BD1"/>
    <w:rsid w:val="00080D21"/>
    <w:rsid w:val="000810A1"/>
    <w:rsid w:val="0008127A"/>
    <w:rsid w:val="000816EF"/>
    <w:rsid w:val="00081BD2"/>
    <w:rsid w:val="00082924"/>
    <w:rsid w:val="00082CF0"/>
    <w:rsid w:val="00082DD2"/>
    <w:rsid w:val="00082F90"/>
    <w:rsid w:val="0008313C"/>
    <w:rsid w:val="00083392"/>
    <w:rsid w:val="00083B43"/>
    <w:rsid w:val="000840F9"/>
    <w:rsid w:val="00084101"/>
    <w:rsid w:val="000843C5"/>
    <w:rsid w:val="0008563E"/>
    <w:rsid w:val="00085E3F"/>
    <w:rsid w:val="00085ED4"/>
    <w:rsid w:val="000865F3"/>
    <w:rsid w:val="00086763"/>
    <w:rsid w:val="0008685A"/>
    <w:rsid w:val="000877B5"/>
    <w:rsid w:val="00087E3A"/>
    <w:rsid w:val="00090F21"/>
    <w:rsid w:val="000916B5"/>
    <w:rsid w:val="000916B6"/>
    <w:rsid w:val="000918A8"/>
    <w:rsid w:val="00091A64"/>
    <w:rsid w:val="00092E38"/>
    <w:rsid w:val="00093EA3"/>
    <w:rsid w:val="00094CCD"/>
    <w:rsid w:val="00094E57"/>
    <w:rsid w:val="000954D9"/>
    <w:rsid w:val="00097F87"/>
    <w:rsid w:val="000A003C"/>
    <w:rsid w:val="000A0114"/>
    <w:rsid w:val="000A02E1"/>
    <w:rsid w:val="000A0490"/>
    <w:rsid w:val="000A0513"/>
    <w:rsid w:val="000A069A"/>
    <w:rsid w:val="000A08F9"/>
    <w:rsid w:val="000A0C57"/>
    <w:rsid w:val="000A0DF5"/>
    <w:rsid w:val="000A1B9B"/>
    <w:rsid w:val="000A1DC6"/>
    <w:rsid w:val="000A1DEB"/>
    <w:rsid w:val="000A29DD"/>
    <w:rsid w:val="000A3101"/>
    <w:rsid w:val="000A36F7"/>
    <w:rsid w:val="000A3A5C"/>
    <w:rsid w:val="000A3E2A"/>
    <w:rsid w:val="000A4083"/>
    <w:rsid w:val="000A47B5"/>
    <w:rsid w:val="000A5C9F"/>
    <w:rsid w:val="000A5D89"/>
    <w:rsid w:val="000A6350"/>
    <w:rsid w:val="000A78BA"/>
    <w:rsid w:val="000A7D6F"/>
    <w:rsid w:val="000B0277"/>
    <w:rsid w:val="000B0B8C"/>
    <w:rsid w:val="000B125B"/>
    <w:rsid w:val="000B18B5"/>
    <w:rsid w:val="000B233A"/>
    <w:rsid w:val="000B32FF"/>
    <w:rsid w:val="000B3ACE"/>
    <w:rsid w:val="000B3AE8"/>
    <w:rsid w:val="000B419F"/>
    <w:rsid w:val="000B4C5A"/>
    <w:rsid w:val="000B5422"/>
    <w:rsid w:val="000B5E55"/>
    <w:rsid w:val="000B76CA"/>
    <w:rsid w:val="000B7755"/>
    <w:rsid w:val="000C0272"/>
    <w:rsid w:val="000C0FD1"/>
    <w:rsid w:val="000C1050"/>
    <w:rsid w:val="000C188C"/>
    <w:rsid w:val="000C208A"/>
    <w:rsid w:val="000C2174"/>
    <w:rsid w:val="000C2525"/>
    <w:rsid w:val="000C2530"/>
    <w:rsid w:val="000C29AF"/>
    <w:rsid w:val="000C3772"/>
    <w:rsid w:val="000C399B"/>
    <w:rsid w:val="000C39EE"/>
    <w:rsid w:val="000C3F05"/>
    <w:rsid w:val="000C40E6"/>
    <w:rsid w:val="000C420C"/>
    <w:rsid w:val="000C4463"/>
    <w:rsid w:val="000C51E8"/>
    <w:rsid w:val="000C5ABA"/>
    <w:rsid w:val="000C5C45"/>
    <w:rsid w:val="000C6AA3"/>
    <w:rsid w:val="000C6B8F"/>
    <w:rsid w:val="000C7008"/>
    <w:rsid w:val="000C7917"/>
    <w:rsid w:val="000C7DD2"/>
    <w:rsid w:val="000D00B9"/>
    <w:rsid w:val="000D01BF"/>
    <w:rsid w:val="000D07DC"/>
    <w:rsid w:val="000D0C42"/>
    <w:rsid w:val="000D0CA6"/>
    <w:rsid w:val="000D0DFD"/>
    <w:rsid w:val="000D148B"/>
    <w:rsid w:val="000D14CC"/>
    <w:rsid w:val="000D16D0"/>
    <w:rsid w:val="000D1A4C"/>
    <w:rsid w:val="000D25C6"/>
    <w:rsid w:val="000D2FE4"/>
    <w:rsid w:val="000D3C7A"/>
    <w:rsid w:val="000D400B"/>
    <w:rsid w:val="000D5301"/>
    <w:rsid w:val="000D547C"/>
    <w:rsid w:val="000D6109"/>
    <w:rsid w:val="000D6721"/>
    <w:rsid w:val="000D68B4"/>
    <w:rsid w:val="000D68BF"/>
    <w:rsid w:val="000D7173"/>
    <w:rsid w:val="000D7655"/>
    <w:rsid w:val="000D791B"/>
    <w:rsid w:val="000D7D36"/>
    <w:rsid w:val="000E024E"/>
    <w:rsid w:val="000E03FB"/>
    <w:rsid w:val="000E07C8"/>
    <w:rsid w:val="000E093E"/>
    <w:rsid w:val="000E0A27"/>
    <w:rsid w:val="000E0A86"/>
    <w:rsid w:val="000E0E51"/>
    <w:rsid w:val="000E1100"/>
    <w:rsid w:val="000E1785"/>
    <w:rsid w:val="000E18BC"/>
    <w:rsid w:val="000E1F53"/>
    <w:rsid w:val="000E2457"/>
    <w:rsid w:val="000E26AD"/>
    <w:rsid w:val="000E27EA"/>
    <w:rsid w:val="000E2FE7"/>
    <w:rsid w:val="000E32E8"/>
    <w:rsid w:val="000E33E1"/>
    <w:rsid w:val="000E3E8B"/>
    <w:rsid w:val="000E47AB"/>
    <w:rsid w:val="000E63B5"/>
    <w:rsid w:val="000E7AD6"/>
    <w:rsid w:val="000F074C"/>
    <w:rsid w:val="000F08EB"/>
    <w:rsid w:val="000F0B9D"/>
    <w:rsid w:val="000F0C0F"/>
    <w:rsid w:val="000F1583"/>
    <w:rsid w:val="000F164B"/>
    <w:rsid w:val="000F169C"/>
    <w:rsid w:val="000F1F81"/>
    <w:rsid w:val="000F2210"/>
    <w:rsid w:val="000F2229"/>
    <w:rsid w:val="000F2508"/>
    <w:rsid w:val="000F25F8"/>
    <w:rsid w:val="000F28B2"/>
    <w:rsid w:val="000F2FCF"/>
    <w:rsid w:val="000F3164"/>
    <w:rsid w:val="000F3CEE"/>
    <w:rsid w:val="000F42E3"/>
    <w:rsid w:val="000F4585"/>
    <w:rsid w:val="000F45D5"/>
    <w:rsid w:val="000F466D"/>
    <w:rsid w:val="000F4A03"/>
    <w:rsid w:val="000F4E32"/>
    <w:rsid w:val="000F51DC"/>
    <w:rsid w:val="000F5AEC"/>
    <w:rsid w:val="000F7F25"/>
    <w:rsid w:val="000F7F91"/>
    <w:rsid w:val="00101634"/>
    <w:rsid w:val="00102145"/>
    <w:rsid w:val="00102212"/>
    <w:rsid w:val="0010246A"/>
    <w:rsid w:val="00103216"/>
    <w:rsid w:val="00103227"/>
    <w:rsid w:val="00103DC3"/>
    <w:rsid w:val="001041A9"/>
    <w:rsid w:val="00105D29"/>
    <w:rsid w:val="001069D0"/>
    <w:rsid w:val="00107272"/>
    <w:rsid w:val="001072D8"/>
    <w:rsid w:val="00107867"/>
    <w:rsid w:val="00107B46"/>
    <w:rsid w:val="001102EE"/>
    <w:rsid w:val="0011100B"/>
    <w:rsid w:val="00111038"/>
    <w:rsid w:val="0011106F"/>
    <w:rsid w:val="0011152A"/>
    <w:rsid w:val="00111E8B"/>
    <w:rsid w:val="00112670"/>
    <w:rsid w:val="001127D1"/>
    <w:rsid w:val="0011313F"/>
    <w:rsid w:val="001132D4"/>
    <w:rsid w:val="00113E68"/>
    <w:rsid w:val="001151AD"/>
    <w:rsid w:val="001153FF"/>
    <w:rsid w:val="00116259"/>
    <w:rsid w:val="00117983"/>
    <w:rsid w:val="00117C57"/>
    <w:rsid w:val="001202C4"/>
    <w:rsid w:val="00121577"/>
    <w:rsid w:val="0012272B"/>
    <w:rsid w:val="0012388B"/>
    <w:rsid w:val="0012393F"/>
    <w:rsid w:val="00123B15"/>
    <w:rsid w:val="001245D3"/>
    <w:rsid w:val="0012497F"/>
    <w:rsid w:val="001252E5"/>
    <w:rsid w:val="00125625"/>
    <w:rsid w:val="001261C8"/>
    <w:rsid w:val="00130A2E"/>
    <w:rsid w:val="00131721"/>
    <w:rsid w:val="00131BAB"/>
    <w:rsid w:val="001323B0"/>
    <w:rsid w:val="0013242B"/>
    <w:rsid w:val="001324C3"/>
    <w:rsid w:val="001329F5"/>
    <w:rsid w:val="00132D1E"/>
    <w:rsid w:val="00132E18"/>
    <w:rsid w:val="0013324E"/>
    <w:rsid w:val="00133BCD"/>
    <w:rsid w:val="0013537E"/>
    <w:rsid w:val="00135B28"/>
    <w:rsid w:val="00136ECF"/>
    <w:rsid w:val="001373F7"/>
    <w:rsid w:val="001377B6"/>
    <w:rsid w:val="00137E10"/>
    <w:rsid w:val="00137F39"/>
    <w:rsid w:val="001400D1"/>
    <w:rsid w:val="00140212"/>
    <w:rsid w:val="00141267"/>
    <w:rsid w:val="0014209A"/>
    <w:rsid w:val="001420BB"/>
    <w:rsid w:val="00142480"/>
    <w:rsid w:val="001426D9"/>
    <w:rsid w:val="001428BF"/>
    <w:rsid w:val="001429D6"/>
    <w:rsid w:val="00142AFD"/>
    <w:rsid w:val="001436B2"/>
    <w:rsid w:val="00143842"/>
    <w:rsid w:val="001439A4"/>
    <w:rsid w:val="00144B0A"/>
    <w:rsid w:val="001462E0"/>
    <w:rsid w:val="0014750C"/>
    <w:rsid w:val="00147D01"/>
    <w:rsid w:val="00147F61"/>
    <w:rsid w:val="001508D8"/>
    <w:rsid w:val="00150D6C"/>
    <w:rsid w:val="00150E76"/>
    <w:rsid w:val="00151809"/>
    <w:rsid w:val="00153DCD"/>
    <w:rsid w:val="001541AF"/>
    <w:rsid w:val="00154451"/>
    <w:rsid w:val="001547A6"/>
    <w:rsid w:val="00154B55"/>
    <w:rsid w:val="00154EBD"/>
    <w:rsid w:val="00155E64"/>
    <w:rsid w:val="00155F63"/>
    <w:rsid w:val="001574FB"/>
    <w:rsid w:val="00157A0C"/>
    <w:rsid w:val="00157B53"/>
    <w:rsid w:val="00157B61"/>
    <w:rsid w:val="00157F51"/>
    <w:rsid w:val="001600E4"/>
    <w:rsid w:val="0016086D"/>
    <w:rsid w:val="001609ED"/>
    <w:rsid w:val="00160A44"/>
    <w:rsid w:val="00160E10"/>
    <w:rsid w:val="00161D6A"/>
    <w:rsid w:val="00162336"/>
    <w:rsid w:val="00164069"/>
    <w:rsid w:val="00164BE5"/>
    <w:rsid w:val="00165A6C"/>
    <w:rsid w:val="0016631E"/>
    <w:rsid w:val="0016648C"/>
    <w:rsid w:val="00167692"/>
    <w:rsid w:val="00167BCC"/>
    <w:rsid w:val="00170154"/>
    <w:rsid w:val="00170271"/>
    <w:rsid w:val="00171DCC"/>
    <w:rsid w:val="00172180"/>
    <w:rsid w:val="00172525"/>
    <w:rsid w:val="00172B16"/>
    <w:rsid w:val="001737EB"/>
    <w:rsid w:val="00173D55"/>
    <w:rsid w:val="001765CF"/>
    <w:rsid w:val="00176B3F"/>
    <w:rsid w:val="00176E36"/>
    <w:rsid w:val="0017705D"/>
    <w:rsid w:val="0017780C"/>
    <w:rsid w:val="00177848"/>
    <w:rsid w:val="001800F1"/>
    <w:rsid w:val="00180FF1"/>
    <w:rsid w:val="00181483"/>
    <w:rsid w:val="00181702"/>
    <w:rsid w:val="00181D6A"/>
    <w:rsid w:val="0018253E"/>
    <w:rsid w:val="0018267C"/>
    <w:rsid w:val="00182907"/>
    <w:rsid w:val="001837FC"/>
    <w:rsid w:val="001845B2"/>
    <w:rsid w:val="0018489F"/>
    <w:rsid w:val="00184C00"/>
    <w:rsid w:val="0018596C"/>
    <w:rsid w:val="001861D2"/>
    <w:rsid w:val="0018623B"/>
    <w:rsid w:val="00186424"/>
    <w:rsid w:val="00186434"/>
    <w:rsid w:val="00186A1C"/>
    <w:rsid w:val="00186B87"/>
    <w:rsid w:val="00186E24"/>
    <w:rsid w:val="0018721C"/>
    <w:rsid w:val="0018782D"/>
    <w:rsid w:val="00190D50"/>
    <w:rsid w:val="0019139F"/>
    <w:rsid w:val="001914F4"/>
    <w:rsid w:val="00191EA6"/>
    <w:rsid w:val="001924A1"/>
    <w:rsid w:val="001925C9"/>
    <w:rsid w:val="00194C72"/>
    <w:rsid w:val="00194CF0"/>
    <w:rsid w:val="00195F29"/>
    <w:rsid w:val="00196148"/>
    <w:rsid w:val="001965BB"/>
    <w:rsid w:val="00196896"/>
    <w:rsid w:val="00197708"/>
    <w:rsid w:val="00197B6B"/>
    <w:rsid w:val="001A0551"/>
    <w:rsid w:val="001A17B1"/>
    <w:rsid w:val="001A18A7"/>
    <w:rsid w:val="001A25B5"/>
    <w:rsid w:val="001A2796"/>
    <w:rsid w:val="001A2E8D"/>
    <w:rsid w:val="001A2EF4"/>
    <w:rsid w:val="001A3519"/>
    <w:rsid w:val="001A3C5B"/>
    <w:rsid w:val="001A4ECE"/>
    <w:rsid w:val="001A54EB"/>
    <w:rsid w:val="001A5529"/>
    <w:rsid w:val="001A57A5"/>
    <w:rsid w:val="001A5F79"/>
    <w:rsid w:val="001A63DF"/>
    <w:rsid w:val="001A64EB"/>
    <w:rsid w:val="001A6DB1"/>
    <w:rsid w:val="001A6F00"/>
    <w:rsid w:val="001B196E"/>
    <w:rsid w:val="001B2293"/>
    <w:rsid w:val="001B262A"/>
    <w:rsid w:val="001B273E"/>
    <w:rsid w:val="001B3201"/>
    <w:rsid w:val="001B3DA9"/>
    <w:rsid w:val="001B42BD"/>
    <w:rsid w:val="001B43E3"/>
    <w:rsid w:val="001B44F4"/>
    <w:rsid w:val="001B4CE2"/>
    <w:rsid w:val="001B60EF"/>
    <w:rsid w:val="001B65AF"/>
    <w:rsid w:val="001B76D3"/>
    <w:rsid w:val="001B78B5"/>
    <w:rsid w:val="001C0048"/>
    <w:rsid w:val="001C219D"/>
    <w:rsid w:val="001C25B9"/>
    <w:rsid w:val="001C2AB9"/>
    <w:rsid w:val="001C2B23"/>
    <w:rsid w:val="001C2DD9"/>
    <w:rsid w:val="001C3DFD"/>
    <w:rsid w:val="001C410E"/>
    <w:rsid w:val="001C4753"/>
    <w:rsid w:val="001C55E6"/>
    <w:rsid w:val="001C6085"/>
    <w:rsid w:val="001C69FE"/>
    <w:rsid w:val="001C6B31"/>
    <w:rsid w:val="001C7759"/>
    <w:rsid w:val="001C7964"/>
    <w:rsid w:val="001C7999"/>
    <w:rsid w:val="001D0C28"/>
    <w:rsid w:val="001D10EA"/>
    <w:rsid w:val="001D138C"/>
    <w:rsid w:val="001D1D33"/>
    <w:rsid w:val="001D1DEC"/>
    <w:rsid w:val="001D3032"/>
    <w:rsid w:val="001D32C3"/>
    <w:rsid w:val="001D3A56"/>
    <w:rsid w:val="001D3CEF"/>
    <w:rsid w:val="001D4925"/>
    <w:rsid w:val="001D4C90"/>
    <w:rsid w:val="001D4CC1"/>
    <w:rsid w:val="001D62E7"/>
    <w:rsid w:val="001D661D"/>
    <w:rsid w:val="001D6748"/>
    <w:rsid w:val="001D684D"/>
    <w:rsid w:val="001D68B1"/>
    <w:rsid w:val="001D6CD0"/>
    <w:rsid w:val="001D7020"/>
    <w:rsid w:val="001E01E0"/>
    <w:rsid w:val="001E0F7E"/>
    <w:rsid w:val="001E1E5C"/>
    <w:rsid w:val="001E230D"/>
    <w:rsid w:val="001E2E00"/>
    <w:rsid w:val="001E33D5"/>
    <w:rsid w:val="001E40E9"/>
    <w:rsid w:val="001E43E7"/>
    <w:rsid w:val="001E440D"/>
    <w:rsid w:val="001E490B"/>
    <w:rsid w:val="001E4A33"/>
    <w:rsid w:val="001E517D"/>
    <w:rsid w:val="001E5593"/>
    <w:rsid w:val="001E576C"/>
    <w:rsid w:val="001E677F"/>
    <w:rsid w:val="001E7228"/>
    <w:rsid w:val="001E7906"/>
    <w:rsid w:val="001E7A25"/>
    <w:rsid w:val="001F0725"/>
    <w:rsid w:val="001F0CC5"/>
    <w:rsid w:val="001F13A2"/>
    <w:rsid w:val="001F1454"/>
    <w:rsid w:val="001F1A68"/>
    <w:rsid w:val="001F298E"/>
    <w:rsid w:val="001F2E82"/>
    <w:rsid w:val="001F32FD"/>
    <w:rsid w:val="001F4810"/>
    <w:rsid w:val="001F4970"/>
    <w:rsid w:val="001F553B"/>
    <w:rsid w:val="001F5B59"/>
    <w:rsid w:val="001F6480"/>
    <w:rsid w:val="001F7DD0"/>
    <w:rsid w:val="00200329"/>
    <w:rsid w:val="0020116A"/>
    <w:rsid w:val="002015A1"/>
    <w:rsid w:val="00202122"/>
    <w:rsid w:val="0020227F"/>
    <w:rsid w:val="00204668"/>
    <w:rsid w:val="00205F51"/>
    <w:rsid w:val="002060B6"/>
    <w:rsid w:val="0020655C"/>
    <w:rsid w:val="002066A5"/>
    <w:rsid w:val="00206E10"/>
    <w:rsid w:val="00206EB4"/>
    <w:rsid w:val="002070D1"/>
    <w:rsid w:val="00207B04"/>
    <w:rsid w:val="00207C91"/>
    <w:rsid w:val="00210557"/>
    <w:rsid w:val="00210AB7"/>
    <w:rsid w:val="00210B1A"/>
    <w:rsid w:val="0021240C"/>
    <w:rsid w:val="00212CDE"/>
    <w:rsid w:val="00212DBC"/>
    <w:rsid w:val="0021318B"/>
    <w:rsid w:val="002141E4"/>
    <w:rsid w:val="00214E96"/>
    <w:rsid w:val="00215BEC"/>
    <w:rsid w:val="00215D1D"/>
    <w:rsid w:val="00215F0B"/>
    <w:rsid w:val="002160D6"/>
    <w:rsid w:val="00217524"/>
    <w:rsid w:val="0021763F"/>
    <w:rsid w:val="002176C5"/>
    <w:rsid w:val="00217DCC"/>
    <w:rsid w:val="002213F6"/>
    <w:rsid w:val="00222A07"/>
    <w:rsid w:val="00222CF3"/>
    <w:rsid w:val="002241C0"/>
    <w:rsid w:val="00224535"/>
    <w:rsid w:val="00224CC0"/>
    <w:rsid w:val="00224E39"/>
    <w:rsid w:val="0022521D"/>
    <w:rsid w:val="0022530E"/>
    <w:rsid w:val="00225597"/>
    <w:rsid w:val="00226C63"/>
    <w:rsid w:val="00226E42"/>
    <w:rsid w:val="00226FC0"/>
    <w:rsid w:val="0022751D"/>
    <w:rsid w:val="00230291"/>
    <w:rsid w:val="00230BB8"/>
    <w:rsid w:val="00230C68"/>
    <w:rsid w:val="002323EF"/>
    <w:rsid w:val="00232B4B"/>
    <w:rsid w:val="00232B96"/>
    <w:rsid w:val="0023394C"/>
    <w:rsid w:val="00233AD3"/>
    <w:rsid w:val="00233D91"/>
    <w:rsid w:val="00234D42"/>
    <w:rsid w:val="00234ECD"/>
    <w:rsid w:val="00235754"/>
    <w:rsid w:val="00236169"/>
    <w:rsid w:val="00236371"/>
    <w:rsid w:val="0023673A"/>
    <w:rsid w:val="00236C15"/>
    <w:rsid w:val="00236E1A"/>
    <w:rsid w:val="0023746A"/>
    <w:rsid w:val="00237DDF"/>
    <w:rsid w:val="0024019C"/>
    <w:rsid w:val="00240481"/>
    <w:rsid w:val="00240792"/>
    <w:rsid w:val="0024085F"/>
    <w:rsid w:val="00240DD0"/>
    <w:rsid w:val="0024104D"/>
    <w:rsid w:val="002415B3"/>
    <w:rsid w:val="00241C90"/>
    <w:rsid w:val="00242231"/>
    <w:rsid w:val="002428CD"/>
    <w:rsid w:val="0024364E"/>
    <w:rsid w:val="00243B95"/>
    <w:rsid w:val="00243C4D"/>
    <w:rsid w:val="0024411B"/>
    <w:rsid w:val="00244130"/>
    <w:rsid w:val="002445DA"/>
    <w:rsid w:val="00244B9D"/>
    <w:rsid w:val="00245642"/>
    <w:rsid w:val="00245A65"/>
    <w:rsid w:val="002461DF"/>
    <w:rsid w:val="002468CE"/>
    <w:rsid w:val="0024785D"/>
    <w:rsid w:val="00247C50"/>
    <w:rsid w:val="00250BAE"/>
    <w:rsid w:val="002510E9"/>
    <w:rsid w:val="00251503"/>
    <w:rsid w:val="00252004"/>
    <w:rsid w:val="00252192"/>
    <w:rsid w:val="002522BF"/>
    <w:rsid w:val="00252BDF"/>
    <w:rsid w:val="002530FB"/>
    <w:rsid w:val="0025347E"/>
    <w:rsid w:val="00253DBC"/>
    <w:rsid w:val="002543BA"/>
    <w:rsid w:val="002558E9"/>
    <w:rsid w:val="00255BCB"/>
    <w:rsid w:val="00255FB5"/>
    <w:rsid w:val="00256431"/>
    <w:rsid w:val="002565A9"/>
    <w:rsid w:val="00257373"/>
    <w:rsid w:val="00257BD5"/>
    <w:rsid w:val="0026012B"/>
    <w:rsid w:val="00260A7D"/>
    <w:rsid w:val="0026128C"/>
    <w:rsid w:val="002613BC"/>
    <w:rsid w:val="002626F6"/>
    <w:rsid w:val="00263A44"/>
    <w:rsid w:val="00264159"/>
    <w:rsid w:val="002641C1"/>
    <w:rsid w:val="002646A2"/>
    <w:rsid w:val="00264B43"/>
    <w:rsid w:val="002651BD"/>
    <w:rsid w:val="00265A02"/>
    <w:rsid w:val="00265D93"/>
    <w:rsid w:val="00265E73"/>
    <w:rsid w:val="00265E7A"/>
    <w:rsid w:val="0026714D"/>
    <w:rsid w:val="00267413"/>
    <w:rsid w:val="00270AD8"/>
    <w:rsid w:val="00271CC5"/>
    <w:rsid w:val="00272529"/>
    <w:rsid w:val="00272D95"/>
    <w:rsid w:val="0027347C"/>
    <w:rsid w:val="00273B8B"/>
    <w:rsid w:val="00274A12"/>
    <w:rsid w:val="00274B83"/>
    <w:rsid w:val="00275056"/>
    <w:rsid w:val="00275F20"/>
    <w:rsid w:val="00276210"/>
    <w:rsid w:val="00276984"/>
    <w:rsid w:val="00280876"/>
    <w:rsid w:val="00280968"/>
    <w:rsid w:val="00280A9D"/>
    <w:rsid w:val="00280C90"/>
    <w:rsid w:val="002811C1"/>
    <w:rsid w:val="00281221"/>
    <w:rsid w:val="002819A5"/>
    <w:rsid w:val="0028213E"/>
    <w:rsid w:val="00282F1A"/>
    <w:rsid w:val="00285CA1"/>
    <w:rsid w:val="00286567"/>
    <w:rsid w:val="00286EB3"/>
    <w:rsid w:val="00287071"/>
    <w:rsid w:val="002871A7"/>
    <w:rsid w:val="0028777C"/>
    <w:rsid w:val="00287D0F"/>
    <w:rsid w:val="00287E97"/>
    <w:rsid w:val="00290F0A"/>
    <w:rsid w:val="0029130E"/>
    <w:rsid w:val="0029181E"/>
    <w:rsid w:val="00291DA0"/>
    <w:rsid w:val="002927AD"/>
    <w:rsid w:val="00292AE9"/>
    <w:rsid w:val="00292C12"/>
    <w:rsid w:val="0029344C"/>
    <w:rsid w:val="00293F2F"/>
    <w:rsid w:val="00294770"/>
    <w:rsid w:val="00294A21"/>
    <w:rsid w:val="00295102"/>
    <w:rsid w:val="002954BF"/>
    <w:rsid w:val="002956B1"/>
    <w:rsid w:val="002978C4"/>
    <w:rsid w:val="002A03EE"/>
    <w:rsid w:val="002A0710"/>
    <w:rsid w:val="002A180D"/>
    <w:rsid w:val="002A1920"/>
    <w:rsid w:val="002A1DEE"/>
    <w:rsid w:val="002A1F62"/>
    <w:rsid w:val="002A2DEA"/>
    <w:rsid w:val="002A3C35"/>
    <w:rsid w:val="002A4740"/>
    <w:rsid w:val="002A5432"/>
    <w:rsid w:val="002A55FC"/>
    <w:rsid w:val="002A636F"/>
    <w:rsid w:val="002A64C8"/>
    <w:rsid w:val="002A7821"/>
    <w:rsid w:val="002A7E0C"/>
    <w:rsid w:val="002B038B"/>
    <w:rsid w:val="002B0542"/>
    <w:rsid w:val="002B0A6C"/>
    <w:rsid w:val="002B16DE"/>
    <w:rsid w:val="002B1F73"/>
    <w:rsid w:val="002B2AD8"/>
    <w:rsid w:val="002B2BF0"/>
    <w:rsid w:val="002B3B7A"/>
    <w:rsid w:val="002B4E24"/>
    <w:rsid w:val="002B5CEE"/>
    <w:rsid w:val="002B6470"/>
    <w:rsid w:val="002B6E47"/>
    <w:rsid w:val="002B70D7"/>
    <w:rsid w:val="002B73EE"/>
    <w:rsid w:val="002B792C"/>
    <w:rsid w:val="002C0596"/>
    <w:rsid w:val="002C0949"/>
    <w:rsid w:val="002C18D3"/>
    <w:rsid w:val="002C18E7"/>
    <w:rsid w:val="002C1D02"/>
    <w:rsid w:val="002C1D38"/>
    <w:rsid w:val="002C2487"/>
    <w:rsid w:val="002C2DDA"/>
    <w:rsid w:val="002C4204"/>
    <w:rsid w:val="002C4897"/>
    <w:rsid w:val="002C59B3"/>
    <w:rsid w:val="002C635E"/>
    <w:rsid w:val="002C64FC"/>
    <w:rsid w:val="002C657B"/>
    <w:rsid w:val="002C6E08"/>
    <w:rsid w:val="002C72AC"/>
    <w:rsid w:val="002C7315"/>
    <w:rsid w:val="002C76DF"/>
    <w:rsid w:val="002D1AE8"/>
    <w:rsid w:val="002D25C9"/>
    <w:rsid w:val="002D5060"/>
    <w:rsid w:val="002D5EE6"/>
    <w:rsid w:val="002D6186"/>
    <w:rsid w:val="002D645E"/>
    <w:rsid w:val="002D7095"/>
    <w:rsid w:val="002D71A0"/>
    <w:rsid w:val="002D763A"/>
    <w:rsid w:val="002D768D"/>
    <w:rsid w:val="002E0406"/>
    <w:rsid w:val="002E0B99"/>
    <w:rsid w:val="002E0C3C"/>
    <w:rsid w:val="002E0CEC"/>
    <w:rsid w:val="002E139A"/>
    <w:rsid w:val="002E1E19"/>
    <w:rsid w:val="002E1E1C"/>
    <w:rsid w:val="002E2ABD"/>
    <w:rsid w:val="002E2CAC"/>
    <w:rsid w:val="002E3039"/>
    <w:rsid w:val="002E4391"/>
    <w:rsid w:val="002E43F9"/>
    <w:rsid w:val="002E451A"/>
    <w:rsid w:val="002E4B59"/>
    <w:rsid w:val="002E538D"/>
    <w:rsid w:val="002E53B5"/>
    <w:rsid w:val="002E6940"/>
    <w:rsid w:val="002E6ADB"/>
    <w:rsid w:val="002E7AFA"/>
    <w:rsid w:val="002E7E09"/>
    <w:rsid w:val="002F0D10"/>
    <w:rsid w:val="002F198F"/>
    <w:rsid w:val="002F1CC2"/>
    <w:rsid w:val="002F1E2F"/>
    <w:rsid w:val="002F2852"/>
    <w:rsid w:val="002F29FC"/>
    <w:rsid w:val="002F307B"/>
    <w:rsid w:val="002F33AA"/>
    <w:rsid w:val="002F3BDA"/>
    <w:rsid w:val="002F42B6"/>
    <w:rsid w:val="002F4FE3"/>
    <w:rsid w:val="002F5EA9"/>
    <w:rsid w:val="002F652F"/>
    <w:rsid w:val="002F6805"/>
    <w:rsid w:val="002F6950"/>
    <w:rsid w:val="002F69EF"/>
    <w:rsid w:val="002F7F0F"/>
    <w:rsid w:val="0030138D"/>
    <w:rsid w:val="00302839"/>
    <w:rsid w:val="00302D05"/>
    <w:rsid w:val="00302E61"/>
    <w:rsid w:val="00302EEF"/>
    <w:rsid w:val="00303A3C"/>
    <w:rsid w:val="00303AC1"/>
    <w:rsid w:val="00303DDF"/>
    <w:rsid w:val="0030524E"/>
    <w:rsid w:val="003053D6"/>
    <w:rsid w:val="0030745A"/>
    <w:rsid w:val="0030747C"/>
    <w:rsid w:val="00307567"/>
    <w:rsid w:val="00307861"/>
    <w:rsid w:val="003078C8"/>
    <w:rsid w:val="00310A8F"/>
    <w:rsid w:val="00310C8B"/>
    <w:rsid w:val="0031103A"/>
    <w:rsid w:val="0031214E"/>
    <w:rsid w:val="00312A80"/>
    <w:rsid w:val="0031315F"/>
    <w:rsid w:val="00313754"/>
    <w:rsid w:val="00313DA1"/>
    <w:rsid w:val="00314649"/>
    <w:rsid w:val="003147D7"/>
    <w:rsid w:val="00314B0F"/>
    <w:rsid w:val="0031520C"/>
    <w:rsid w:val="00315402"/>
    <w:rsid w:val="00315AFB"/>
    <w:rsid w:val="00315B46"/>
    <w:rsid w:val="00316444"/>
    <w:rsid w:val="00316F8D"/>
    <w:rsid w:val="00316FB4"/>
    <w:rsid w:val="00317E84"/>
    <w:rsid w:val="003202C0"/>
    <w:rsid w:val="00320879"/>
    <w:rsid w:val="00321BCC"/>
    <w:rsid w:val="00322B5A"/>
    <w:rsid w:val="00322F60"/>
    <w:rsid w:val="00322FE6"/>
    <w:rsid w:val="00323304"/>
    <w:rsid w:val="00323A1F"/>
    <w:rsid w:val="003243C0"/>
    <w:rsid w:val="003245C5"/>
    <w:rsid w:val="00324988"/>
    <w:rsid w:val="00324DAD"/>
    <w:rsid w:val="00324FBD"/>
    <w:rsid w:val="003255EC"/>
    <w:rsid w:val="003259B0"/>
    <w:rsid w:val="00325B3B"/>
    <w:rsid w:val="00325DE8"/>
    <w:rsid w:val="00326B32"/>
    <w:rsid w:val="003272B2"/>
    <w:rsid w:val="00327B5D"/>
    <w:rsid w:val="00330611"/>
    <w:rsid w:val="0033091F"/>
    <w:rsid w:val="00330CF6"/>
    <w:rsid w:val="00330D70"/>
    <w:rsid w:val="00330E5E"/>
    <w:rsid w:val="003313AE"/>
    <w:rsid w:val="00331450"/>
    <w:rsid w:val="003315BC"/>
    <w:rsid w:val="003316B9"/>
    <w:rsid w:val="003319B9"/>
    <w:rsid w:val="00332158"/>
    <w:rsid w:val="003325FA"/>
    <w:rsid w:val="00332898"/>
    <w:rsid w:val="0033383F"/>
    <w:rsid w:val="00333E6C"/>
    <w:rsid w:val="0033451D"/>
    <w:rsid w:val="00334555"/>
    <w:rsid w:val="0033508E"/>
    <w:rsid w:val="003352A7"/>
    <w:rsid w:val="00335B7D"/>
    <w:rsid w:val="00336836"/>
    <w:rsid w:val="00337408"/>
    <w:rsid w:val="00337A42"/>
    <w:rsid w:val="00337E75"/>
    <w:rsid w:val="00340914"/>
    <w:rsid w:val="00340D73"/>
    <w:rsid w:val="00340E3D"/>
    <w:rsid w:val="003416BE"/>
    <w:rsid w:val="003417B9"/>
    <w:rsid w:val="003419E7"/>
    <w:rsid w:val="00341C91"/>
    <w:rsid w:val="003428FD"/>
    <w:rsid w:val="003434F6"/>
    <w:rsid w:val="0034370E"/>
    <w:rsid w:val="00343E1F"/>
    <w:rsid w:val="00344773"/>
    <w:rsid w:val="00344DBF"/>
    <w:rsid w:val="0034558A"/>
    <w:rsid w:val="00345C4D"/>
    <w:rsid w:val="003476D4"/>
    <w:rsid w:val="00347E2B"/>
    <w:rsid w:val="0035008A"/>
    <w:rsid w:val="00350DEC"/>
    <w:rsid w:val="00351F5B"/>
    <w:rsid w:val="003546B5"/>
    <w:rsid w:val="0035492F"/>
    <w:rsid w:val="00354AD6"/>
    <w:rsid w:val="00354F51"/>
    <w:rsid w:val="00354F7F"/>
    <w:rsid w:val="00355CD1"/>
    <w:rsid w:val="00356085"/>
    <w:rsid w:val="00356BCC"/>
    <w:rsid w:val="0036024F"/>
    <w:rsid w:val="00360588"/>
    <w:rsid w:val="00360774"/>
    <w:rsid w:val="00361823"/>
    <w:rsid w:val="00361BE3"/>
    <w:rsid w:val="00361D5C"/>
    <w:rsid w:val="00361E01"/>
    <w:rsid w:val="00361FF7"/>
    <w:rsid w:val="003626E4"/>
    <w:rsid w:val="00362C29"/>
    <w:rsid w:val="003640D5"/>
    <w:rsid w:val="00365178"/>
    <w:rsid w:val="00365556"/>
    <w:rsid w:val="00366645"/>
    <w:rsid w:val="00366936"/>
    <w:rsid w:val="0036738A"/>
    <w:rsid w:val="00367883"/>
    <w:rsid w:val="003678B5"/>
    <w:rsid w:val="00367937"/>
    <w:rsid w:val="00370DBE"/>
    <w:rsid w:val="00371761"/>
    <w:rsid w:val="0037229B"/>
    <w:rsid w:val="0037291C"/>
    <w:rsid w:val="00372DD4"/>
    <w:rsid w:val="00373A7F"/>
    <w:rsid w:val="00374BBA"/>
    <w:rsid w:val="00374D06"/>
    <w:rsid w:val="003758C1"/>
    <w:rsid w:val="003766CE"/>
    <w:rsid w:val="003767E2"/>
    <w:rsid w:val="0037687F"/>
    <w:rsid w:val="00377F2D"/>
    <w:rsid w:val="00377F78"/>
    <w:rsid w:val="003802BC"/>
    <w:rsid w:val="0038035E"/>
    <w:rsid w:val="00380685"/>
    <w:rsid w:val="00380C7A"/>
    <w:rsid w:val="00380CEB"/>
    <w:rsid w:val="00381A91"/>
    <w:rsid w:val="00381DFA"/>
    <w:rsid w:val="00382CA2"/>
    <w:rsid w:val="00382F64"/>
    <w:rsid w:val="00384150"/>
    <w:rsid w:val="0038482C"/>
    <w:rsid w:val="003850DA"/>
    <w:rsid w:val="003853D9"/>
    <w:rsid w:val="003856FF"/>
    <w:rsid w:val="00386172"/>
    <w:rsid w:val="003862E9"/>
    <w:rsid w:val="00386530"/>
    <w:rsid w:val="00386D39"/>
    <w:rsid w:val="00390CD7"/>
    <w:rsid w:val="00391E45"/>
    <w:rsid w:val="00393112"/>
    <w:rsid w:val="00393382"/>
    <w:rsid w:val="00393C2C"/>
    <w:rsid w:val="00394CE5"/>
    <w:rsid w:val="00396146"/>
    <w:rsid w:val="00396591"/>
    <w:rsid w:val="00397306"/>
    <w:rsid w:val="00397851"/>
    <w:rsid w:val="003A02B4"/>
    <w:rsid w:val="003A09D7"/>
    <w:rsid w:val="003A0E70"/>
    <w:rsid w:val="003A171D"/>
    <w:rsid w:val="003A194D"/>
    <w:rsid w:val="003A4932"/>
    <w:rsid w:val="003A4A96"/>
    <w:rsid w:val="003A55E6"/>
    <w:rsid w:val="003A5C8D"/>
    <w:rsid w:val="003A5FF7"/>
    <w:rsid w:val="003A6791"/>
    <w:rsid w:val="003A6882"/>
    <w:rsid w:val="003A7128"/>
    <w:rsid w:val="003A752E"/>
    <w:rsid w:val="003B094E"/>
    <w:rsid w:val="003B09D5"/>
    <w:rsid w:val="003B1190"/>
    <w:rsid w:val="003B1C66"/>
    <w:rsid w:val="003B29D0"/>
    <w:rsid w:val="003B30B1"/>
    <w:rsid w:val="003B31E8"/>
    <w:rsid w:val="003B39AA"/>
    <w:rsid w:val="003B3A9E"/>
    <w:rsid w:val="003B3B1E"/>
    <w:rsid w:val="003B3DCF"/>
    <w:rsid w:val="003B4330"/>
    <w:rsid w:val="003B4C9A"/>
    <w:rsid w:val="003B6403"/>
    <w:rsid w:val="003B7078"/>
    <w:rsid w:val="003B755F"/>
    <w:rsid w:val="003B77E3"/>
    <w:rsid w:val="003B78FB"/>
    <w:rsid w:val="003C0771"/>
    <w:rsid w:val="003C0DE6"/>
    <w:rsid w:val="003C10AA"/>
    <w:rsid w:val="003C1475"/>
    <w:rsid w:val="003C1727"/>
    <w:rsid w:val="003C18E8"/>
    <w:rsid w:val="003C1D25"/>
    <w:rsid w:val="003C1DE8"/>
    <w:rsid w:val="003C2CEB"/>
    <w:rsid w:val="003C2D47"/>
    <w:rsid w:val="003C2E1F"/>
    <w:rsid w:val="003C3931"/>
    <w:rsid w:val="003C3A2C"/>
    <w:rsid w:val="003C447A"/>
    <w:rsid w:val="003C4989"/>
    <w:rsid w:val="003C4C97"/>
    <w:rsid w:val="003C4CF4"/>
    <w:rsid w:val="003C4E47"/>
    <w:rsid w:val="003C5C19"/>
    <w:rsid w:val="003C5E16"/>
    <w:rsid w:val="003C5F09"/>
    <w:rsid w:val="003D009B"/>
    <w:rsid w:val="003D0407"/>
    <w:rsid w:val="003D0835"/>
    <w:rsid w:val="003D0A37"/>
    <w:rsid w:val="003D0F32"/>
    <w:rsid w:val="003D14E9"/>
    <w:rsid w:val="003D17DF"/>
    <w:rsid w:val="003D2256"/>
    <w:rsid w:val="003D2C5F"/>
    <w:rsid w:val="003D2DA7"/>
    <w:rsid w:val="003D2E79"/>
    <w:rsid w:val="003D33E9"/>
    <w:rsid w:val="003D3BC1"/>
    <w:rsid w:val="003D3EDF"/>
    <w:rsid w:val="003D3FDA"/>
    <w:rsid w:val="003D489A"/>
    <w:rsid w:val="003D4955"/>
    <w:rsid w:val="003D4DC2"/>
    <w:rsid w:val="003D524D"/>
    <w:rsid w:val="003D573D"/>
    <w:rsid w:val="003D5FE4"/>
    <w:rsid w:val="003D6310"/>
    <w:rsid w:val="003D658B"/>
    <w:rsid w:val="003D72F6"/>
    <w:rsid w:val="003D7457"/>
    <w:rsid w:val="003D7785"/>
    <w:rsid w:val="003D7AB1"/>
    <w:rsid w:val="003E1027"/>
    <w:rsid w:val="003E1BDC"/>
    <w:rsid w:val="003E1CC3"/>
    <w:rsid w:val="003E21A1"/>
    <w:rsid w:val="003E23E4"/>
    <w:rsid w:val="003E243A"/>
    <w:rsid w:val="003E2DB6"/>
    <w:rsid w:val="003E36EA"/>
    <w:rsid w:val="003E386E"/>
    <w:rsid w:val="003E3DBF"/>
    <w:rsid w:val="003E3EC7"/>
    <w:rsid w:val="003E3F6B"/>
    <w:rsid w:val="003E3FDA"/>
    <w:rsid w:val="003E42F1"/>
    <w:rsid w:val="003E4D6C"/>
    <w:rsid w:val="003E4EC5"/>
    <w:rsid w:val="003E4FC9"/>
    <w:rsid w:val="003E5091"/>
    <w:rsid w:val="003E538C"/>
    <w:rsid w:val="003E5691"/>
    <w:rsid w:val="003E5BF3"/>
    <w:rsid w:val="003E6BCE"/>
    <w:rsid w:val="003E6FCA"/>
    <w:rsid w:val="003E7417"/>
    <w:rsid w:val="003E746D"/>
    <w:rsid w:val="003E7981"/>
    <w:rsid w:val="003F0500"/>
    <w:rsid w:val="003F09E5"/>
    <w:rsid w:val="003F0C22"/>
    <w:rsid w:val="003F130E"/>
    <w:rsid w:val="003F1EDE"/>
    <w:rsid w:val="003F2B68"/>
    <w:rsid w:val="003F31CA"/>
    <w:rsid w:val="003F51C8"/>
    <w:rsid w:val="003F61FE"/>
    <w:rsid w:val="003F62E4"/>
    <w:rsid w:val="003F6737"/>
    <w:rsid w:val="003F6CA3"/>
    <w:rsid w:val="003F711B"/>
    <w:rsid w:val="003F7190"/>
    <w:rsid w:val="004004AD"/>
    <w:rsid w:val="00400AC3"/>
    <w:rsid w:val="00401170"/>
    <w:rsid w:val="00401A8E"/>
    <w:rsid w:val="004023A0"/>
    <w:rsid w:val="00403086"/>
    <w:rsid w:val="00403CAC"/>
    <w:rsid w:val="00404AF1"/>
    <w:rsid w:val="00404C25"/>
    <w:rsid w:val="00405470"/>
    <w:rsid w:val="004057ED"/>
    <w:rsid w:val="00405816"/>
    <w:rsid w:val="00407394"/>
    <w:rsid w:val="00407916"/>
    <w:rsid w:val="00407A74"/>
    <w:rsid w:val="00407C44"/>
    <w:rsid w:val="00407DB6"/>
    <w:rsid w:val="00410710"/>
    <w:rsid w:val="0041269B"/>
    <w:rsid w:val="00412B1D"/>
    <w:rsid w:val="00413882"/>
    <w:rsid w:val="00413C82"/>
    <w:rsid w:val="00413D51"/>
    <w:rsid w:val="00414D95"/>
    <w:rsid w:val="00415C24"/>
    <w:rsid w:val="00416051"/>
    <w:rsid w:val="00416DCA"/>
    <w:rsid w:val="0041767F"/>
    <w:rsid w:val="00420200"/>
    <w:rsid w:val="004205DA"/>
    <w:rsid w:val="0042070D"/>
    <w:rsid w:val="00420AC5"/>
    <w:rsid w:val="00420B2C"/>
    <w:rsid w:val="0042106B"/>
    <w:rsid w:val="00421337"/>
    <w:rsid w:val="00421540"/>
    <w:rsid w:val="004219D8"/>
    <w:rsid w:val="00421B95"/>
    <w:rsid w:val="00421CEF"/>
    <w:rsid w:val="0042294B"/>
    <w:rsid w:val="00422D95"/>
    <w:rsid w:val="0042310F"/>
    <w:rsid w:val="0042378E"/>
    <w:rsid w:val="00423CA0"/>
    <w:rsid w:val="004241F1"/>
    <w:rsid w:val="00424A50"/>
    <w:rsid w:val="00425542"/>
    <w:rsid w:val="00425781"/>
    <w:rsid w:val="004265AA"/>
    <w:rsid w:val="00426908"/>
    <w:rsid w:val="00426A43"/>
    <w:rsid w:val="004272DB"/>
    <w:rsid w:val="0042795A"/>
    <w:rsid w:val="00427984"/>
    <w:rsid w:val="004301F6"/>
    <w:rsid w:val="004305E9"/>
    <w:rsid w:val="004307DE"/>
    <w:rsid w:val="00430881"/>
    <w:rsid w:val="00430F40"/>
    <w:rsid w:val="00431A36"/>
    <w:rsid w:val="004327F6"/>
    <w:rsid w:val="004333A1"/>
    <w:rsid w:val="0043387F"/>
    <w:rsid w:val="00434918"/>
    <w:rsid w:val="0043491F"/>
    <w:rsid w:val="00434CAB"/>
    <w:rsid w:val="004350DE"/>
    <w:rsid w:val="0043515F"/>
    <w:rsid w:val="0043561B"/>
    <w:rsid w:val="00435B62"/>
    <w:rsid w:val="00436622"/>
    <w:rsid w:val="00436CCC"/>
    <w:rsid w:val="0043769B"/>
    <w:rsid w:val="00440EB8"/>
    <w:rsid w:val="00441138"/>
    <w:rsid w:val="0044163D"/>
    <w:rsid w:val="0044211E"/>
    <w:rsid w:val="004424EA"/>
    <w:rsid w:val="00442E8D"/>
    <w:rsid w:val="004431B1"/>
    <w:rsid w:val="00443CC4"/>
    <w:rsid w:val="00443D57"/>
    <w:rsid w:val="0044451D"/>
    <w:rsid w:val="004446D4"/>
    <w:rsid w:val="00444FC9"/>
    <w:rsid w:val="00445194"/>
    <w:rsid w:val="00445197"/>
    <w:rsid w:val="00445525"/>
    <w:rsid w:val="00445E3B"/>
    <w:rsid w:val="00445FAE"/>
    <w:rsid w:val="00446100"/>
    <w:rsid w:val="004463AD"/>
    <w:rsid w:val="00446FD4"/>
    <w:rsid w:val="00447201"/>
    <w:rsid w:val="00450277"/>
    <w:rsid w:val="00451DF1"/>
    <w:rsid w:val="004522A9"/>
    <w:rsid w:val="0045299F"/>
    <w:rsid w:val="0045329D"/>
    <w:rsid w:val="00453C32"/>
    <w:rsid w:val="00453CFC"/>
    <w:rsid w:val="00453E93"/>
    <w:rsid w:val="00454DFF"/>
    <w:rsid w:val="00455864"/>
    <w:rsid w:val="00456081"/>
    <w:rsid w:val="0045647E"/>
    <w:rsid w:val="00456EDA"/>
    <w:rsid w:val="004571AE"/>
    <w:rsid w:val="004571DE"/>
    <w:rsid w:val="0045722D"/>
    <w:rsid w:val="004579EE"/>
    <w:rsid w:val="00457ED0"/>
    <w:rsid w:val="00460952"/>
    <w:rsid w:val="00460AD9"/>
    <w:rsid w:val="004611AC"/>
    <w:rsid w:val="00461314"/>
    <w:rsid w:val="00462693"/>
    <w:rsid w:val="0046294C"/>
    <w:rsid w:val="00463BBE"/>
    <w:rsid w:val="004640A6"/>
    <w:rsid w:val="0046486B"/>
    <w:rsid w:val="00464BA6"/>
    <w:rsid w:val="004652BC"/>
    <w:rsid w:val="004655C4"/>
    <w:rsid w:val="004663D3"/>
    <w:rsid w:val="0046673A"/>
    <w:rsid w:val="004671A5"/>
    <w:rsid w:val="00467540"/>
    <w:rsid w:val="0046787A"/>
    <w:rsid w:val="004705D2"/>
    <w:rsid w:val="00470EFB"/>
    <w:rsid w:val="0047138B"/>
    <w:rsid w:val="004726CF"/>
    <w:rsid w:val="00472888"/>
    <w:rsid w:val="00473F00"/>
    <w:rsid w:val="00474D50"/>
    <w:rsid w:val="004757BD"/>
    <w:rsid w:val="00475FAD"/>
    <w:rsid w:val="00477790"/>
    <w:rsid w:val="00477914"/>
    <w:rsid w:val="00480034"/>
    <w:rsid w:val="004802E1"/>
    <w:rsid w:val="004809DF"/>
    <w:rsid w:val="00480ADF"/>
    <w:rsid w:val="00481360"/>
    <w:rsid w:val="00481CDF"/>
    <w:rsid w:val="00482408"/>
    <w:rsid w:val="004824CA"/>
    <w:rsid w:val="00482B31"/>
    <w:rsid w:val="00482F04"/>
    <w:rsid w:val="004845B3"/>
    <w:rsid w:val="00484BC4"/>
    <w:rsid w:val="00484E5A"/>
    <w:rsid w:val="004852FB"/>
    <w:rsid w:val="0048552A"/>
    <w:rsid w:val="00485729"/>
    <w:rsid w:val="0048583A"/>
    <w:rsid w:val="00486407"/>
    <w:rsid w:val="00486927"/>
    <w:rsid w:val="0048705B"/>
    <w:rsid w:val="0048788F"/>
    <w:rsid w:val="0048789F"/>
    <w:rsid w:val="004902A1"/>
    <w:rsid w:val="00490E9C"/>
    <w:rsid w:val="004912C7"/>
    <w:rsid w:val="004912FF"/>
    <w:rsid w:val="00491871"/>
    <w:rsid w:val="00491E8A"/>
    <w:rsid w:val="00491EDF"/>
    <w:rsid w:val="00492B5F"/>
    <w:rsid w:val="00493C16"/>
    <w:rsid w:val="00493D11"/>
    <w:rsid w:val="00493E09"/>
    <w:rsid w:val="00493E9B"/>
    <w:rsid w:val="00494019"/>
    <w:rsid w:val="0049412E"/>
    <w:rsid w:val="004947FB"/>
    <w:rsid w:val="00495797"/>
    <w:rsid w:val="00495B14"/>
    <w:rsid w:val="00496B83"/>
    <w:rsid w:val="00496E64"/>
    <w:rsid w:val="00497F93"/>
    <w:rsid w:val="004A046F"/>
    <w:rsid w:val="004A1000"/>
    <w:rsid w:val="004A1903"/>
    <w:rsid w:val="004A1BE8"/>
    <w:rsid w:val="004A2012"/>
    <w:rsid w:val="004A20D3"/>
    <w:rsid w:val="004A2939"/>
    <w:rsid w:val="004A337E"/>
    <w:rsid w:val="004A34DC"/>
    <w:rsid w:val="004A37AA"/>
    <w:rsid w:val="004A3DE7"/>
    <w:rsid w:val="004A4330"/>
    <w:rsid w:val="004A4459"/>
    <w:rsid w:val="004A4485"/>
    <w:rsid w:val="004A5B50"/>
    <w:rsid w:val="004A6057"/>
    <w:rsid w:val="004A74C7"/>
    <w:rsid w:val="004A7828"/>
    <w:rsid w:val="004A7F46"/>
    <w:rsid w:val="004B007B"/>
    <w:rsid w:val="004B02A8"/>
    <w:rsid w:val="004B07E8"/>
    <w:rsid w:val="004B0A45"/>
    <w:rsid w:val="004B0AE4"/>
    <w:rsid w:val="004B0FEA"/>
    <w:rsid w:val="004B14B1"/>
    <w:rsid w:val="004B166D"/>
    <w:rsid w:val="004B2CAA"/>
    <w:rsid w:val="004B3096"/>
    <w:rsid w:val="004B35F8"/>
    <w:rsid w:val="004B371F"/>
    <w:rsid w:val="004B3A59"/>
    <w:rsid w:val="004B4179"/>
    <w:rsid w:val="004B435D"/>
    <w:rsid w:val="004B47FA"/>
    <w:rsid w:val="004B484D"/>
    <w:rsid w:val="004B4DD9"/>
    <w:rsid w:val="004B4DF0"/>
    <w:rsid w:val="004B5722"/>
    <w:rsid w:val="004B769D"/>
    <w:rsid w:val="004C06CB"/>
    <w:rsid w:val="004C076C"/>
    <w:rsid w:val="004C285D"/>
    <w:rsid w:val="004C2B6F"/>
    <w:rsid w:val="004C2B76"/>
    <w:rsid w:val="004C31AB"/>
    <w:rsid w:val="004C32C9"/>
    <w:rsid w:val="004C41FA"/>
    <w:rsid w:val="004C430E"/>
    <w:rsid w:val="004C443C"/>
    <w:rsid w:val="004C4447"/>
    <w:rsid w:val="004C4976"/>
    <w:rsid w:val="004C4AED"/>
    <w:rsid w:val="004C4DAB"/>
    <w:rsid w:val="004C53BA"/>
    <w:rsid w:val="004C5974"/>
    <w:rsid w:val="004C5DEF"/>
    <w:rsid w:val="004C60BD"/>
    <w:rsid w:val="004C6777"/>
    <w:rsid w:val="004C6BC7"/>
    <w:rsid w:val="004C74D5"/>
    <w:rsid w:val="004D002B"/>
    <w:rsid w:val="004D0C02"/>
    <w:rsid w:val="004D0DC9"/>
    <w:rsid w:val="004D0FDC"/>
    <w:rsid w:val="004D109F"/>
    <w:rsid w:val="004D1717"/>
    <w:rsid w:val="004D1986"/>
    <w:rsid w:val="004D1D34"/>
    <w:rsid w:val="004D1EDE"/>
    <w:rsid w:val="004D20B2"/>
    <w:rsid w:val="004D2109"/>
    <w:rsid w:val="004D2547"/>
    <w:rsid w:val="004D263D"/>
    <w:rsid w:val="004D2D01"/>
    <w:rsid w:val="004D3108"/>
    <w:rsid w:val="004D4A6B"/>
    <w:rsid w:val="004D4D4E"/>
    <w:rsid w:val="004D556E"/>
    <w:rsid w:val="004D5A1B"/>
    <w:rsid w:val="004D67BA"/>
    <w:rsid w:val="004D6948"/>
    <w:rsid w:val="004D7B13"/>
    <w:rsid w:val="004E1267"/>
    <w:rsid w:val="004E17A2"/>
    <w:rsid w:val="004E1FFB"/>
    <w:rsid w:val="004E261B"/>
    <w:rsid w:val="004E39A6"/>
    <w:rsid w:val="004E3CC3"/>
    <w:rsid w:val="004E3FAE"/>
    <w:rsid w:val="004E4101"/>
    <w:rsid w:val="004E412B"/>
    <w:rsid w:val="004E47FE"/>
    <w:rsid w:val="004E4968"/>
    <w:rsid w:val="004E5986"/>
    <w:rsid w:val="004E629C"/>
    <w:rsid w:val="004E71DE"/>
    <w:rsid w:val="004E7A7A"/>
    <w:rsid w:val="004E7B03"/>
    <w:rsid w:val="004E7B7B"/>
    <w:rsid w:val="004E7D37"/>
    <w:rsid w:val="004F1698"/>
    <w:rsid w:val="004F1F7B"/>
    <w:rsid w:val="004F2A28"/>
    <w:rsid w:val="004F33A9"/>
    <w:rsid w:val="004F3C9C"/>
    <w:rsid w:val="004F3EC9"/>
    <w:rsid w:val="004F4DA5"/>
    <w:rsid w:val="004F51C2"/>
    <w:rsid w:val="004F54DF"/>
    <w:rsid w:val="004F59B6"/>
    <w:rsid w:val="004F5B53"/>
    <w:rsid w:val="004F63C1"/>
    <w:rsid w:val="004F6426"/>
    <w:rsid w:val="004F6C38"/>
    <w:rsid w:val="004F704F"/>
    <w:rsid w:val="004F70E8"/>
    <w:rsid w:val="004F7D23"/>
    <w:rsid w:val="005002DD"/>
    <w:rsid w:val="00500881"/>
    <w:rsid w:val="005009FA"/>
    <w:rsid w:val="00500D3B"/>
    <w:rsid w:val="00500F0E"/>
    <w:rsid w:val="00501897"/>
    <w:rsid w:val="00502CAF"/>
    <w:rsid w:val="00502DC2"/>
    <w:rsid w:val="0050451F"/>
    <w:rsid w:val="00504A21"/>
    <w:rsid w:val="0050556C"/>
    <w:rsid w:val="00505836"/>
    <w:rsid w:val="005062A3"/>
    <w:rsid w:val="0050630A"/>
    <w:rsid w:val="005066B8"/>
    <w:rsid w:val="00506A9F"/>
    <w:rsid w:val="00506FDE"/>
    <w:rsid w:val="005079E3"/>
    <w:rsid w:val="00507F14"/>
    <w:rsid w:val="00511608"/>
    <w:rsid w:val="00511690"/>
    <w:rsid w:val="00511C36"/>
    <w:rsid w:val="00511D2C"/>
    <w:rsid w:val="00512A86"/>
    <w:rsid w:val="00513E9E"/>
    <w:rsid w:val="0051448A"/>
    <w:rsid w:val="00514566"/>
    <w:rsid w:val="0051541D"/>
    <w:rsid w:val="0051652B"/>
    <w:rsid w:val="00516BC1"/>
    <w:rsid w:val="00517476"/>
    <w:rsid w:val="00520286"/>
    <w:rsid w:val="00520434"/>
    <w:rsid w:val="00520538"/>
    <w:rsid w:val="00520935"/>
    <w:rsid w:val="005214ED"/>
    <w:rsid w:val="00521FCB"/>
    <w:rsid w:val="00524825"/>
    <w:rsid w:val="005249E1"/>
    <w:rsid w:val="00524C86"/>
    <w:rsid w:val="00524F5A"/>
    <w:rsid w:val="0052513C"/>
    <w:rsid w:val="005258C1"/>
    <w:rsid w:val="00525C1D"/>
    <w:rsid w:val="00526698"/>
    <w:rsid w:val="00526F4A"/>
    <w:rsid w:val="005270E5"/>
    <w:rsid w:val="00527465"/>
    <w:rsid w:val="00527D3E"/>
    <w:rsid w:val="00527FD8"/>
    <w:rsid w:val="0053112A"/>
    <w:rsid w:val="005328DD"/>
    <w:rsid w:val="005332D9"/>
    <w:rsid w:val="00534004"/>
    <w:rsid w:val="00535608"/>
    <w:rsid w:val="00535C78"/>
    <w:rsid w:val="00535F5B"/>
    <w:rsid w:val="0053696F"/>
    <w:rsid w:val="0053747C"/>
    <w:rsid w:val="00537502"/>
    <w:rsid w:val="0053785E"/>
    <w:rsid w:val="00537B9D"/>
    <w:rsid w:val="00537FC2"/>
    <w:rsid w:val="005400F5"/>
    <w:rsid w:val="005401F0"/>
    <w:rsid w:val="00540326"/>
    <w:rsid w:val="00540933"/>
    <w:rsid w:val="00540945"/>
    <w:rsid w:val="00540D03"/>
    <w:rsid w:val="00540D8A"/>
    <w:rsid w:val="00540F00"/>
    <w:rsid w:val="005414DF"/>
    <w:rsid w:val="00541591"/>
    <w:rsid w:val="00542232"/>
    <w:rsid w:val="0054234B"/>
    <w:rsid w:val="00542D3A"/>
    <w:rsid w:val="00542D61"/>
    <w:rsid w:val="00544204"/>
    <w:rsid w:val="00544B97"/>
    <w:rsid w:val="00544E8E"/>
    <w:rsid w:val="0054543F"/>
    <w:rsid w:val="00545F3D"/>
    <w:rsid w:val="00546386"/>
    <w:rsid w:val="00551EE3"/>
    <w:rsid w:val="00551F29"/>
    <w:rsid w:val="0055296B"/>
    <w:rsid w:val="00553CAB"/>
    <w:rsid w:val="00554268"/>
    <w:rsid w:val="00555459"/>
    <w:rsid w:val="005556CC"/>
    <w:rsid w:val="00557282"/>
    <w:rsid w:val="00557CD9"/>
    <w:rsid w:val="0056041E"/>
    <w:rsid w:val="005605C8"/>
    <w:rsid w:val="00560683"/>
    <w:rsid w:val="00560CC9"/>
    <w:rsid w:val="00561226"/>
    <w:rsid w:val="005619FB"/>
    <w:rsid w:val="00562820"/>
    <w:rsid w:val="005640EC"/>
    <w:rsid w:val="00564786"/>
    <w:rsid w:val="00565F75"/>
    <w:rsid w:val="005671DC"/>
    <w:rsid w:val="00567AD7"/>
    <w:rsid w:val="00570155"/>
    <w:rsid w:val="00570D8E"/>
    <w:rsid w:val="00571572"/>
    <w:rsid w:val="005719CE"/>
    <w:rsid w:val="00571EA3"/>
    <w:rsid w:val="005723B1"/>
    <w:rsid w:val="0057294B"/>
    <w:rsid w:val="00572DAC"/>
    <w:rsid w:val="0057375A"/>
    <w:rsid w:val="00573E3E"/>
    <w:rsid w:val="00573E96"/>
    <w:rsid w:val="00573F10"/>
    <w:rsid w:val="0057522D"/>
    <w:rsid w:val="00575D32"/>
    <w:rsid w:val="00575E65"/>
    <w:rsid w:val="00575FB1"/>
    <w:rsid w:val="005760F9"/>
    <w:rsid w:val="005771B2"/>
    <w:rsid w:val="00577483"/>
    <w:rsid w:val="0057796E"/>
    <w:rsid w:val="00577BEA"/>
    <w:rsid w:val="00577FD3"/>
    <w:rsid w:val="005801E9"/>
    <w:rsid w:val="0058065A"/>
    <w:rsid w:val="00580B14"/>
    <w:rsid w:val="0058159D"/>
    <w:rsid w:val="00581709"/>
    <w:rsid w:val="00582DAB"/>
    <w:rsid w:val="00583AA0"/>
    <w:rsid w:val="00583C25"/>
    <w:rsid w:val="0058403C"/>
    <w:rsid w:val="00584C9A"/>
    <w:rsid w:val="00584DD2"/>
    <w:rsid w:val="005851CF"/>
    <w:rsid w:val="00585A6C"/>
    <w:rsid w:val="00585D20"/>
    <w:rsid w:val="00585D46"/>
    <w:rsid w:val="00585D4C"/>
    <w:rsid w:val="00586D5E"/>
    <w:rsid w:val="00586E33"/>
    <w:rsid w:val="00586E7B"/>
    <w:rsid w:val="0058752C"/>
    <w:rsid w:val="00587843"/>
    <w:rsid w:val="00587BF6"/>
    <w:rsid w:val="00587D8F"/>
    <w:rsid w:val="00590181"/>
    <w:rsid w:val="00590436"/>
    <w:rsid w:val="00590B3E"/>
    <w:rsid w:val="00590C51"/>
    <w:rsid w:val="00592A56"/>
    <w:rsid w:val="00592E97"/>
    <w:rsid w:val="005932EE"/>
    <w:rsid w:val="005934D7"/>
    <w:rsid w:val="00595223"/>
    <w:rsid w:val="005961D3"/>
    <w:rsid w:val="00596254"/>
    <w:rsid w:val="00597395"/>
    <w:rsid w:val="005974F7"/>
    <w:rsid w:val="00597DDA"/>
    <w:rsid w:val="005A045E"/>
    <w:rsid w:val="005A06C8"/>
    <w:rsid w:val="005A0810"/>
    <w:rsid w:val="005A0B75"/>
    <w:rsid w:val="005A0F18"/>
    <w:rsid w:val="005A109E"/>
    <w:rsid w:val="005A10C8"/>
    <w:rsid w:val="005A1E7D"/>
    <w:rsid w:val="005A21E0"/>
    <w:rsid w:val="005A2821"/>
    <w:rsid w:val="005A2E8E"/>
    <w:rsid w:val="005A2F05"/>
    <w:rsid w:val="005A3F0F"/>
    <w:rsid w:val="005A4DF0"/>
    <w:rsid w:val="005A5D48"/>
    <w:rsid w:val="005A65A6"/>
    <w:rsid w:val="005A6835"/>
    <w:rsid w:val="005A746C"/>
    <w:rsid w:val="005B1E3E"/>
    <w:rsid w:val="005B2733"/>
    <w:rsid w:val="005B3569"/>
    <w:rsid w:val="005B370F"/>
    <w:rsid w:val="005B3C85"/>
    <w:rsid w:val="005B3EA0"/>
    <w:rsid w:val="005B42B6"/>
    <w:rsid w:val="005B510A"/>
    <w:rsid w:val="005B5187"/>
    <w:rsid w:val="005B560B"/>
    <w:rsid w:val="005B70A4"/>
    <w:rsid w:val="005B74B2"/>
    <w:rsid w:val="005C09D5"/>
    <w:rsid w:val="005C0FD6"/>
    <w:rsid w:val="005C12E7"/>
    <w:rsid w:val="005C1323"/>
    <w:rsid w:val="005C19B5"/>
    <w:rsid w:val="005C1CF2"/>
    <w:rsid w:val="005C1E10"/>
    <w:rsid w:val="005C20CA"/>
    <w:rsid w:val="005C2670"/>
    <w:rsid w:val="005C3479"/>
    <w:rsid w:val="005C3B1F"/>
    <w:rsid w:val="005C3EAD"/>
    <w:rsid w:val="005C48AA"/>
    <w:rsid w:val="005C4D41"/>
    <w:rsid w:val="005C570E"/>
    <w:rsid w:val="005C6959"/>
    <w:rsid w:val="005C759F"/>
    <w:rsid w:val="005C7607"/>
    <w:rsid w:val="005C7652"/>
    <w:rsid w:val="005C7CEC"/>
    <w:rsid w:val="005C7E4F"/>
    <w:rsid w:val="005D01BC"/>
    <w:rsid w:val="005D0671"/>
    <w:rsid w:val="005D084F"/>
    <w:rsid w:val="005D0B71"/>
    <w:rsid w:val="005D2318"/>
    <w:rsid w:val="005D29B9"/>
    <w:rsid w:val="005D29E8"/>
    <w:rsid w:val="005D2E60"/>
    <w:rsid w:val="005D35C5"/>
    <w:rsid w:val="005D3B20"/>
    <w:rsid w:val="005D4045"/>
    <w:rsid w:val="005D51A0"/>
    <w:rsid w:val="005D650D"/>
    <w:rsid w:val="005D66C9"/>
    <w:rsid w:val="005D6BB1"/>
    <w:rsid w:val="005D6E27"/>
    <w:rsid w:val="005D704C"/>
    <w:rsid w:val="005D7286"/>
    <w:rsid w:val="005D7640"/>
    <w:rsid w:val="005E00F7"/>
    <w:rsid w:val="005E0CA6"/>
    <w:rsid w:val="005E1411"/>
    <w:rsid w:val="005E1461"/>
    <w:rsid w:val="005E16FA"/>
    <w:rsid w:val="005E24B6"/>
    <w:rsid w:val="005E2551"/>
    <w:rsid w:val="005E2582"/>
    <w:rsid w:val="005E2815"/>
    <w:rsid w:val="005E28DA"/>
    <w:rsid w:val="005E2FFA"/>
    <w:rsid w:val="005E380C"/>
    <w:rsid w:val="005E38CB"/>
    <w:rsid w:val="005E3E22"/>
    <w:rsid w:val="005E4CAA"/>
    <w:rsid w:val="005E5A10"/>
    <w:rsid w:val="005E5CBC"/>
    <w:rsid w:val="005E5D25"/>
    <w:rsid w:val="005E6B14"/>
    <w:rsid w:val="005E711D"/>
    <w:rsid w:val="005E7E1E"/>
    <w:rsid w:val="005F05DB"/>
    <w:rsid w:val="005F1FC1"/>
    <w:rsid w:val="005F2728"/>
    <w:rsid w:val="005F30BC"/>
    <w:rsid w:val="005F314F"/>
    <w:rsid w:val="005F39CD"/>
    <w:rsid w:val="005F4F8C"/>
    <w:rsid w:val="005F5759"/>
    <w:rsid w:val="005F587E"/>
    <w:rsid w:val="005F5DA8"/>
    <w:rsid w:val="005F6640"/>
    <w:rsid w:val="005F6697"/>
    <w:rsid w:val="005F7814"/>
    <w:rsid w:val="005F7B53"/>
    <w:rsid w:val="005F7FD3"/>
    <w:rsid w:val="00601083"/>
    <w:rsid w:val="00601091"/>
    <w:rsid w:val="0060190A"/>
    <w:rsid w:val="00601C78"/>
    <w:rsid w:val="00602F41"/>
    <w:rsid w:val="0060330A"/>
    <w:rsid w:val="006043E9"/>
    <w:rsid w:val="00604523"/>
    <w:rsid w:val="006054EF"/>
    <w:rsid w:val="00605F04"/>
    <w:rsid w:val="0060629F"/>
    <w:rsid w:val="00606634"/>
    <w:rsid w:val="00606882"/>
    <w:rsid w:val="0060691D"/>
    <w:rsid w:val="00606ABC"/>
    <w:rsid w:val="00606CFA"/>
    <w:rsid w:val="00606D15"/>
    <w:rsid w:val="00607F78"/>
    <w:rsid w:val="006106CB"/>
    <w:rsid w:val="00610D1A"/>
    <w:rsid w:val="00610E7A"/>
    <w:rsid w:val="0061143C"/>
    <w:rsid w:val="00611DF1"/>
    <w:rsid w:val="00612446"/>
    <w:rsid w:val="00612CD9"/>
    <w:rsid w:val="0061305E"/>
    <w:rsid w:val="006131C6"/>
    <w:rsid w:val="00613732"/>
    <w:rsid w:val="00613E82"/>
    <w:rsid w:val="00613F58"/>
    <w:rsid w:val="006150AE"/>
    <w:rsid w:val="0061579F"/>
    <w:rsid w:val="00615EC2"/>
    <w:rsid w:val="00615F92"/>
    <w:rsid w:val="0061693E"/>
    <w:rsid w:val="006176A9"/>
    <w:rsid w:val="006177EF"/>
    <w:rsid w:val="00617892"/>
    <w:rsid w:val="00621363"/>
    <w:rsid w:val="006224D6"/>
    <w:rsid w:val="00622FE2"/>
    <w:rsid w:val="0062334D"/>
    <w:rsid w:val="006234C1"/>
    <w:rsid w:val="00623B02"/>
    <w:rsid w:val="006241D5"/>
    <w:rsid w:val="006244B9"/>
    <w:rsid w:val="00624E0D"/>
    <w:rsid w:val="006251D4"/>
    <w:rsid w:val="0062554E"/>
    <w:rsid w:val="006257F7"/>
    <w:rsid w:val="0062585F"/>
    <w:rsid w:val="00626069"/>
    <w:rsid w:val="00627A2C"/>
    <w:rsid w:val="00627B5E"/>
    <w:rsid w:val="0063019A"/>
    <w:rsid w:val="00630763"/>
    <w:rsid w:val="006316FE"/>
    <w:rsid w:val="00631E10"/>
    <w:rsid w:val="006325E6"/>
    <w:rsid w:val="00633271"/>
    <w:rsid w:val="006332D8"/>
    <w:rsid w:val="006332F1"/>
    <w:rsid w:val="00633BDB"/>
    <w:rsid w:val="006353F3"/>
    <w:rsid w:val="006362BA"/>
    <w:rsid w:val="00637766"/>
    <w:rsid w:val="00637F4E"/>
    <w:rsid w:val="006411D5"/>
    <w:rsid w:val="00641564"/>
    <w:rsid w:val="00642916"/>
    <w:rsid w:val="00642B93"/>
    <w:rsid w:val="00643B3E"/>
    <w:rsid w:val="00643B95"/>
    <w:rsid w:val="0064596B"/>
    <w:rsid w:val="006460F8"/>
    <w:rsid w:val="00646218"/>
    <w:rsid w:val="006466CB"/>
    <w:rsid w:val="00646C57"/>
    <w:rsid w:val="0064702A"/>
    <w:rsid w:val="00650460"/>
    <w:rsid w:val="00650566"/>
    <w:rsid w:val="00650974"/>
    <w:rsid w:val="00650CC1"/>
    <w:rsid w:val="00650FEE"/>
    <w:rsid w:val="00651133"/>
    <w:rsid w:val="006514DC"/>
    <w:rsid w:val="00651ED8"/>
    <w:rsid w:val="0065260D"/>
    <w:rsid w:val="006534A9"/>
    <w:rsid w:val="00653799"/>
    <w:rsid w:val="00653893"/>
    <w:rsid w:val="00653B76"/>
    <w:rsid w:val="00654581"/>
    <w:rsid w:val="00654CD9"/>
    <w:rsid w:val="00655AA8"/>
    <w:rsid w:val="00656EBF"/>
    <w:rsid w:val="006572B3"/>
    <w:rsid w:val="0065758E"/>
    <w:rsid w:val="00657C79"/>
    <w:rsid w:val="00660142"/>
    <w:rsid w:val="006602D6"/>
    <w:rsid w:val="00660F84"/>
    <w:rsid w:val="0066290D"/>
    <w:rsid w:val="006630AE"/>
    <w:rsid w:val="0066375D"/>
    <w:rsid w:val="00663ECF"/>
    <w:rsid w:val="00664DDE"/>
    <w:rsid w:val="0066501D"/>
    <w:rsid w:val="00665E48"/>
    <w:rsid w:val="00667027"/>
    <w:rsid w:val="00667554"/>
    <w:rsid w:val="00667558"/>
    <w:rsid w:val="006677DB"/>
    <w:rsid w:val="00667F59"/>
    <w:rsid w:val="00670113"/>
    <w:rsid w:val="0067082A"/>
    <w:rsid w:val="00670DAF"/>
    <w:rsid w:val="00671BE6"/>
    <w:rsid w:val="006727AC"/>
    <w:rsid w:val="0067351C"/>
    <w:rsid w:val="006748BC"/>
    <w:rsid w:val="00674C58"/>
    <w:rsid w:val="00675D2C"/>
    <w:rsid w:val="006763C4"/>
    <w:rsid w:val="00676AAA"/>
    <w:rsid w:val="00676B95"/>
    <w:rsid w:val="0068164C"/>
    <w:rsid w:val="00682942"/>
    <w:rsid w:val="00682EA9"/>
    <w:rsid w:val="006830BB"/>
    <w:rsid w:val="006841B5"/>
    <w:rsid w:val="00684BBD"/>
    <w:rsid w:val="00685236"/>
    <w:rsid w:val="00685AEB"/>
    <w:rsid w:val="00685C11"/>
    <w:rsid w:val="00686968"/>
    <w:rsid w:val="0068705C"/>
    <w:rsid w:val="006872F9"/>
    <w:rsid w:val="00690610"/>
    <w:rsid w:val="00690699"/>
    <w:rsid w:val="006911DF"/>
    <w:rsid w:val="00691996"/>
    <w:rsid w:val="006921AB"/>
    <w:rsid w:val="006929F6"/>
    <w:rsid w:val="00692CD3"/>
    <w:rsid w:val="00693077"/>
    <w:rsid w:val="00693DD4"/>
    <w:rsid w:val="00693E49"/>
    <w:rsid w:val="006942D9"/>
    <w:rsid w:val="006946C7"/>
    <w:rsid w:val="00694DC9"/>
    <w:rsid w:val="00695501"/>
    <w:rsid w:val="00695DF0"/>
    <w:rsid w:val="00696336"/>
    <w:rsid w:val="006965C8"/>
    <w:rsid w:val="00696AA6"/>
    <w:rsid w:val="00696B26"/>
    <w:rsid w:val="006974F7"/>
    <w:rsid w:val="00697594"/>
    <w:rsid w:val="006977CE"/>
    <w:rsid w:val="00697BA3"/>
    <w:rsid w:val="00697F41"/>
    <w:rsid w:val="006A074D"/>
    <w:rsid w:val="006A08C7"/>
    <w:rsid w:val="006A0969"/>
    <w:rsid w:val="006A0C1E"/>
    <w:rsid w:val="006A0E19"/>
    <w:rsid w:val="006A12BC"/>
    <w:rsid w:val="006A1566"/>
    <w:rsid w:val="006A1970"/>
    <w:rsid w:val="006A2E40"/>
    <w:rsid w:val="006A3164"/>
    <w:rsid w:val="006A36B3"/>
    <w:rsid w:val="006A3A8E"/>
    <w:rsid w:val="006A3F17"/>
    <w:rsid w:val="006A41F2"/>
    <w:rsid w:val="006A4482"/>
    <w:rsid w:val="006A5871"/>
    <w:rsid w:val="006A5B7A"/>
    <w:rsid w:val="006A6CEB"/>
    <w:rsid w:val="006A7139"/>
    <w:rsid w:val="006A742D"/>
    <w:rsid w:val="006A7577"/>
    <w:rsid w:val="006A7E6B"/>
    <w:rsid w:val="006B01CF"/>
    <w:rsid w:val="006B075F"/>
    <w:rsid w:val="006B0E85"/>
    <w:rsid w:val="006B0F9D"/>
    <w:rsid w:val="006B113A"/>
    <w:rsid w:val="006B162D"/>
    <w:rsid w:val="006B20B2"/>
    <w:rsid w:val="006B24CB"/>
    <w:rsid w:val="006B28C7"/>
    <w:rsid w:val="006B4215"/>
    <w:rsid w:val="006B51C8"/>
    <w:rsid w:val="006B58F9"/>
    <w:rsid w:val="006B634C"/>
    <w:rsid w:val="006B6495"/>
    <w:rsid w:val="006B6B7F"/>
    <w:rsid w:val="006B71C0"/>
    <w:rsid w:val="006B745E"/>
    <w:rsid w:val="006B763F"/>
    <w:rsid w:val="006B766B"/>
    <w:rsid w:val="006C02D7"/>
    <w:rsid w:val="006C0930"/>
    <w:rsid w:val="006C0E6B"/>
    <w:rsid w:val="006C147D"/>
    <w:rsid w:val="006C17DE"/>
    <w:rsid w:val="006C1A60"/>
    <w:rsid w:val="006C2919"/>
    <w:rsid w:val="006C2B5D"/>
    <w:rsid w:val="006C2EE3"/>
    <w:rsid w:val="006C32DE"/>
    <w:rsid w:val="006C33D2"/>
    <w:rsid w:val="006C3DC8"/>
    <w:rsid w:val="006C42E6"/>
    <w:rsid w:val="006C504F"/>
    <w:rsid w:val="006C526F"/>
    <w:rsid w:val="006C57ED"/>
    <w:rsid w:val="006C5A35"/>
    <w:rsid w:val="006C5A86"/>
    <w:rsid w:val="006C5D39"/>
    <w:rsid w:val="006C5F17"/>
    <w:rsid w:val="006C6462"/>
    <w:rsid w:val="006C7076"/>
    <w:rsid w:val="006C7C46"/>
    <w:rsid w:val="006D0099"/>
    <w:rsid w:val="006D0703"/>
    <w:rsid w:val="006D0A19"/>
    <w:rsid w:val="006D0EB4"/>
    <w:rsid w:val="006D1FC5"/>
    <w:rsid w:val="006D1FCD"/>
    <w:rsid w:val="006D23AB"/>
    <w:rsid w:val="006D3899"/>
    <w:rsid w:val="006D3E5D"/>
    <w:rsid w:val="006D477C"/>
    <w:rsid w:val="006D4F1B"/>
    <w:rsid w:val="006D6023"/>
    <w:rsid w:val="006D6792"/>
    <w:rsid w:val="006D69AF"/>
    <w:rsid w:val="006D6D96"/>
    <w:rsid w:val="006D6EBB"/>
    <w:rsid w:val="006D77CF"/>
    <w:rsid w:val="006D7F49"/>
    <w:rsid w:val="006E0229"/>
    <w:rsid w:val="006E0E8A"/>
    <w:rsid w:val="006E0F04"/>
    <w:rsid w:val="006E135E"/>
    <w:rsid w:val="006E1A0D"/>
    <w:rsid w:val="006E1A3B"/>
    <w:rsid w:val="006E21DE"/>
    <w:rsid w:val="006E2350"/>
    <w:rsid w:val="006E28D8"/>
    <w:rsid w:val="006E29B4"/>
    <w:rsid w:val="006E2B7C"/>
    <w:rsid w:val="006E2E15"/>
    <w:rsid w:val="006E332C"/>
    <w:rsid w:val="006E33A8"/>
    <w:rsid w:val="006E35E5"/>
    <w:rsid w:val="006E39CE"/>
    <w:rsid w:val="006E425B"/>
    <w:rsid w:val="006E4DBF"/>
    <w:rsid w:val="006E5E2D"/>
    <w:rsid w:val="006E616C"/>
    <w:rsid w:val="006E64B1"/>
    <w:rsid w:val="006E65F1"/>
    <w:rsid w:val="006E6EDE"/>
    <w:rsid w:val="006E7188"/>
    <w:rsid w:val="006E77BB"/>
    <w:rsid w:val="006F0BE3"/>
    <w:rsid w:val="006F10EE"/>
    <w:rsid w:val="006F17E6"/>
    <w:rsid w:val="006F2610"/>
    <w:rsid w:val="006F26F9"/>
    <w:rsid w:val="006F2BB1"/>
    <w:rsid w:val="006F5639"/>
    <w:rsid w:val="006F642B"/>
    <w:rsid w:val="006F6448"/>
    <w:rsid w:val="006F6BB6"/>
    <w:rsid w:val="006F7361"/>
    <w:rsid w:val="006F753F"/>
    <w:rsid w:val="007008AC"/>
    <w:rsid w:val="00700A33"/>
    <w:rsid w:val="00700BB5"/>
    <w:rsid w:val="00700DDE"/>
    <w:rsid w:val="00700EDD"/>
    <w:rsid w:val="00700F6B"/>
    <w:rsid w:val="007011A4"/>
    <w:rsid w:val="00701CF6"/>
    <w:rsid w:val="00701FCD"/>
    <w:rsid w:val="00702106"/>
    <w:rsid w:val="00702DE3"/>
    <w:rsid w:val="007035CB"/>
    <w:rsid w:val="00703844"/>
    <w:rsid w:val="00704035"/>
    <w:rsid w:val="0070494B"/>
    <w:rsid w:val="00704BAD"/>
    <w:rsid w:val="00704F35"/>
    <w:rsid w:val="00705425"/>
    <w:rsid w:val="0070669C"/>
    <w:rsid w:val="00706DC5"/>
    <w:rsid w:val="00707101"/>
    <w:rsid w:val="0070757B"/>
    <w:rsid w:val="007079C2"/>
    <w:rsid w:val="00707F5B"/>
    <w:rsid w:val="00710311"/>
    <w:rsid w:val="00711005"/>
    <w:rsid w:val="00711FCE"/>
    <w:rsid w:val="00712781"/>
    <w:rsid w:val="0071302A"/>
    <w:rsid w:val="007138E3"/>
    <w:rsid w:val="007143C1"/>
    <w:rsid w:val="00714AC6"/>
    <w:rsid w:val="00715274"/>
    <w:rsid w:val="00715375"/>
    <w:rsid w:val="00715B29"/>
    <w:rsid w:val="0071726A"/>
    <w:rsid w:val="007176AE"/>
    <w:rsid w:val="00720842"/>
    <w:rsid w:val="0072127D"/>
    <w:rsid w:val="00721E97"/>
    <w:rsid w:val="00722129"/>
    <w:rsid w:val="007223DF"/>
    <w:rsid w:val="00722914"/>
    <w:rsid w:val="00722B3A"/>
    <w:rsid w:val="00722B44"/>
    <w:rsid w:val="007233F6"/>
    <w:rsid w:val="00723A90"/>
    <w:rsid w:val="007255C8"/>
    <w:rsid w:val="00725E9C"/>
    <w:rsid w:val="00727A80"/>
    <w:rsid w:val="00727FEA"/>
    <w:rsid w:val="00730080"/>
    <w:rsid w:val="007314AB"/>
    <w:rsid w:val="0073158E"/>
    <w:rsid w:val="00731914"/>
    <w:rsid w:val="0073212A"/>
    <w:rsid w:val="00732956"/>
    <w:rsid w:val="00732D6C"/>
    <w:rsid w:val="0073373F"/>
    <w:rsid w:val="00733A96"/>
    <w:rsid w:val="00733B33"/>
    <w:rsid w:val="00733C40"/>
    <w:rsid w:val="00733ECC"/>
    <w:rsid w:val="007346D8"/>
    <w:rsid w:val="00735110"/>
    <w:rsid w:val="007356AD"/>
    <w:rsid w:val="0073604B"/>
    <w:rsid w:val="00736331"/>
    <w:rsid w:val="00736674"/>
    <w:rsid w:val="00736995"/>
    <w:rsid w:val="00736FCF"/>
    <w:rsid w:val="00737633"/>
    <w:rsid w:val="00737E8B"/>
    <w:rsid w:val="007400C9"/>
    <w:rsid w:val="00740E6B"/>
    <w:rsid w:val="00742396"/>
    <w:rsid w:val="0074378F"/>
    <w:rsid w:val="0074381C"/>
    <w:rsid w:val="00743B41"/>
    <w:rsid w:val="0074440A"/>
    <w:rsid w:val="00744B04"/>
    <w:rsid w:val="00744D9F"/>
    <w:rsid w:val="007466F0"/>
    <w:rsid w:val="00746C85"/>
    <w:rsid w:val="0074708D"/>
    <w:rsid w:val="007477FE"/>
    <w:rsid w:val="007479D5"/>
    <w:rsid w:val="00747A96"/>
    <w:rsid w:val="00747CD1"/>
    <w:rsid w:val="0075015D"/>
    <w:rsid w:val="007513A5"/>
    <w:rsid w:val="00751427"/>
    <w:rsid w:val="0075232E"/>
    <w:rsid w:val="0075335A"/>
    <w:rsid w:val="007533C6"/>
    <w:rsid w:val="00753EA9"/>
    <w:rsid w:val="00754BB2"/>
    <w:rsid w:val="007562A5"/>
    <w:rsid w:val="0075660E"/>
    <w:rsid w:val="00756D19"/>
    <w:rsid w:val="007570D8"/>
    <w:rsid w:val="007571A8"/>
    <w:rsid w:val="0075721B"/>
    <w:rsid w:val="00757451"/>
    <w:rsid w:val="007577D8"/>
    <w:rsid w:val="0075782F"/>
    <w:rsid w:val="007604C5"/>
    <w:rsid w:val="00760797"/>
    <w:rsid w:val="00761084"/>
    <w:rsid w:val="00761E96"/>
    <w:rsid w:val="007628CF"/>
    <w:rsid w:val="00762906"/>
    <w:rsid w:val="00762C26"/>
    <w:rsid w:val="00762C4C"/>
    <w:rsid w:val="00762DB4"/>
    <w:rsid w:val="00763BF0"/>
    <w:rsid w:val="007643EF"/>
    <w:rsid w:val="007647AA"/>
    <w:rsid w:val="00765035"/>
    <w:rsid w:val="00765E56"/>
    <w:rsid w:val="00766AA3"/>
    <w:rsid w:val="00767918"/>
    <w:rsid w:val="00767C8C"/>
    <w:rsid w:val="00770234"/>
    <w:rsid w:val="0077100D"/>
    <w:rsid w:val="007710E3"/>
    <w:rsid w:val="00771383"/>
    <w:rsid w:val="00771388"/>
    <w:rsid w:val="00771510"/>
    <w:rsid w:val="00771584"/>
    <w:rsid w:val="00771ECD"/>
    <w:rsid w:val="00771F4A"/>
    <w:rsid w:val="0077211A"/>
    <w:rsid w:val="00772C1A"/>
    <w:rsid w:val="00772DE6"/>
    <w:rsid w:val="00773C2F"/>
    <w:rsid w:val="00776E3A"/>
    <w:rsid w:val="00777134"/>
    <w:rsid w:val="00777725"/>
    <w:rsid w:val="00777B45"/>
    <w:rsid w:val="00781374"/>
    <w:rsid w:val="007819B0"/>
    <w:rsid w:val="00781AFF"/>
    <w:rsid w:val="00781B0F"/>
    <w:rsid w:val="00781C80"/>
    <w:rsid w:val="00783035"/>
    <w:rsid w:val="007836E3"/>
    <w:rsid w:val="0078408C"/>
    <w:rsid w:val="007844C0"/>
    <w:rsid w:val="007847D0"/>
    <w:rsid w:val="00785AB8"/>
    <w:rsid w:val="00785BE0"/>
    <w:rsid w:val="00785F0E"/>
    <w:rsid w:val="00786346"/>
    <w:rsid w:val="00786788"/>
    <w:rsid w:val="007867ED"/>
    <w:rsid w:val="00786866"/>
    <w:rsid w:val="007869E2"/>
    <w:rsid w:val="00786B1A"/>
    <w:rsid w:val="00786CC6"/>
    <w:rsid w:val="00786D4C"/>
    <w:rsid w:val="00786E1B"/>
    <w:rsid w:val="00787783"/>
    <w:rsid w:val="007900A0"/>
    <w:rsid w:val="00790522"/>
    <w:rsid w:val="00790F0E"/>
    <w:rsid w:val="00792370"/>
    <w:rsid w:val="00792907"/>
    <w:rsid w:val="007933A3"/>
    <w:rsid w:val="00793D7C"/>
    <w:rsid w:val="00795053"/>
    <w:rsid w:val="00795606"/>
    <w:rsid w:val="00795857"/>
    <w:rsid w:val="00795931"/>
    <w:rsid w:val="00796734"/>
    <w:rsid w:val="0079741C"/>
    <w:rsid w:val="00797451"/>
    <w:rsid w:val="00797980"/>
    <w:rsid w:val="00797DB6"/>
    <w:rsid w:val="007A008C"/>
    <w:rsid w:val="007A02FB"/>
    <w:rsid w:val="007A0483"/>
    <w:rsid w:val="007A0490"/>
    <w:rsid w:val="007A081E"/>
    <w:rsid w:val="007A14EF"/>
    <w:rsid w:val="007A17F8"/>
    <w:rsid w:val="007A1CCD"/>
    <w:rsid w:val="007A2E90"/>
    <w:rsid w:val="007A312B"/>
    <w:rsid w:val="007A3795"/>
    <w:rsid w:val="007A3979"/>
    <w:rsid w:val="007A488E"/>
    <w:rsid w:val="007A490F"/>
    <w:rsid w:val="007A4C3E"/>
    <w:rsid w:val="007A5213"/>
    <w:rsid w:val="007A5DF1"/>
    <w:rsid w:val="007A6EA8"/>
    <w:rsid w:val="007B1723"/>
    <w:rsid w:val="007B1D57"/>
    <w:rsid w:val="007B2173"/>
    <w:rsid w:val="007B25C6"/>
    <w:rsid w:val="007B2806"/>
    <w:rsid w:val="007B290B"/>
    <w:rsid w:val="007B2A40"/>
    <w:rsid w:val="007B3012"/>
    <w:rsid w:val="007B444F"/>
    <w:rsid w:val="007B4EA6"/>
    <w:rsid w:val="007B6A2F"/>
    <w:rsid w:val="007B6C4A"/>
    <w:rsid w:val="007B7334"/>
    <w:rsid w:val="007B742E"/>
    <w:rsid w:val="007C06B1"/>
    <w:rsid w:val="007C0A9B"/>
    <w:rsid w:val="007C0F51"/>
    <w:rsid w:val="007C10F4"/>
    <w:rsid w:val="007C1401"/>
    <w:rsid w:val="007C2431"/>
    <w:rsid w:val="007C250D"/>
    <w:rsid w:val="007C29B8"/>
    <w:rsid w:val="007C2F24"/>
    <w:rsid w:val="007C3D43"/>
    <w:rsid w:val="007C4C16"/>
    <w:rsid w:val="007C4D52"/>
    <w:rsid w:val="007C55E3"/>
    <w:rsid w:val="007C73B0"/>
    <w:rsid w:val="007C7489"/>
    <w:rsid w:val="007C7F4E"/>
    <w:rsid w:val="007D07C5"/>
    <w:rsid w:val="007D134B"/>
    <w:rsid w:val="007D15A5"/>
    <w:rsid w:val="007D1D81"/>
    <w:rsid w:val="007D2EF6"/>
    <w:rsid w:val="007D3065"/>
    <w:rsid w:val="007D389F"/>
    <w:rsid w:val="007D39C0"/>
    <w:rsid w:val="007D3D53"/>
    <w:rsid w:val="007D3DAC"/>
    <w:rsid w:val="007D45CC"/>
    <w:rsid w:val="007D4A43"/>
    <w:rsid w:val="007D4EA2"/>
    <w:rsid w:val="007D5578"/>
    <w:rsid w:val="007D55B7"/>
    <w:rsid w:val="007D610E"/>
    <w:rsid w:val="007D7366"/>
    <w:rsid w:val="007D7878"/>
    <w:rsid w:val="007E05B2"/>
    <w:rsid w:val="007E1605"/>
    <w:rsid w:val="007E1821"/>
    <w:rsid w:val="007E395C"/>
    <w:rsid w:val="007E3AFC"/>
    <w:rsid w:val="007E3DFD"/>
    <w:rsid w:val="007E3EC7"/>
    <w:rsid w:val="007E46B2"/>
    <w:rsid w:val="007E48CB"/>
    <w:rsid w:val="007E54A9"/>
    <w:rsid w:val="007E5531"/>
    <w:rsid w:val="007E561C"/>
    <w:rsid w:val="007E56A1"/>
    <w:rsid w:val="007E5CE0"/>
    <w:rsid w:val="007E656D"/>
    <w:rsid w:val="007E7103"/>
    <w:rsid w:val="007E7109"/>
    <w:rsid w:val="007E75BB"/>
    <w:rsid w:val="007E7837"/>
    <w:rsid w:val="007F0601"/>
    <w:rsid w:val="007F0ACA"/>
    <w:rsid w:val="007F102E"/>
    <w:rsid w:val="007F1A21"/>
    <w:rsid w:val="007F1ED8"/>
    <w:rsid w:val="007F2D2A"/>
    <w:rsid w:val="007F3335"/>
    <w:rsid w:val="007F427B"/>
    <w:rsid w:val="007F5C8A"/>
    <w:rsid w:val="007F5EA8"/>
    <w:rsid w:val="007F5F08"/>
    <w:rsid w:val="007F6099"/>
    <w:rsid w:val="007F6EFD"/>
    <w:rsid w:val="00800D5D"/>
    <w:rsid w:val="00800F64"/>
    <w:rsid w:val="0080145C"/>
    <w:rsid w:val="00801719"/>
    <w:rsid w:val="00801819"/>
    <w:rsid w:val="00802237"/>
    <w:rsid w:val="00802C89"/>
    <w:rsid w:val="00804095"/>
    <w:rsid w:val="0080554B"/>
    <w:rsid w:val="00805AAE"/>
    <w:rsid w:val="00805E87"/>
    <w:rsid w:val="00805F40"/>
    <w:rsid w:val="00806148"/>
    <w:rsid w:val="008062F2"/>
    <w:rsid w:val="008063DF"/>
    <w:rsid w:val="00806B9A"/>
    <w:rsid w:val="00806F97"/>
    <w:rsid w:val="0080717F"/>
    <w:rsid w:val="00807A3A"/>
    <w:rsid w:val="00807E1B"/>
    <w:rsid w:val="008102A7"/>
    <w:rsid w:val="00810655"/>
    <w:rsid w:val="00811839"/>
    <w:rsid w:val="00812044"/>
    <w:rsid w:val="008120B0"/>
    <w:rsid w:val="00812B73"/>
    <w:rsid w:val="00812D3D"/>
    <w:rsid w:val="00814533"/>
    <w:rsid w:val="00814856"/>
    <w:rsid w:val="00814B75"/>
    <w:rsid w:val="00814D04"/>
    <w:rsid w:val="00814FA9"/>
    <w:rsid w:val="00815390"/>
    <w:rsid w:val="008154C4"/>
    <w:rsid w:val="008156ED"/>
    <w:rsid w:val="008160E8"/>
    <w:rsid w:val="00816DEF"/>
    <w:rsid w:val="00816E16"/>
    <w:rsid w:val="00817605"/>
    <w:rsid w:val="00817608"/>
    <w:rsid w:val="008179CB"/>
    <w:rsid w:val="00817E35"/>
    <w:rsid w:val="0082055B"/>
    <w:rsid w:val="00820EDD"/>
    <w:rsid w:val="0082105F"/>
    <w:rsid w:val="0082187F"/>
    <w:rsid w:val="00821A53"/>
    <w:rsid w:val="00821B1C"/>
    <w:rsid w:val="008220D0"/>
    <w:rsid w:val="00822276"/>
    <w:rsid w:val="00822F4B"/>
    <w:rsid w:val="00823401"/>
    <w:rsid w:val="00823499"/>
    <w:rsid w:val="00825D2C"/>
    <w:rsid w:val="00825D40"/>
    <w:rsid w:val="008272BC"/>
    <w:rsid w:val="00827DF1"/>
    <w:rsid w:val="008300F6"/>
    <w:rsid w:val="00830227"/>
    <w:rsid w:val="0083168F"/>
    <w:rsid w:val="00831AFE"/>
    <w:rsid w:val="00831D05"/>
    <w:rsid w:val="0083246C"/>
    <w:rsid w:val="008327CA"/>
    <w:rsid w:val="008330F7"/>
    <w:rsid w:val="00834062"/>
    <w:rsid w:val="00834526"/>
    <w:rsid w:val="00834CF5"/>
    <w:rsid w:val="00835846"/>
    <w:rsid w:val="008358C0"/>
    <w:rsid w:val="00836FF9"/>
    <w:rsid w:val="00837986"/>
    <w:rsid w:val="00837ECA"/>
    <w:rsid w:val="00840288"/>
    <w:rsid w:val="0084049E"/>
    <w:rsid w:val="0084197E"/>
    <w:rsid w:val="00842150"/>
    <w:rsid w:val="00842CF7"/>
    <w:rsid w:val="00842D30"/>
    <w:rsid w:val="00842E20"/>
    <w:rsid w:val="0084303F"/>
    <w:rsid w:val="008434C1"/>
    <w:rsid w:val="008439DA"/>
    <w:rsid w:val="00843B17"/>
    <w:rsid w:val="00844BD9"/>
    <w:rsid w:val="0084659E"/>
    <w:rsid w:val="00847E10"/>
    <w:rsid w:val="00850365"/>
    <w:rsid w:val="008509A7"/>
    <w:rsid w:val="0085183A"/>
    <w:rsid w:val="00851B4D"/>
    <w:rsid w:val="008525AD"/>
    <w:rsid w:val="00852848"/>
    <w:rsid w:val="00852C23"/>
    <w:rsid w:val="00852CD0"/>
    <w:rsid w:val="00852DEC"/>
    <w:rsid w:val="00854809"/>
    <w:rsid w:val="008549F6"/>
    <w:rsid w:val="008556DA"/>
    <w:rsid w:val="008568EE"/>
    <w:rsid w:val="00857607"/>
    <w:rsid w:val="0085765E"/>
    <w:rsid w:val="0086048F"/>
    <w:rsid w:val="00860CA1"/>
    <w:rsid w:val="00860CE0"/>
    <w:rsid w:val="00860F0D"/>
    <w:rsid w:val="00860F9E"/>
    <w:rsid w:val="008611D9"/>
    <w:rsid w:val="00861389"/>
    <w:rsid w:val="008617C0"/>
    <w:rsid w:val="00862362"/>
    <w:rsid w:val="00862F0C"/>
    <w:rsid w:val="00863262"/>
    <w:rsid w:val="00863DA7"/>
    <w:rsid w:val="00863DEB"/>
    <w:rsid w:val="0086450B"/>
    <w:rsid w:val="008647BC"/>
    <w:rsid w:val="00864B07"/>
    <w:rsid w:val="00864DE9"/>
    <w:rsid w:val="00864FA0"/>
    <w:rsid w:val="00865383"/>
    <w:rsid w:val="00866B32"/>
    <w:rsid w:val="00867390"/>
    <w:rsid w:val="008706A2"/>
    <w:rsid w:val="008706D2"/>
    <w:rsid w:val="0087079E"/>
    <w:rsid w:val="00870DD7"/>
    <w:rsid w:val="00871DDB"/>
    <w:rsid w:val="00872470"/>
    <w:rsid w:val="00872EC2"/>
    <w:rsid w:val="00872EEB"/>
    <w:rsid w:val="00873B42"/>
    <w:rsid w:val="00873EC2"/>
    <w:rsid w:val="00874AFE"/>
    <w:rsid w:val="008756D6"/>
    <w:rsid w:val="00875B34"/>
    <w:rsid w:val="00875BC1"/>
    <w:rsid w:val="00875D34"/>
    <w:rsid w:val="00875E48"/>
    <w:rsid w:val="00876B97"/>
    <w:rsid w:val="0088079E"/>
    <w:rsid w:val="00880AB6"/>
    <w:rsid w:val="008818F0"/>
    <w:rsid w:val="00881B75"/>
    <w:rsid w:val="00882052"/>
    <w:rsid w:val="0088239F"/>
    <w:rsid w:val="0088301E"/>
    <w:rsid w:val="008831A4"/>
    <w:rsid w:val="0088348B"/>
    <w:rsid w:val="008835F3"/>
    <w:rsid w:val="00883B40"/>
    <w:rsid w:val="008843E0"/>
    <w:rsid w:val="00884EDE"/>
    <w:rsid w:val="0088559C"/>
    <w:rsid w:val="00885A44"/>
    <w:rsid w:val="00886663"/>
    <w:rsid w:val="0088688C"/>
    <w:rsid w:val="00886A55"/>
    <w:rsid w:val="00886D29"/>
    <w:rsid w:val="0089049A"/>
    <w:rsid w:val="00891242"/>
    <w:rsid w:val="0089154E"/>
    <w:rsid w:val="00891E8A"/>
    <w:rsid w:val="00892493"/>
    <w:rsid w:val="00892DD6"/>
    <w:rsid w:val="00892EA9"/>
    <w:rsid w:val="0089340A"/>
    <w:rsid w:val="0089404E"/>
    <w:rsid w:val="00894CE6"/>
    <w:rsid w:val="00894EFE"/>
    <w:rsid w:val="00895092"/>
    <w:rsid w:val="00895E24"/>
    <w:rsid w:val="008963F6"/>
    <w:rsid w:val="00896ADD"/>
    <w:rsid w:val="00896D68"/>
    <w:rsid w:val="0089731E"/>
    <w:rsid w:val="00897616"/>
    <w:rsid w:val="00897948"/>
    <w:rsid w:val="00897ABF"/>
    <w:rsid w:val="00897D88"/>
    <w:rsid w:val="00897F6B"/>
    <w:rsid w:val="008A010D"/>
    <w:rsid w:val="008A0347"/>
    <w:rsid w:val="008A0420"/>
    <w:rsid w:val="008A099A"/>
    <w:rsid w:val="008A1014"/>
    <w:rsid w:val="008A12CB"/>
    <w:rsid w:val="008A141D"/>
    <w:rsid w:val="008A2431"/>
    <w:rsid w:val="008A34AD"/>
    <w:rsid w:val="008A35B0"/>
    <w:rsid w:val="008A3AA5"/>
    <w:rsid w:val="008A483A"/>
    <w:rsid w:val="008A5537"/>
    <w:rsid w:val="008A5596"/>
    <w:rsid w:val="008A58C7"/>
    <w:rsid w:val="008A59D7"/>
    <w:rsid w:val="008A5C8E"/>
    <w:rsid w:val="008A60AC"/>
    <w:rsid w:val="008A62C7"/>
    <w:rsid w:val="008A6443"/>
    <w:rsid w:val="008A732C"/>
    <w:rsid w:val="008B04B1"/>
    <w:rsid w:val="008B12A4"/>
    <w:rsid w:val="008B1739"/>
    <w:rsid w:val="008B1B29"/>
    <w:rsid w:val="008B1D3F"/>
    <w:rsid w:val="008B29F9"/>
    <w:rsid w:val="008B2BAC"/>
    <w:rsid w:val="008B3335"/>
    <w:rsid w:val="008B34EA"/>
    <w:rsid w:val="008B3636"/>
    <w:rsid w:val="008B3770"/>
    <w:rsid w:val="008B4066"/>
    <w:rsid w:val="008B426C"/>
    <w:rsid w:val="008B46AF"/>
    <w:rsid w:val="008B46CC"/>
    <w:rsid w:val="008B49FF"/>
    <w:rsid w:val="008B4A32"/>
    <w:rsid w:val="008B53DE"/>
    <w:rsid w:val="008B5D24"/>
    <w:rsid w:val="008B6054"/>
    <w:rsid w:val="008B6A5A"/>
    <w:rsid w:val="008B6B76"/>
    <w:rsid w:val="008B74F3"/>
    <w:rsid w:val="008B75EA"/>
    <w:rsid w:val="008B7897"/>
    <w:rsid w:val="008C05DC"/>
    <w:rsid w:val="008C1907"/>
    <w:rsid w:val="008C19C6"/>
    <w:rsid w:val="008C1FB0"/>
    <w:rsid w:val="008C2037"/>
    <w:rsid w:val="008C24A6"/>
    <w:rsid w:val="008C280A"/>
    <w:rsid w:val="008C2A39"/>
    <w:rsid w:val="008C38FF"/>
    <w:rsid w:val="008C3C0A"/>
    <w:rsid w:val="008C410D"/>
    <w:rsid w:val="008C4BEF"/>
    <w:rsid w:val="008C5126"/>
    <w:rsid w:val="008C63BC"/>
    <w:rsid w:val="008C6517"/>
    <w:rsid w:val="008C6595"/>
    <w:rsid w:val="008C65A4"/>
    <w:rsid w:val="008C687D"/>
    <w:rsid w:val="008C6C2B"/>
    <w:rsid w:val="008C70A7"/>
    <w:rsid w:val="008C75A3"/>
    <w:rsid w:val="008D072F"/>
    <w:rsid w:val="008D15C2"/>
    <w:rsid w:val="008D23F4"/>
    <w:rsid w:val="008D241D"/>
    <w:rsid w:val="008D255A"/>
    <w:rsid w:val="008D28CB"/>
    <w:rsid w:val="008D3469"/>
    <w:rsid w:val="008D35E3"/>
    <w:rsid w:val="008D3871"/>
    <w:rsid w:val="008D3EAF"/>
    <w:rsid w:val="008D411B"/>
    <w:rsid w:val="008D5782"/>
    <w:rsid w:val="008D59DB"/>
    <w:rsid w:val="008D617A"/>
    <w:rsid w:val="008D645B"/>
    <w:rsid w:val="008D6E0A"/>
    <w:rsid w:val="008D71D5"/>
    <w:rsid w:val="008D7279"/>
    <w:rsid w:val="008E030A"/>
    <w:rsid w:val="008E032B"/>
    <w:rsid w:val="008E0338"/>
    <w:rsid w:val="008E06FD"/>
    <w:rsid w:val="008E1A6E"/>
    <w:rsid w:val="008E1AFE"/>
    <w:rsid w:val="008E28B8"/>
    <w:rsid w:val="008E2A81"/>
    <w:rsid w:val="008E2FA9"/>
    <w:rsid w:val="008E314F"/>
    <w:rsid w:val="008E3637"/>
    <w:rsid w:val="008E3691"/>
    <w:rsid w:val="008E390B"/>
    <w:rsid w:val="008E3A3F"/>
    <w:rsid w:val="008E3F74"/>
    <w:rsid w:val="008E5803"/>
    <w:rsid w:val="008E6A9E"/>
    <w:rsid w:val="008E73A3"/>
    <w:rsid w:val="008E73C6"/>
    <w:rsid w:val="008F092E"/>
    <w:rsid w:val="008F09A4"/>
    <w:rsid w:val="008F0C81"/>
    <w:rsid w:val="008F0EE2"/>
    <w:rsid w:val="008F14D6"/>
    <w:rsid w:val="008F210F"/>
    <w:rsid w:val="008F240C"/>
    <w:rsid w:val="008F2BF4"/>
    <w:rsid w:val="008F328A"/>
    <w:rsid w:val="008F3319"/>
    <w:rsid w:val="008F48F9"/>
    <w:rsid w:val="008F4ADE"/>
    <w:rsid w:val="008F5702"/>
    <w:rsid w:val="008F591D"/>
    <w:rsid w:val="008F5B65"/>
    <w:rsid w:val="008F6451"/>
    <w:rsid w:val="008F78D6"/>
    <w:rsid w:val="0090068D"/>
    <w:rsid w:val="009008A4"/>
    <w:rsid w:val="00900B86"/>
    <w:rsid w:val="009032A1"/>
    <w:rsid w:val="00903762"/>
    <w:rsid w:val="00903C87"/>
    <w:rsid w:val="00903FBC"/>
    <w:rsid w:val="00904129"/>
    <w:rsid w:val="009042EA"/>
    <w:rsid w:val="00904B39"/>
    <w:rsid w:val="00905A2E"/>
    <w:rsid w:val="00905BF2"/>
    <w:rsid w:val="00906A6C"/>
    <w:rsid w:val="00906C4D"/>
    <w:rsid w:val="00906CF9"/>
    <w:rsid w:val="0090756D"/>
    <w:rsid w:val="0090767F"/>
    <w:rsid w:val="00910894"/>
    <w:rsid w:val="009109B2"/>
    <w:rsid w:val="00911084"/>
    <w:rsid w:val="00911A79"/>
    <w:rsid w:val="00911FB3"/>
    <w:rsid w:val="00912671"/>
    <w:rsid w:val="00912EFF"/>
    <w:rsid w:val="00913285"/>
    <w:rsid w:val="00913C65"/>
    <w:rsid w:val="009145BE"/>
    <w:rsid w:val="00915242"/>
    <w:rsid w:val="009176C1"/>
    <w:rsid w:val="00917C34"/>
    <w:rsid w:val="0092073D"/>
    <w:rsid w:val="009219D3"/>
    <w:rsid w:val="00921BAE"/>
    <w:rsid w:val="009226D1"/>
    <w:rsid w:val="009228D1"/>
    <w:rsid w:val="00923196"/>
    <w:rsid w:val="0092342F"/>
    <w:rsid w:val="009234D3"/>
    <w:rsid w:val="00923933"/>
    <w:rsid w:val="00923B2D"/>
    <w:rsid w:val="00924354"/>
    <w:rsid w:val="009245E9"/>
    <w:rsid w:val="00924762"/>
    <w:rsid w:val="0092520F"/>
    <w:rsid w:val="00925375"/>
    <w:rsid w:val="009256B3"/>
    <w:rsid w:val="009263D5"/>
    <w:rsid w:val="00926810"/>
    <w:rsid w:val="00927300"/>
    <w:rsid w:val="00930156"/>
    <w:rsid w:val="00930207"/>
    <w:rsid w:val="00930530"/>
    <w:rsid w:val="00930B09"/>
    <w:rsid w:val="00931808"/>
    <w:rsid w:val="00931DC7"/>
    <w:rsid w:val="009321E1"/>
    <w:rsid w:val="009327BF"/>
    <w:rsid w:val="0093328A"/>
    <w:rsid w:val="009341AF"/>
    <w:rsid w:val="009341B3"/>
    <w:rsid w:val="0093424D"/>
    <w:rsid w:val="00935287"/>
    <w:rsid w:val="00935B02"/>
    <w:rsid w:val="00935F8B"/>
    <w:rsid w:val="00936789"/>
    <w:rsid w:val="009377BA"/>
    <w:rsid w:val="0093784A"/>
    <w:rsid w:val="00940585"/>
    <w:rsid w:val="009418BA"/>
    <w:rsid w:val="00942DA1"/>
    <w:rsid w:val="0094323A"/>
    <w:rsid w:val="00943402"/>
    <w:rsid w:val="00943B15"/>
    <w:rsid w:val="009442DA"/>
    <w:rsid w:val="009444C5"/>
    <w:rsid w:val="00944AE6"/>
    <w:rsid w:val="00944E82"/>
    <w:rsid w:val="0094508D"/>
    <w:rsid w:val="00945B47"/>
    <w:rsid w:val="00945BD2"/>
    <w:rsid w:val="00945E2B"/>
    <w:rsid w:val="00946378"/>
    <w:rsid w:val="00946703"/>
    <w:rsid w:val="00947061"/>
    <w:rsid w:val="00947A4D"/>
    <w:rsid w:val="00947BDB"/>
    <w:rsid w:val="00947D68"/>
    <w:rsid w:val="00950325"/>
    <w:rsid w:val="00950558"/>
    <w:rsid w:val="00951DBD"/>
    <w:rsid w:val="00952447"/>
    <w:rsid w:val="00952AFF"/>
    <w:rsid w:val="00952C88"/>
    <w:rsid w:val="00953FB9"/>
    <w:rsid w:val="009543C3"/>
    <w:rsid w:val="00954434"/>
    <w:rsid w:val="0095463D"/>
    <w:rsid w:val="00954F43"/>
    <w:rsid w:val="009557D1"/>
    <w:rsid w:val="00956815"/>
    <w:rsid w:val="00956C27"/>
    <w:rsid w:val="00960DF3"/>
    <w:rsid w:val="0096149E"/>
    <w:rsid w:val="00962660"/>
    <w:rsid w:val="00962BA9"/>
    <w:rsid w:val="00962C92"/>
    <w:rsid w:val="00962F8C"/>
    <w:rsid w:val="00964837"/>
    <w:rsid w:val="00965211"/>
    <w:rsid w:val="0096597C"/>
    <w:rsid w:val="00966BB0"/>
    <w:rsid w:val="009709B4"/>
    <w:rsid w:val="00970F64"/>
    <w:rsid w:val="009710ED"/>
    <w:rsid w:val="00971493"/>
    <w:rsid w:val="009718A7"/>
    <w:rsid w:val="00971FB4"/>
    <w:rsid w:val="00972152"/>
    <w:rsid w:val="009728D5"/>
    <w:rsid w:val="00972933"/>
    <w:rsid w:val="009729F1"/>
    <w:rsid w:val="00973499"/>
    <w:rsid w:val="00973B95"/>
    <w:rsid w:val="00974E34"/>
    <w:rsid w:val="00975120"/>
    <w:rsid w:val="00975329"/>
    <w:rsid w:val="00975403"/>
    <w:rsid w:val="0097594D"/>
    <w:rsid w:val="00975CE6"/>
    <w:rsid w:val="0097610B"/>
    <w:rsid w:val="009763E4"/>
    <w:rsid w:val="009769F2"/>
    <w:rsid w:val="00976F79"/>
    <w:rsid w:val="00977251"/>
    <w:rsid w:val="009774DA"/>
    <w:rsid w:val="00977839"/>
    <w:rsid w:val="00977949"/>
    <w:rsid w:val="0097798B"/>
    <w:rsid w:val="00977997"/>
    <w:rsid w:val="0097799F"/>
    <w:rsid w:val="00977F74"/>
    <w:rsid w:val="00980719"/>
    <w:rsid w:val="0098122D"/>
    <w:rsid w:val="009825A3"/>
    <w:rsid w:val="00982B16"/>
    <w:rsid w:val="009832FD"/>
    <w:rsid w:val="00983EB0"/>
    <w:rsid w:val="00984249"/>
    <w:rsid w:val="00984BA1"/>
    <w:rsid w:val="009856F6"/>
    <w:rsid w:val="00985F3F"/>
    <w:rsid w:val="0098606F"/>
    <w:rsid w:val="00986489"/>
    <w:rsid w:val="009866EF"/>
    <w:rsid w:val="00986EDA"/>
    <w:rsid w:val="009875B2"/>
    <w:rsid w:val="00987D49"/>
    <w:rsid w:val="00990C0D"/>
    <w:rsid w:val="00991337"/>
    <w:rsid w:val="00994901"/>
    <w:rsid w:val="00994C3B"/>
    <w:rsid w:val="00994E8F"/>
    <w:rsid w:val="009958F5"/>
    <w:rsid w:val="009969C2"/>
    <w:rsid w:val="009A03FD"/>
    <w:rsid w:val="009A0450"/>
    <w:rsid w:val="009A0659"/>
    <w:rsid w:val="009A11D1"/>
    <w:rsid w:val="009A15A1"/>
    <w:rsid w:val="009A1A74"/>
    <w:rsid w:val="009A244D"/>
    <w:rsid w:val="009A26DF"/>
    <w:rsid w:val="009A2892"/>
    <w:rsid w:val="009A317A"/>
    <w:rsid w:val="009A3239"/>
    <w:rsid w:val="009A3572"/>
    <w:rsid w:val="009A361F"/>
    <w:rsid w:val="009A3EC8"/>
    <w:rsid w:val="009A4F3A"/>
    <w:rsid w:val="009A69A6"/>
    <w:rsid w:val="009A6D71"/>
    <w:rsid w:val="009A6F46"/>
    <w:rsid w:val="009B022B"/>
    <w:rsid w:val="009B062E"/>
    <w:rsid w:val="009B06BE"/>
    <w:rsid w:val="009B076C"/>
    <w:rsid w:val="009B08FF"/>
    <w:rsid w:val="009B1C8E"/>
    <w:rsid w:val="009B1CDA"/>
    <w:rsid w:val="009B1EF8"/>
    <w:rsid w:val="009B289A"/>
    <w:rsid w:val="009B2AA0"/>
    <w:rsid w:val="009B2ABA"/>
    <w:rsid w:val="009B3612"/>
    <w:rsid w:val="009B37C7"/>
    <w:rsid w:val="009B389F"/>
    <w:rsid w:val="009B40C3"/>
    <w:rsid w:val="009B4B7A"/>
    <w:rsid w:val="009B523C"/>
    <w:rsid w:val="009B57BA"/>
    <w:rsid w:val="009B5E82"/>
    <w:rsid w:val="009B5EEC"/>
    <w:rsid w:val="009B7486"/>
    <w:rsid w:val="009B7512"/>
    <w:rsid w:val="009C019B"/>
    <w:rsid w:val="009C0E13"/>
    <w:rsid w:val="009C16ED"/>
    <w:rsid w:val="009C1966"/>
    <w:rsid w:val="009C391A"/>
    <w:rsid w:val="009C41EB"/>
    <w:rsid w:val="009C496A"/>
    <w:rsid w:val="009C544F"/>
    <w:rsid w:val="009C5C02"/>
    <w:rsid w:val="009C6502"/>
    <w:rsid w:val="009C7710"/>
    <w:rsid w:val="009C79DD"/>
    <w:rsid w:val="009D0364"/>
    <w:rsid w:val="009D04A9"/>
    <w:rsid w:val="009D1C36"/>
    <w:rsid w:val="009D1DBD"/>
    <w:rsid w:val="009D2B59"/>
    <w:rsid w:val="009D43E7"/>
    <w:rsid w:val="009D4E71"/>
    <w:rsid w:val="009D51D7"/>
    <w:rsid w:val="009D5F03"/>
    <w:rsid w:val="009D69CE"/>
    <w:rsid w:val="009D6CDD"/>
    <w:rsid w:val="009D7DD4"/>
    <w:rsid w:val="009E173C"/>
    <w:rsid w:val="009E274E"/>
    <w:rsid w:val="009E2895"/>
    <w:rsid w:val="009E2969"/>
    <w:rsid w:val="009E3A5A"/>
    <w:rsid w:val="009E44E2"/>
    <w:rsid w:val="009E4C99"/>
    <w:rsid w:val="009E4D41"/>
    <w:rsid w:val="009E4F44"/>
    <w:rsid w:val="009E5AD8"/>
    <w:rsid w:val="009E608A"/>
    <w:rsid w:val="009E7361"/>
    <w:rsid w:val="009E77D7"/>
    <w:rsid w:val="009E77E7"/>
    <w:rsid w:val="009F027C"/>
    <w:rsid w:val="009F098A"/>
    <w:rsid w:val="009F10AA"/>
    <w:rsid w:val="009F111F"/>
    <w:rsid w:val="009F14B3"/>
    <w:rsid w:val="009F16B9"/>
    <w:rsid w:val="009F174B"/>
    <w:rsid w:val="009F2BA1"/>
    <w:rsid w:val="009F3FAF"/>
    <w:rsid w:val="009F4077"/>
    <w:rsid w:val="009F4F63"/>
    <w:rsid w:val="009F5279"/>
    <w:rsid w:val="009F5A9F"/>
    <w:rsid w:val="009F5C49"/>
    <w:rsid w:val="009F5E3D"/>
    <w:rsid w:val="009F5F44"/>
    <w:rsid w:val="009F6574"/>
    <w:rsid w:val="009F6D77"/>
    <w:rsid w:val="009F6FAF"/>
    <w:rsid w:val="009F77C7"/>
    <w:rsid w:val="009F78FD"/>
    <w:rsid w:val="009F7D31"/>
    <w:rsid w:val="00A006B1"/>
    <w:rsid w:val="00A00749"/>
    <w:rsid w:val="00A018BF"/>
    <w:rsid w:val="00A02888"/>
    <w:rsid w:val="00A02DEE"/>
    <w:rsid w:val="00A052D2"/>
    <w:rsid w:val="00A05AB1"/>
    <w:rsid w:val="00A06628"/>
    <w:rsid w:val="00A06B65"/>
    <w:rsid w:val="00A06C4D"/>
    <w:rsid w:val="00A06E18"/>
    <w:rsid w:val="00A06E96"/>
    <w:rsid w:val="00A10033"/>
    <w:rsid w:val="00A105A4"/>
    <w:rsid w:val="00A108B9"/>
    <w:rsid w:val="00A10B1C"/>
    <w:rsid w:val="00A1154A"/>
    <w:rsid w:val="00A116BC"/>
    <w:rsid w:val="00A11B03"/>
    <w:rsid w:val="00A11CCF"/>
    <w:rsid w:val="00A12303"/>
    <w:rsid w:val="00A124CC"/>
    <w:rsid w:val="00A127ED"/>
    <w:rsid w:val="00A12EEC"/>
    <w:rsid w:val="00A139A3"/>
    <w:rsid w:val="00A13C59"/>
    <w:rsid w:val="00A13D73"/>
    <w:rsid w:val="00A14F50"/>
    <w:rsid w:val="00A156FC"/>
    <w:rsid w:val="00A15ADC"/>
    <w:rsid w:val="00A16AC5"/>
    <w:rsid w:val="00A17038"/>
    <w:rsid w:val="00A17257"/>
    <w:rsid w:val="00A17676"/>
    <w:rsid w:val="00A17DF6"/>
    <w:rsid w:val="00A200AA"/>
    <w:rsid w:val="00A2192E"/>
    <w:rsid w:val="00A21A60"/>
    <w:rsid w:val="00A21BC1"/>
    <w:rsid w:val="00A222B7"/>
    <w:rsid w:val="00A227C9"/>
    <w:rsid w:val="00A2357E"/>
    <w:rsid w:val="00A23B62"/>
    <w:rsid w:val="00A2455A"/>
    <w:rsid w:val="00A2593E"/>
    <w:rsid w:val="00A25DC5"/>
    <w:rsid w:val="00A26275"/>
    <w:rsid w:val="00A277C7"/>
    <w:rsid w:val="00A30D3A"/>
    <w:rsid w:val="00A31016"/>
    <w:rsid w:val="00A31C49"/>
    <w:rsid w:val="00A3200D"/>
    <w:rsid w:val="00A345F9"/>
    <w:rsid w:val="00A346AC"/>
    <w:rsid w:val="00A347A1"/>
    <w:rsid w:val="00A3489E"/>
    <w:rsid w:val="00A349A1"/>
    <w:rsid w:val="00A34B93"/>
    <w:rsid w:val="00A34D02"/>
    <w:rsid w:val="00A3600A"/>
    <w:rsid w:val="00A36C51"/>
    <w:rsid w:val="00A3797F"/>
    <w:rsid w:val="00A37F01"/>
    <w:rsid w:val="00A405C8"/>
    <w:rsid w:val="00A4092B"/>
    <w:rsid w:val="00A40B93"/>
    <w:rsid w:val="00A40BA1"/>
    <w:rsid w:val="00A40BA2"/>
    <w:rsid w:val="00A416AB"/>
    <w:rsid w:val="00A41E04"/>
    <w:rsid w:val="00A42BD8"/>
    <w:rsid w:val="00A42F9C"/>
    <w:rsid w:val="00A430DD"/>
    <w:rsid w:val="00A4324C"/>
    <w:rsid w:val="00A43471"/>
    <w:rsid w:val="00A438DA"/>
    <w:rsid w:val="00A43E7A"/>
    <w:rsid w:val="00A43F95"/>
    <w:rsid w:val="00A444C6"/>
    <w:rsid w:val="00A44661"/>
    <w:rsid w:val="00A44848"/>
    <w:rsid w:val="00A46BAC"/>
    <w:rsid w:val="00A47627"/>
    <w:rsid w:val="00A476C3"/>
    <w:rsid w:val="00A528DC"/>
    <w:rsid w:val="00A532DA"/>
    <w:rsid w:val="00A537D1"/>
    <w:rsid w:val="00A544C8"/>
    <w:rsid w:val="00A54C54"/>
    <w:rsid w:val="00A55FC9"/>
    <w:rsid w:val="00A561FC"/>
    <w:rsid w:val="00A578A5"/>
    <w:rsid w:val="00A60031"/>
    <w:rsid w:val="00A60394"/>
    <w:rsid w:val="00A604A4"/>
    <w:rsid w:val="00A612D3"/>
    <w:rsid w:val="00A613BD"/>
    <w:rsid w:val="00A617A8"/>
    <w:rsid w:val="00A61AC5"/>
    <w:rsid w:val="00A61D77"/>
    <w:rsid w:val="00A61F19"/>
    <w:rsid w:val="00A627AE"/>
    <w:rsid w:val="00A6286E"/>
    <w:rsid w:val="00A628D7"/>
    <w:rsid w:val="00A62D63"/>
    <w:rsid w:val="00A62DAB"/>
    <w:rsid w:val="00A62F3A"/>
    <w:rsid w:val="00A63272"/>
    <w:rsid w:val="00A632FD"/>
    <w:rsid w:val="00A63C79"/>
    <w:rsid w:val="00A64147"/>
    <w:rsid w:val="00A64405"/>
    <w:rsid w:val="00A64A11"/>
    <w:rsid w:val="00A64F6B"/>
    <w:rsid w:val="00A65842"/>
    <w:rsid w:val="00A65E0F"/>
    <w:rsid w:val="00A66412"/>
    <w:rsid w:val="00A672A6"/>
    <w:rsid w:val="00A67E57"/>
    <w:rsid w:val="00A71454"/>
    <w:rsid w:val="00A73B77"/>
    <w:rsid w:val="00A73FB2"/>
    <w:rsid w:val="00A74934"/>
    <w:rsid w:val="00A7572F"/>
    <w:rsid w:val="00A75CEE"/>
    <w:rsid w:val="00A7633C"/>
    <w:rsid w:val="00A76EBD"/>
    <w:rsid w:val="00A770E7"/>
    <w:rsid w:val="00A773E4"/>
    <w:rsid w:val="00A77847"/>
    <w:rsid w:val="00A806FD"/>
    <w:rsid w:val="00A80708"/>
    <w:rsid w:val="00A810A4"/>
    <w:rsid w:val="00A81291"/>
    <w:rsid w:val="00A82665"/>
    <w:rsid w:val="00A839E4"/>
    <w:rsid w:val="00A83CAF"/>
    <w:rsid w:val="00A842D8"/>
    <w:rsid w:val="00A8498C"/>
    <w:rsid w:val="00A856B9"/>
    <w:rsid w:val="00A859B1"/>
    <w:rsid w:val="00A86319"/>
    <w:rsid w:val="00A87B3D"/>
    <w:rsid w:val="00A90488"/>
    <w:rsid w:val="00A906DF"/>
    <w:rsid w:val="00A90FB9"/>
    <w:rsid w:val="00A91215"/>
    <w:rsid w:val="00A913D8"/>
    <w:rsid w:val="00A92054"/>
    <w:rsid w:val="00A92249"/>
    <w:rsid w:val="00A92E86"/>
    <w:rsid w:val="00A93CCB"/>
    <w:rsid w:val="00A94284"/>
    <w:rsid w:val="00A9608C"/>
    <w:rsid w:val="00A9637A"/>
    <w:rsid w:val="00A96813"/>
    <w:rsid w:val="00A974AC"/>
    <w:rsid w:val="00A97EA3"/>
    <w:rsid w:val="00AA0702"/>
    <w:rsid w:val="00AA0FE3"/>
    <w:rsid w:val="00AA26FD"/>
    <w:rsid w:val="00AA288B"/>
    <w:rsid w:val="00AA3100"/>
    <w:rsid w:val="00AA32AD"/>
    <w:rsid w:val="00AA359F"/>
    <w:rsid w:val="00AA372D"/>
    <w:rsid w:val="00AA3F77"/>
    <w:rsid w:val="00AA4564"/>
    <w:rsid w:val="00AA45CA"/>
    <w:rsid w:val="00AA4CE5"/>
    <w:rsid w:val="00AA4FC3"/>
    <w:rsid w:val="00AA56C4"/>
    <w:rsid w:val="00AA589D"/>
    <w:rsid w:val="00AA66AA"/>
    <w:rsid w:val="00AA6DF5"/>
    <w:rsid w:val="00AA6E15"/>
    <w:rsid w:val="00AA710F"/>
    <w:rsid w:val="00AA74F4"/>
    <w:rsid w:val="00AA7B8C"/>
    <w:rsid w:val="00AA7E7B"/>
    <w:rsid w:val="00AB0252"/>
    <w:rsid w:val="00AB0896"/>
    <w:rsid w:val="00AB0FF5"/>
    <w:rsid w:val="00AB182B"/>
    <w:rsid w:val="00AB1E1B"/>
    <w:rsid w:val="00AB20B3"/>
    <w:rsid w:val="00AB24E2"/>
    <w:rsid w:val="00AB2CA5"/>
    <w:rsid w:val="00AB2E67"/>
    <w:rsid w:val="00AB38AB"/>
    <w:rsid w:val="00AB391E"/>
    <w:rsid w:val="00AB3A35"/>
    <w:rsid w:val="00AB3B7A"/>
    <w:rsid w:val="00AB3C46"/>
    <w:rsid w:val="00AB4E1E"/>
    <w:rsid w:val="00AB4F9C"/>
    <w:rsid w:val="00AB53CA"/>
    <w:rsid w:val="00AB5C03"/>
    <w:rsid w:val="00AB638D"/>
    <w:rsid w:val="00AB70FF"/>
    <w:rsid w:val="00AB73CB"/>
    <w:rsid w:val="00AB7E00"/>
    <w:rsid w:val="00AC001D"/>
    <w:rsid w:val="00AC0170"/>
    <w:rsid w:val="00AC0254"/>
    <w:rsid w:val="00AC0A6B"/>
    <w:rsid w:val="00AC2154"/>
    <w:rsid w:val="00AC2366"/>
    <w:rsid w:val="00AC29D1"/>
    <w:rsid w:val="00AC3777"/>
    <w:rsid w:val="00AC3CCA"/>
    <w:rsid w:val="00AC417F"/>
    <w:rsid w:val="00AC46F6"/>
    <w:rsid w:val="00AC4942"/>
    <w:rsid w:val="00AC5296"/>
    <w:rsid w:val="00AC5551"/>
    <w:rsid w:val="00AC5AC2"/>
    <w:rsid w:val="00AC6311"/>
    <w:rsid w:val="00AC74D0"/>
    <w:rsid w:val="00AC7B49"/>
    <w:rsid w:val="00AD051E"/>
    <w:rsid w:val="00AD0B85"/>
    <w:rsid w:val="00AD162B"/>
    <w:rsid w:val="00AD17A7"/>
    <w:rsid w:val="00AD1CA6"/>
    <w:rsid w:val="00AD25F5"/>
    <w:rsid w:val="00AD2C49"/>
    <w:rsid w:val="00AD2DC2"/>
    <w:rsid w:val="00AD3068"/>
    <w:rsid w:val="00AD5C84"/>
    <w:rsid w:val="00AD620C"/>
    <w:rsid w:val="00AD68AB"/>
    <w:rsid w:val="00AD693B"/>
    <w:rsid w:val="00AD6A1C"/>
    <w:rsid w:val="00AD7B32"/>
    <w:rsid w:val="00AD7E93"/>
    <w:rsid w:val="00AE036C"/>
    <w:rsid w:val="00AE0537"/>
    <w:rsid w:val="00AE111D"/>
    <w:rsid w:val="00AE1414"/>
    <w:rsid w:val="00AE2255"/>
    <w:rsid w:val="00AE2B84"/>
    <w:rsid w:val="00AE3C60"/>
    <w:rsid w:val="00AE3D28"/>
    <w:rsid w:val="00AE3DE5"/>
    <w:rsid w:val="00AE789A"/>
    <w:rsid w:val="00AE7992"/>
    <w:rsid w:val="00AF07B5"/>
    <w:rsid w:val="00AF080D"/>
    <w:rsid w:val="00AF0D55"/>
    <w:rsid w:val="00AF0DBF"/>
    <w:rsid w:val="00AF195E"/>
    <w:rsid w:val="00AF1E01"/>
    <w:rsid w:val="00AF1F74"/>
    <w:rsid w:val="00AF23B2"/>
    <w:rsid w:val="00AF2C41"/>
    <w:rsid w:val="00AF332A"/>
    <w:rsid w:val="00AF43F8"/>
    <w:rsid w:val="00AF4C60"/>
    <w:rsid w:val="00AF4C8A"/>
    <w:rsid w:val="00AF4F97"/>
    <w:rsid w:val="00AF5CD0"/>
    <w:rsid w:val="00AF5CE9"/>
    <w:rsid w:val="00AF61E6"/>
    <w:rsid w:val="00AF6E16"/>
    <w:rsid w:val="00AF75A3"/>
    <w:rsid w:val="00B0090D"/>
    <w:rsid w:val="00B00BA3"/>
    <w:rsid w:val="00B013F2"/>
    <w:rsid w:val="00B01410"/>
    <w:rsid w:val="00B017E7"/>
    <w:rsid w:val="00B02A0B"/>
    <w:rsid w:val="00B036FC"/>
    <w:rsid w:val="00B037B2"/>
    <w:rsid w:val="00B043E3"/>
    <w:rsid w:val="00B058EC"/>
    <w:rsid w:val="00B05C5D"/>
    <w:rsid w:val="00B069FB"/>
    <w:rsid w:val="00B06CAB"/>
    <w:rsid w:val="00B07533"/>
    <w:rsid w:val="00B10829"/>
    <w:rsid w:val="00B10F80"/>
    <w:rsid w:val="00B119F8"/>
    <w:rsid w:val="00B149FE"/>
    <w:rsid w:val="00B14DB0"/>
    <w:rsid w:val="00B1527D"/>
    <w:rsid w:val="00B15A9F"/>
    <w:rsid w:val="00B15FBC"/>
    <w:rsid w:val="00B16C31"/>
    <w:rsid w:val="00B16D5F"/>
    <w:rsid w:val="00B172E3"/>
    <w:rsid w:val="00B1734F"/>
    <w:rsid w:val="00B1754C"/>
    <w:rsid w:val="00B1754F"/>
    <w:rsid w:val="00B205A5"/>
    <w:rsid w:val="00B214D8"/>
    <w:rsid w:val="00B21547"/>
    <w:rsid w:val="00B2158A"/>
    <w:rsid w:val="00B21CFA"/>
    <w:rsid w:val="00B21DEC"/>
    <w:rsid w:val="00B21FE8"/>
    <w:rsid w:val="00B233D2"/>
    <w:rsid w:val="00B23A23"/>
    <w:rsid w:val="00B249E5"/>
    <w:rsid w:val="00B26FE8"/>
    <w:rsid w:val="00B27255"/>
    <w:rsid w:val="00B30207"/>
    <w:rsid w:val="00B303DD"/>
    <w:rsid w:val="00B308B9"/>
    <w:rsid w:val="00B309A3"/>
    <w:rsid w:val="00B335FC"/>
    <w:rsid w:val="00B3394D"/>
    <w:rsid w:val="00B339E4"/>
    <w:rsid w:val="00B373FB"/>
    <w:rsid w:val="00B376CF"/>
    <w:rsid w:val="00B41184"/>
    <w:rsid w:val="00B41B26"/>
    <w:rsid w:val="00B42327"/>
    <w:rsid w:val="00B42FD0"/>
    <w:rsid w:val="00B43295"/>
    <w:rsid w:val="00B43415"/>
    <w:rsid w:val="00B436F5"/>
    <w:rsid w:val="00B4372D"/>
    <w:rsid w:val="00B43852"/>
    <w:rsid w:val="00B447A1"/>
    <w:rsid w:val="00B44FEA"/>
    <w:rsid w:val="00B45F5B"/>
    <w:rsid w:val="00B46A7F"/>
    <w:rsid w:val="00B46F34"/>
    <w:rsid w:val="00B470D3"/>
    <w:rsid w:val="00B50718"/>
    <w:rsid w:val="00B518F0"/>
    <w:rsid w:val="00B52B9E"/>
    <w:rsid w:val="00B5328F"/>
    <w:rsid w:val="00B53724"/>
    <w:rsid w:val="00B539D7"/>
    <w:rsid w:val="00B551CC"/>
    <w:rsid w:val="00B5731D"/>
    <w:rsid w:val="00B600C8"/>
    <w:rsid w:val="00B60EF5"/>
    <w:rsid w:val="00B6161E"/>
    <w:rsid w:val="00B6173A"/>
    <w:rsid w:val="00B61912"/>
    <w:rsid w:val="00B61BDE"/>
    <w:rsid w:val="00B61C1E"/>
    <w:rsid w:val="00B61FC5"/>
    <w:rsid w:val="00B62886"/>
    <w:rsid w:val="00B62D4D"/>
    <w:rsid w:val="00B63AF9"/>
    <w:rsid w:val="00B63FFD"/>
    <w:rsid w:val="00B6468E"/>
    <w:rsid w:val="00B65B2F"/>
    <w:rsid w:val="00B65D39"/>
    <w:rsid w:val="00B65EE8"/>
    <w:rsid w:val="00B65EEC"/>
    <w:rsid w:val="00B662B4"/>
    <w:rsid w:val="00B6643B"/>
    <w:rsid w:val="00B666E1"/>
    <w:rsid w:val="00B67741"/>
    <w:rsid w:val="00B70FA9"/>
    <w:rsid w:val="00B7146A"/>
    <w:rsid w:val="00B717AD"/>
    <w:rsid w:val="00B72518"/>
    <w:rsid w:val="00B73168"/>
    <w:rsid w:val="00B7384A"/>
    <w:rsid w:val="00B7398E"/>
    <w:rsid w:val="00B73D94"/>
    <w:rsid w:val="00B74E07"/>
    <w:rsid w:val="00B7534F"/>
    <w:rsid w:val="00B7539B"/>
    <w:rsid w:val="00B75A96"/>
    <w:rsid w:val="00B76080"/>
    <w:rsid w:val="00B764A8"/>
    <w:rsid w:val="00B76DDA"/>
    <w:rsid w:val="00B76E7D"/>
    <w:rsid w:val="00B819A5"/>
    <w:rsid w:val="00B82643"/>
    <w:rsid w:val="00B833D2"/>
    <w:rsid w:val="00B846A2"/>
    <w:rsid w:val="00B8486C"/>
    <w:rsid w:val="00B852ED"/>
    <w:rsid w:val="00B857C3"/>
    <w:rsid w:val="00B86042"/>
    <w:rsid w:val="00B866AC"/>
    <w:rsid w:val="00B867A3"/>
    <w:rsid w:val="00B86D51"/>
    <w:rsid w:val="00B875B2"/>
    <w:rsid w:val="00B87E3A"/>
    <w:rsid w:val="00B901A4"/>
    <w:rsid w:val="00B90D74"/>
    <w:rsid w:val="00B90EE8"/>
    <w:rsid w:val="00B90F80"/>
    <w:rsid w:val="00B91103"/>
    <w:rsid w:val="00B91C0D"/>
    <w:rsid w:val="00B9211D"/>
    <w:rsid w:val="00B9289A"/>
    <w:rsid w:val="00B92EF3"/>
    <w:rsid w:val="00B93629"/>
    <w:rsid w:val="00B937A9"/>
    <w:rsid w:val="00B94287"/>
    <w:rsid w:val="00B948D4"/>
    <w:rsid w:val="00B94960"/>
    <w:rsid w:val="00B94B84"/>
    <w:rsid w:val="00B94DE9"/>
    <w:rsid w:val="00B950AD"/>
    <w:rsid w:val="00B9581F"/>
    <w:rsid w:val="00B95F99"/>
    <w:rsid w:val="00B966E4"/>
    <w:rsid w:val="00B96C3F"/>
    <w:rsid w:val="00B97D34"/>
    <w:rsid w:val="00BA0DF5"/>
    <w:rsid w:val="00BA1153"/>
    <w:rsid w:val="00BA193D"/>
    <w:rsid w:val="00BA1D06"/>
    <w:rsid w:val="00BA22A6"/>
    <w:rsid w:val="00BA2E3C"/>
    <w:rsid w:val="00BA44E1"/>
    <w:rsid w:val="00BA45B6"/>
    <w:rsid w:val="00BA5170"/>
    <w:rsid w:val="00BA5E08"/>
    <w:rsid w:val="00BA5F75"/>
    <w:rsid w:val="00BA6994"/>
    <w:rsid w:val="00BA6B99"/>
    <w:rsid w:val="00BA7392"/>
    <w:rsid w:val="00BA73C7"/>
    <w:rsid w:val="00BB0269"/>
    <w:rsid w:val="00BB03E2"/>
    <w:rsid w:val="00BB03F6"/>
    <w:rsid w:val="00BB105A"/>
    <w:rsid w:val="00BB24BF"/>
    <w:rsid w:val="00BB3230"/>
    <w:rsid w:val="00BB3654"/>
    <w:rsid w:val="00BB3BDF"/>
    <w:rsid w:val="00BB4336"/>
    <w:rsid w:val="00BB4671"/>
    <w:rsid w:val="00BB4926"/>
    <w:rsid w:val="00BB562F"/>
    <w:rsid w:val="00BB5EEB"/>
    <w:rsid w:val="00BB77F3"/>
    <w:rsid w:val="00BB7CF4"/>
    <w:rsid w:val="00BC078C"/>
    <w:rsid w:val="00BC0B9F"/>
    <w:rsid w:val="00BC0BBD"/>
    <w:rsid w:val="00BC1C87"/>
    <w:rsid w:val="00BC2821"/>
    <w:rsid w:val="00BC2B7E"/>
    <w:rsid w:val="00BC347E"/>
    <w:rsid w:val="00BC3DEC"/>
    <w:rsid w:val="00BC4494"/>
    <w:rsid w:val="00BC67BF"/>
    <w:rsid w:val="00BC6B28"/>
    <w:rsid w:val="00BC6C04"/>
    <w:rsid w:val="00BC74D3"/>
    <w:rsid w:val="00BC794B"/>
    <w:rsid w:val="00BC7EB2"/>
    <w:rsid w:val="00BD07C1"/>
    <w:rsid w:val="00BD0A73"/>
    <w:rsid w:val="00BD1043"/>
    <w:rsid w:val="00BD1497"/>
    <w:rsid w:val="00BD15BC"/>
    <w:rsid w:val="00BD1761"/>
    <w:rsid w:val="00BD214C"/>
    <w:rsid w:val="00BD2E69"/>
    <w:rsid w:val="00BD3412"/>
    <w:rsid w:val="00BD3620"/>
    <w:rsid w:val="00BD3774"/>
    <w:rsid w:val="00BD4280"/>
    <w:rsid w:val="00BD46D4"/>
    <w:rsid w:val="00BD4F74"/>
    <w:rsid w:val="00BD511D"/>
    <w:rsid w:val="00BD52E8"/>
    <w:rsid w:val="00BD5795"/>
    <w:rsid w:val="00BD5E2C"/>
    <w:rsid w:val="00BD688B"/>
    <w:rsid w:val="00BD6CE5"/>
    <w:rsid w:val="00BD73D2"/>
    <w:rsid w:val="00BD79ED"/>
    <w:rsid w:val="00BD7B88"/>
    <w:rsid w:val="00BD7C4A"/>
    <w:rsid w:val="00BE004D"/>
    <w:rsid w:val="00BE1147"/>
    <w:rsid w:val="00BE1756"/>
    <w:rsid w:val="00BE1C45"/>
    <w:rsid w:val="00BE1CBD"/>
    <w:rsid w:val="00BE1F83"/>
    <w:rsid w:val="00BE270B"/>
    <w:rsid w:val="00BE341A"/>
    <w:rsid w:val="00BE360E"/>
    <w:rsid w:val="00BE4D1B"/>
    <w:rsid w:val="00BE5789"/>
    <w:rsid w:val="00BE5961"/>
    <w:rsid w:val="00BE6898"/>
    <w:rsid w:val="00BE7231"/>
    <w:rsid w:val="00BE75DC"/>
    <w:rsid w:val="00BE7772"/>
    <w:rsid w:val="00BE7A13"/>
    <w:rsid w:val="00BF0C54"/>
    <w:rsid w:val="00BF1136"/>
    <w:rsid w:val="00BF1CB7"/>
    <w:rsid w:val="00BF2351"/>
    <w:rsid w:val="00BF3243"/>
    <w:rsid w:val="00BF32C3"/>
    <w:rsid w:val="00BF33C9"/>
    <w:rsid w:val="00BF3D2F"/>
    <w:rsid w:val="00BF3F7F"/>
    <w:rsid w:val="00BF440B"/>
    <w:rsid w:val="00BF46C2"/>
    <w:rsid w:val="00BF4864"/>
    <w:rsid w:val="00BF49B8"/>
    <w:rsid w:val="00BF4A35"/>
    <w:rsid w:val="00BF4AAA"/>
    <w:rsid w:val="00BF4CEF"/>
    <w:rsid w:val="00BF55E6"/>
    <w:rsid w:val="00BF6C2C"/>
    <w:rsid w:val="00BF711E"/>
    <w:rsid w:val="00BF72CB"/>
    <w:rsid w:val="00BF761C"/>
    <w:rsid w:val="00BF775B"/>
    <w:rsid w:val="00C000F7"/>
    <w:rsid w:val="00C00D6B"/>
    <w:rsid w:val="00C01854"/>
    <w:rsid w:val="00C01FF6"/>
    <w:rsid w:val="00C02299"/>
    <w:rsid w:val="00C023E7"/>
    <w:rsid w:val="00C025F9"/>
    <w:rsid w:val="00C028E9"/>
    <w:rsid w:val="00C02B60"/>
    <w:rsid w:val="00C0326E"/>
    <w:rsid w:val="00C04998"/>
    <w:rsid w:val="00C050EE"/>
    <w:rsid w:val="00C06526"/>
    <w:rsid w:val="00C06605"/>
    <w:rsid w:val="00C06F7D"/>
    <w:rsid w:val="00C072E5"/>
    <w:rsid w:val="00C07345"/>
    <w:rsid w:val="00C076A4"/>
    <w:rsid w:val="00C10319"/>
    <w:rsid w:val="00C107C8"/>
    <w:rsid w:val="00C11887"/>
    <w:rsid w:val="00C11CDF"/>
    <w:rsid w:val="00C11EF9"/>
    <w:rsid w:val="00C1234E"/>
    <w:rsid w:val="00C12906"/>
    <w:rsid w:val="00C129DF"/>
    <w:rsid w:val="00C14776"/>
    <w:rsid w:val="00C15E9B"/>
    <w:rsid w:val="00C167A3"/>
    <w:rsid w:val="00C16E96"/>
    <w:rsid w:val="00C17024"/>
    <w:rsid w:val="00C173B6"/>
    <w:rsid w:val="00C17A62"/>
    <w:rsid w:val="00C17B2D"/>
    <w:rsid w:val="00C200A1"/>
    <w:rsid w:val="00C20293"/>
    <w:rsid w:val="00C205BE"/>
    <w:rsid w:val="00C20610"/>
    <w:rsid w:val="00C20FB1"/>
    <w:rsid w:val="00C215CE"/>
    <w:rsid w:val="00C21F87"/>
    <w:rsid w:val="00C22751"/>
    <w:rsid w:val="00C23350"/>
    <w:rsid w:val="00C23696"/>
    <w:rsid w:val="00C238A0"/>
    <w:rsid w:val="00C245E0"/>
    <w:rsid w:val="00C247DE"/>
    <w:rsid w:val="00C24E08"/>
    <w:rsid w:val="00C25B92"/>
    <w:rsid w:val="00C2696D"/>
    <w:rsid w:val="00C26C90"/>
    <w:rsid w:val="00C26DF1"/>
    <w:rsid w:val="00C2731E"/>
    <w:rsid w:val="00C2746F"/>
    <w:rsid w:val="00C274A8"/>
    <w:rsid w:val="00C30DA6"/>
    <w:rsid w:val="00C30FF3"/>
    <w:rsid w:val="00C322D9"/>
    <w:rsid w:val="00C3237F"/>
    <w:rsid w:val="00C3278D"/>
    <w:rsid w:val="00C3283C"/>
    <w:rsid w:val="00C32B35"/>
    <w:rsid w:val="00C33153"/>
    <w:rsid w:val="00C33B4B"/>
    <w:rsid w:val="00C3531B"/>
    <w:rsid w:val="00C35CA8"/>
    <w:rsid w:val="00C35FB8"/>
    <w:rsid w:val="00C3631C"/>
    <w:rsid w:val="00C363BD"/>
    <w:rsid w:val="00C363CC"/>
    <w:rsid w:val="00C36AE2"/>
    <w:rsid w:val="00C36BB7"/>
    <w:rsid w:val="00C36C60"/>
    <w:rsid w:val="00C402C9"/>
    <w:rsid w:val="00C40B62"/>
    <w:rsid w:val="00C41E66"/>
    <w:rsid w:val="00C41EC7"/>
    <w:rsid w:val="00C41F9A"/>
    <w:rsid w:val="00C4200D"/>
    <w:rsid w:val="00C4207D"/>
    <w:rsid w:val="00C420D9"/>
    <w:rsid w:val="00C429E6"/>
    <w:rsid w:val="00C43A05"/>
    <w:rsid w:val="00C444F4"/>
    <w:rsid w:val="00C44C3B"/>
    <w:rsid w:val="00C44F0F"/>
    <w:rsid w:val="00C45183"/>
    <w:rsid w:val="00C46314"/>
    <w:rsid w:val="00C471CF"/>
    <w:rsid w:val="00C50396"/>
    <w:rsid w:val="00C5091D"/>
    <w:rsid w:val="00C52378"/>
    <w:rsid w:val="00C53539"/>
    <w:rsid w:val="00C539C6"/>
    <w:rsid w:val="00C53A30"/>
    <w:rsid w:val="00C541C0"/>
    <w:rsid w:val="00C55849"/>
    <w:rsid w:val="00C55C55"/>
    <w:rsid w:val="00C55E31"/>
    <w:rsid w:val="00C55EE4"/>
    <w:rsid w:val="00C55F2A"/>
    <w:rsid w:val="00C56A5D"/>
    <w:rsid w:val="00C56C01"/>
    <w:rsid w:val="00C57D41"/>
    <w:rsid w:val="00C600A6"/>
    <w:rsid w:val="00C6032B"/>
    <w:rsid w:val="00C61413"/>
    <w:rsid w:val="00C618F1"/>
    <w:rsid w:val="00C61E8A"/>
    <w:rsid w:val="00C61E9B"/>
    <w:rsid w:val="00C62772"/>
    <w:rsid w:val="00C632F6"/>
    <w:rsid w:val="00C63E26"/>
    <w:rsid w:val="00C63ECA"/>
    <w:rsid w:val="00C65059"/>
    <w:rsid w:val="00C6521F"/>
    <w:rsid w:val="00C659DB"/>
    <w:rsid w:val="00C65FAE"/>
    <w:rsid w:val="00C66665"/>
    <w:rsid w:val="00C66B8E"/>
    <w:rsid w:val="00C70378"/>
    <w:rsid w:val="00C70972"/>
    <w:rsid w:val="00C71EEC"/>
    <w:rsid w:val="00C72176"/>
    <w:rsid w:val="00C725A7"/>
    <w:rsid w:val="00C72B51"/>
    <w:rsid w:val="00C7322F"/>
    <w:rsid w:val="00C73A11"/>
    <w:rsid w:val="00C73F5F"/>
    <w:rsid w:val="00C750B4"/>
    <w:rsid w:val="00C750FA"/>
    <w:rsid w:val="00C75387"/>
    <w:rsid w:val="00C753A9"/>
    <w:rsid w:val="00C75A65"/>
    <w:rsid w:val="00C760A0"/>
    <w:rsid w:val="00C76898"/>
    <w:rsid w:val="00C76AF0"/>
    <w:rsid w:val="00C76B36"/>
    <w:rsid w:val="00C76F4E"/>
    <w:rsid w:val="00C77256"/>
    <w:rsid w:val="00C802BF"/>
    <w:rsid w:val="00C80BFA"/>
    <w:rsid w:val="00C819DC"/>
    <w:rsid w:val="00C81DF8"/>
    <w:rsid w:val="00C833EA"/>
    <w:rsid w:val="00C8380F"/>
    <w:rsid w:val="00C83C57"/>
    <w:rsid w:val="00C84566"/>
    <w:rsid w:val="00C848D6"/>
    <w:rsid w:val="00C84AFD"/>
    <w:rsid w:val="00C84D91"/>
    <w:rsid w:val="00C84DC0"/>
    <w:rsid w:val="00C84EFC"/>
    <w:rsid w:val="00C859B6"/>
    <w:rsid w:val="00C86C19"/>
    <w:rsid w:val="00C87638"/>
    <w:rsid w:val="00C87ED6"/>
    <w:rsid w:val="00C90325"/>
    <w:rsid w:val="00C90ADF"/>
    <w:rsid w:val="00C91B76"/>
    <w:rsid w:val="00C92574"/>
    <w:rsid w:val="00C94377"/>
    <w:rsid w:val="00C94B30"/>
    <w:rsid w:val="00C94C88"/>
    <w:rsid w:val="00C94E36"/>
    <w:rsid w:val="00C979FF"/>
    <w:rsid w:val="00C97CFB"/>
    <w:rsid w:val="00CA065E"/>
    <w:rsid w:val="00CA1034"/>
    <w:rsid w:val="00CA1615"/>
    <w:rsid w:val="00CA1BDD"/>
    <w:rsid w:val="00CA2204"/>
    <w:rsid w:val="00CA2C34"/>
    <w:rsid w:val="00CA2C9E"/>
    <w:rsid w:val="00CA300C"/>
    <w:rsid w:val="00CA364F"/>
    <w:rsid w:val="00CA36D1"/>
    <w:rsid w:val="00CA39DF"/>
    <w:rsid w:val="00CA40B3"/>
    <w:rsid w:val="00CA53AA"/>
    <w:rsid w:val="00CA5425"/>
    <w:rsid w:val="00CA562A"/>
    <w:rsid w:val="00CA5715"/>
    <w:rsid w:val="00CA590C"/>
    <w:rsid w:val="00CA6010"/>
    <w:rsid w:val="00CA6615"/>
    <w:rsid w:val="00CA67A5"/>
    <w:rsid w:val="00CA6845"/>
    <w:rsid w:val="00CA6999"/>
    <w:rsid w:val="00CA6B0D"/>
    <w:rsid w:val="00CA72C3"/>
    <w:rsid w:val="00CA754E"/>
    <w:rsid w:val="00CA7E9D"/>
    <w:rsid w:val="00CB0331"/>
    <w:rsid w:val="00CB08C4"/>
    <w:rsid w:val="00CB0E33"/>
    <w:rsid w:val="00CB0F30"/>
    <w:rsid w:val="00CB1C0E"/>
    <w:rsid w:val="00CB1D08"/>
    <w:rsid w:val="00CB2E68"/>
    <w:rsid w:val="00CB3985"/>
    <w:rsid w:val="00CB3E98"/>
    <w:rsid w:val="00CB424E"/>
    <w:rsid w:val="00CB4A8E"/>
    <w:rsid w:val="00CB4F54"/>
    <w:rsid w:val="00CB531C"/>
    <w:rsid w:val="00CB5651"/>
    <w:rsid w:val="00CB6176"/>
    <w:rsid w:val="00CB65C5"/>
    <w:rsid w:val="00CB6BEF"/>
    <w:rsid w:val="00CB73DD"/>
    <w:rsid w:val="00CB760E"/>
    <w:rsid w:val="00CC16CF"/>
    <w:rsid w:val="00CC187B"/>
    <w:rsid w:val="00CC1F26"/>
    <w:rsid w:val="00CC2475"/>
    <w:rsid w:val="00CC294E"/>
    <w:rsid w:val="00CC2F12"/>
    <w:rsid w:val="00CC3344"/>
    <w:rsid w:val="00CC504F"/>
    <w:rsid w:val="00CC5370"/>
    <w:rsid w:val="00CC6F13"/>
    <w:rsid w:val="00CC754D"/>
    <w:rsid w:val="00CC7CA4"/>
    <w:rsid w:val="00CC7CE8"/>
    <w:rsid w:val="00CD0263"/>
    <w:rsid w:val="00CD02CD"/>
    <w:rsid w:val="00CD0450"/>
    <w:rsid w:val="00CD0895"/>
    <w:rsid w:val="00CD0BF7"/>
    <w:rsid w:val="00CD13E6"/>
    <w:rsid w:val="00CD1AB6"/>
    <w:rsid w:val="00CD246D"/>
    <w:rsid w:val="00CD27C2"/>
    <w:rsid w:val="00CD2870"/>
    <w:rsid w:val="00CD387C"/>
    <w:rsid w:val="00CD43E0"/>
    <w:rsid w:val="00CD4A12"/>
    <w:rsid w:val="00CD66D9"/>
    <w:rsid w:val="00CD7086"/>
    <w:rsid w:val="00CD747D"/>
    <w:rsid w:val="00CD753A"/>
    <w:rsid w:val="00CD799E"/>
    <w:rsid w:val="00CD7DB4"/>
    <w:rsid w:val="00CE0012"/>
    <w:rsid w:val="00CE0437"/>
    <w:rsid w:val="00CE0B10"/>
    <w:rsid w:val="00CE1861"/>
    <w:rsid w:val="00CE1D88"/>
    <w:rsid w:val="00CE2890"/>
    <w:rsid w:val="00CE2B23"/>
    <w:rsid w:val="00CE37EE"/>
    <w:rsid w:val="00CE3F4C"/>
    <w:rsid w:val="00CE3FD6"/>
    <w:rsid w:val="00CE4AD0"/>
    <w:rsid w:val="00CE4FD1"/>
    <w:rsid w:val="00CE5234"/>
    <w:rsid w:val="00CE565D"/>
    <w:rsid w:val="00CE635B"/>
    <w:rsid w:val="00CE7150"/>
    <w:rsid w:val="00CE74CD"/>
    <w:rsid w:val="00CE7990"/>
    <w:rsid w:val="00CE7DDD"/>
    <w:rsid w:val="00CE7E0C"/>
    <w:rsid w:val="00CF01C8"/>
    <w:rsid w:val="00CF0470"/>
    <w:rsid w:val="00CF0FF4"/>
    <w:rsid w:val="00CF12F0"/>
    <w:rsid w:val="00CF1491"/>
    <w:rsid w:val="00CF1768"/>
    <w:rsid w:val="00CF20C3"/>
    <w:rsid w:val="00CF2DCF"/>
    <w:rsid w:val="00CF3164"/>
    <w:rsid w:val="00CF39FB"/>
    <w:rsid w:val="00CF3D93"/>
    <w:rsid w:val="00CF4FD5"/>
    <w:rsid w:val="00CF5553"/>
    <w:rsid w:val="00CF556E"/>
    <w:rsid w:val="00CF5AE5"/>
    <w:rsid w:val="00CF5F9E"/>
    <w:rsid w:val="00CF6016"/>
    <w:rsid w:val="00CF6339"/>
    <w:rsid w:val="00CF64B9"/>
    <w:rsid w:val="00CF6B90"/>
    <w:rsid w:val="00CF7185"/>
    <w:rsid w:val="00CF7B0D"/>
    <w:rsid w:val="00D002BB"/>
    <w:rsid w:val="00D00398"/>
    <w:rsid w:val="00D005C3"/>
    <w:rsid w:val="00D00CD3"/>
    <w:rsid w:val="00D0120A"/>
    <w:rsid w:val="00D01975"/>
    <w:rsid w:val="00D01A83"/>
    <w:rsid w:val="00D02795"/>
    <w:rsid w:val="00D02CAD"/>
    <w:rsid w:val="00D02E89"/>
    <w:rsid w:val="00D02EB8"/>
    <w:rsid w:val="00D031DE"/>
    <w:rsid w:val="00D0358E"/>
    <w:rsid w:val="00D036C4"/>
    <w:rsid w:val="00D04071"/>
    <w:rsid w:val="00D04E83"/>
    <w:rsid w:val="00D056DF"/>
    <w:rsid w:val="00D06315"/>
    <w:rsid w:val="00D077C8"/>
    <w:rsid w:val="00D07FF8"/>
    <w:rsid w:val="00D10FBB"/>
    <w:rsid w:val="00D113D9"/>
    <w:rsid w:val="00D117EA"/>
    <w:rsid w:val="00D119EB"/>
    <w:rsid w:val="00D12F06"/>
    <w:rsid w:val="00D1396A"/>
    <w:rsid w:val="00D13A5F"/>
    <w:rsid w:val="00D13E7F"/>
    <w:rsid w:val="00D1496B"/>
    <w:rsid w:val="00D14A11"/>
    <w:rsid w:val="00D15F77"/>
    <w:rsid w:val="00D16F19"/>
    <w:rsid w:val="00D174AE"/>
    <w:rsid w:val="00D2027F"/>
    <w:rsid w:val="00D214C3"/>
    <w:rsid w:val="00D218F0"/>
    <w:rsid w:val="00D2254F"/>
    <w:rsid w:val="00D22AC3"/>
    <w:rsid w:val="00D2357B"/>
    <w:rsid w:val="00D243AF"/>
    <w:rsid w:val="00D25219"/>
    <w:rsid w:val="00D25F11"/>
    <w:rsid w:val="00D26C59"/>
    <w:rsid w:val="00D273F2"/>
    <w:rsid w:val="00D2755A"/>
    <w:rsid w:val="00D2768A"/>
    <w:rsid w:val="00D279EF"/>
    <w:rsid w:val="00D27CBC"/>
    <w:rsid w:val="00D30517"/>
    <w:rsid w:val="00D30A6A"/>
    <w:rsid w:val="00D32A0B"/>
    <w:rsid w:val="00D3355D"/>
    <w:rsid w:val="00D337E2"/>
    <w:rsid w:val="00D33A9A"/>
    <w:rsid w:val="00D3562E"/>
    <w:rsid w:val="00D35F6E"/>
    <w:rsid w:val="00D3637D"/>
    <w:rsid w:val="00D366D0"/>
    <w:rsid w:val="00D36D3C"/>
    <w:rsid w:val="00D37622"/>
    <w:rsid w:val="00D409E3"/>
    <w:rsid w:val="00D40E5A"/>
    <w:rsid w:val="00D4161A"/>
    <w:rsid w:val="00D429D7"/>
    <w:rsid w:val="00D42BE6"/>
    <w:rsid w:val="00D43274"/>
    <w:rsid w:val="00D4483F"/>
    <w:rsid w:val="00D456FB"/>
    <w:rsid w:val="00D465AD"/>
    <w:rsid w:val="00D47F9A"/>
    <w:rsid w:val="00D5033A"/>
    <w:rsid w:val="00D50368"/>
    <w:rsid w:val="00D5069E"/>
    <w:rsid w:val="00D50B3B"/>
    <w:rsid w:val="00D50E7F"/>
    <w:rsid w:val="00D51572"/>
    <w:rsid w:val="00D51D54"/>
    <w:rsid w:val="00D51E9A"/>
    <w:rsid w:val="00D51F70"/>
    <w:rsid w:val="00D52EAC"/>
    <w:rsid w:val="00D53FDD"/>
    <w:rsid w:val="00D55CFC"/>
    <w:rsid w:val="00D56CDE"/>
    <w:rsid w:val="00D56FC2"/>
    <w:rsid w:val="00D56FE8"/>
    <w:rsid w:val="00D5712A"/>
    <w:rsid w:val="00D575F1"/>
    <w:rsid w:val="00D57EFE"/>
    <w:rsid w:val="00D6051B"/>
    <w:rsid w:val="00D6069D"/>
    <w:rsid w:val="00D60E88"/>
    <w:rsid w:val="00D61BC9"/>
    <w:rsid w:val="00D61BF3"/>
    <w:rsid w:val="00D61C06"/>
    <w:rsid w:val="00D61F89"/>
    <w:rsid w:val="00D62086"/>
    <w:rsid w:val="00D623ED"/>
    <w:rsid w:val="00D64255"/>
    <w:rsid w:val="00D6433C"/>
    <w:rsid w:val="00D647BA"/>
    <w:rsid w:val="00D64CEB"/>
    <w:rsid w:val="00D65D56"/>
    <w:rsid w:val="00D666F8"/>
    <w:rsid w:val="00D668EA"/>
    <w:rsid w:val="00D671AD"/>
    <w:rsid w:val="00D67D09"/>
    <w:rsid w:val="00D67F79"/>
    <w:rsid w:val="00D70C7F"/>
    <w:rsid w:val="00D71069"/>
    <w:rsid w:val="00D722DC"/>
    <w:rsid w:val="00D73A40"/>
    <w:rsid w:val="00D73B33"/>
    <w:rsid w:val="00D741C0"/>
    <w:rsid w:val="00D74CCD"/>
    <w:rsid w:val="00D754CF"/>
    <w:rsid w:val="00D75B88"/>
    <w:rsid w:val="00D75D22"/>
    <w:rsid w:val="00D76D83"/>
    <w:rsid w:val="00D7762E"/>
    <w:rsid w:val="00D77707"/>
    <w:rsid w:val="00D807C3"/>
    <w:rsid w:val="00D81499"/>
    <w:rsid w:val="00D817AC"/>
    <w:rsid w:val="00D81C2D"/>
    <w:rsid w:val="00D832FE"/>
    <w:rsid w:val="00D8331A"/>
    <w:rsid w:val="00D83853"/>
    <w:rsid w:val="00D83BD1"/>
    <w:rsid w:val="00D83FBE"/>
    <w:rsid w:val="00D84429"/>
    <w:rsid w:val="00D85041"/>
    <w:rsid w:val="00D86689"/>
    <w:rsid w:val="00D868D9"/>
    <w:rsid w:val="00D86ACC"/>
    <w:rsid w:val="00D876A1"/>
    <w:rsid w:val="00D87793"/>
    <w:rsid w:val="00D90F91"/>
    <w:rsid w:val="00D91BF1"/>
    <w:rsid w:val="00D91E7C"/>
    <w:rsid w:val="00D9232A"/>
    <w:rsid w:val="00D9257E"/>
    <w:rsid w:val="00D928F5"/>
    <w:rsid w:val="00D92CCC"/>
    <w:rsid w:val="00D93572"/>
    <w:rsid w:val="00D93AEE"/>
    <w:rsid w:val="00D93FF3"/>
    <w:rsid w:val="00D94AEB"/>
    <w:rsid w:val="00D94D9A"/>
    <w:rsid w:val="00D94FC3"/>
    <w:rsid w:val="00D96086"/>
    <w:rsid w:val="00D96EFF"/>
    <w:rsid w:val="00D96F2E"/>
    <w:rsid w:val="00D97393"/>
    <w:rsid w:val="00D973B1"/>
    <w:rsid w:val="00D97CC0"/>
    <w:rsid w:val="00D97CD2"/>
    <w:rsid w:val="00DA04DD"/>
    <w:rsid w:val="00DA07BD"/>
    <w:rsid w:val="00DA1672"/>
    <w:rsid w:val="00DA1AE5"/>
    <w:rsid w:val="00DA2598"/>
    <w:rsid w:val="00DA2754"/>
    <w:rsid w:val="00DA3889"/>
    <w:rsid w:val="00DA4081"/>
    <w:rsid w:val="00DA40AE"/>
    <w:rsid w:val="00DA4241"/>
    <w:rsid w:val="00DA467A"/>
    <w:rsid w:val="00DA4D43"/>
    <w:rsid w:val="00DA4D7A"/>
    <w:rsid w:val="00DA5282"/>
    <w:rsid w:val="00DA56CF"/>
    <w:rsid w:val="00DA6F8E"/>
    <w:rsid w:val="00DB1804"/>
    <w:rsid w:val="00DB1AEA"/>
    <w:rsid w:val="00DB20D1"/>
    <w:rsid w:val="00DB20F1"/>
    <w:rsid w:val="00DB3401"/>
    <w:rsid w:val="00DB3767"/>
    <w:rsid w:val="00DB4437"/>
    <w:rsid w:val="00DB45DC"/>
    <w:rsid w:val="00DB4A95"/>
    <w:rsid w:val="00DB4AE3"/>
    <w:rsid w:val="00DB64CA"/>
    <w:rsid w:val="00DB6EE7"/>
    <w:rsid w:val="00DB7216"/>
    <w:rsid w:val="00DB7C27"/>
    <w:rsid w:val="00DB7DED"/>
    <w:rsid w:val="00DC0532"/>
    <w:rsid w:val="00DC0590"/>
    <w:rsid w:val="00DC130D"/>
    <w:rsid w:val="00DC140E"/>
    <w:rsid w:val="00DC14F9"/>
    <w:rsid w:val="00DC1B1E"/>
    <w:rsid w:val="00DC1FA1"/>
    <w:rsid w:val="00DC24F0"/>
    <w:rsid w:val="00DC2A97"/>
    <w:rsid w:val="00DC2CB7"/>
    <w:rsid w:val="00DC4172"/>
    <w:rsid w:val="00DC418C"/>
    <w:rsid w:val="00DC4F6F"/>
    <w:rsid w:val="00DC59F8"/>
    <w:rsid w:val="00DC61EE"/>
    <w:rsid w:val="00DC6B7A"/>
    <w:rsid w:val="00DC72C3"/>
    <w:rsid w:val="00DC77BC"/>
    <w:rsid w:val="00DD01E8"/>
    <w:rsid w:val="00DD04C9"/>
    <w:rsid w:val="00DD1AE9"/>
    <w:rsid w:val="00DD25CA"/>
    <w:rsid w:val="00DD2997"/>
    <w:rsid w:val="00DD2CD6"/>
    <w:rsid w:val="00DD30BF"/>
    <w:rsid w:val="00DD31B1"/>
    <w:rsid w:val="00DD37E9"/>
    <w:rsid w:val="00DD3B78"/>
    <w:rsid w:val="00DD433F"/>
    <w:rsid w:val="00DD48F9"/>
    <w:rsid w:val="00DD5101"/>
    <w:rsid w:val="00DD5280"/>
    <w:rsid w:val="00DD58EC"/>
    <w:rsid w:val="00DD5C62"/>
    <w:rsid w:val="00DD6CA7"/>
    <w:rsid w:val="00DD6FA4"/>
    <w:rsid w:val="00DD7D85"/>
    <w:rsid w:val="00DE05C5"/>
    <w:rsid w:val="00DE0ABA"/>
    <w:rsid w:val="00DE13CA"/>
    <w:rsid w:val="00DE1ECF"/>
    <w:rsid w:val="00DE20A4"/>
    <w:rsid w:val="00DE20C2"/>
    <w:rsid w:val="00DE2269"/>
    <w:rsid w:val="00DE27B1"/>
    <w:rsid w:val="00DE2B79"/>
    <w:rsid w:val="00DE2E53"/>
    <w:rsid w:val="00DE3FA3"/>
    <w:rsid w:val="00DE4044"/>
    <w:rsid w:val="00DE49F0"/>
    <w:rsid w:val="00DE4D59"/>
    <w:rsid w:val="00DE52D6"/>
    <w:rsid w:val="00DE5AB1"/>
    <w:rsid w:val="00DE6233"/>
    <w:rsid w:val="00DE64FC"/>
    <w:rsid w:val="00DE714E"/>
    <w:rsid w:val="00DE7EB8"/>
    <w:rsid w:val="00DE7F95"/>
    <w:rsid w:val="00DF03E3"/>
    <w:rsid w:val="00DF0C8E"/>
    <w:rsid w:val="00DF0D4A"/>
    <w:rsid w:val="00DF1279"/>
    <w:rsid w:val="00DF1634"/>
    <w:rsid w:val="00DF2401"/>
    <w:rsid w:val="00DF3E6A"/>
    <w:rsid w:val="00DF411C"/>
    <w:rsid w:val="00DF4AE8"/>
    <w:rsid w:val="00DF4AF5"/>
    <w:rsid w:val="00DF4B50"/>
    <w:rsid w:val="00DF4DB5"/>
    <w:rsid w:val="00DF50C0"/>
    <w:rsid w:val="00DF51EE"/>
    <w:rsid w:val="00DF563D"/>
    <w:rsid w:val="00DF627D"/>
    <w:rsid w:val="00DF677E"/>
    <w:rsid w:val="00DF6A9F"/>
    <w:rsid w:val="00DF6B0B"/>
    <w:rsid w:val="00DF6E9A"/>
    <w:rsid w:val="00DF6EAC"/>
    <w:rsid w:val="00DF74D7"/>
    <w:rsid w:val="00E00698"/>
    <w:rsid w:val="00E00C7D"/>
    <w:rsid w:val="00E01BE0"/>
    <w:rsid w:val="00E01D6F"/>
    <w:rsid w:val="00E02456"/>
    <w:rsid w:val="00E02DDB"/>
    <w:rsid w:val="00E02E6E"/>
    <w:rsid w:val="00E033A2"/>
    <w:rsid w:val="00E03E6D"/>
    <w:rsid w:val="00E04775"/>
    <w:rsid w:val="00E066BC"/>
    <w:rsid w:val="00E07C9B"/>
    <w:rsid w:val="00E1099A"/>
    <w:rsid w:val="00E10A6D"/>
    <w:rsid w:val="00E11AA0"/>
    <w:rsid w:val="00E12EB9"/>
    <w:rsid w:val="00E1405A"/>
    <w:rsid w:val="00E14EDC"/>
    <w:rsid w:val="00E15BF3"/>
    <w:rsid w:val="00E16C85"/>
    <w:rsid w:val="00E173E3"/>
    <w:rsid w:val="00E17843"/>
    <w:rsid w:val="00E201DB"/>
    <w:rsid w:val="00E2039C"/>
    <w:rsid w:val="00E21015"/>
    <w:rsid w:val="00E21076"/>
    <w:rsid w:val="00E2151B"/>
    <w:rsid w:val="00E215CF"/>
    <w:rsid w:val="00E2160E"/>
    <w:rsid w:val="00E21CB1"/>
    <w:rsid w:val="00E21FD1"/>
    <w:rsid w:val="00E22138"/>
    <w:rsid w:val="00E2263E"/>
    <w:rsid w:val="00E226E5"/>
    <w:rsid w:val="00E23149"/>
    <w:rsid w:val="00E23418"/>
    <w:rsid w:val="00E23598"/>
    <w:rsid w:val="00E23F49"/>
    <w:rsid w:val="00E23F7B"/>
    <w:rsid w:val="00E2479E"/>
    <w:rsid w:val="00E25A68"/>
    <w:rsid w:val="00E25DD8"/>
    <w:rsid w:val="00E25F5C"/>
    <w:rsid w:val="00E261F9"/>
    <w:rsid w:val="00E26522"/>
    <w:rsid w:val="00E277A9"/>
    <w:rsid w:val="00E3015D"/>
    <w:rsid w:val="00E307DA"/>
    <w:rsid w:val="00E31090"/>
    <w:rsid w:val="00E31223"/>
    <w:rsid w:val="00E31347"/>
    <w:rsid w:val="00E3299F"/>
    <w:rsid w:val="00E33030"/>
    <w:rsid w:val="00E35BD9"/>
    <w:rsid w:val="00E35C6E"/>
    <w:rsid w:val="00E367CF"/>
    <w:rsid w:val="00E375A7"/>
    <w:rsid w:val="00E37E36"/>
    <w:rsid w:val="00E40649"/>
    <w:rsid w:val="00E41614"/>
    <w:rsid w:val="00E4166F"/>
    <w:rsid w:val="00E418BE"/>
    <w:rsid w:val="00E41A48"/>
    <w:rsid w:val="00E41E62"/>
    <w:rsid w:val="00E4283B"/>
    <w:rsid w:val="00E42888"/>
    <w:rsid w:val="00E428F0"/>
    <w:rsid w:val="00E42ADB"/>
    <w:rsid w:val="00E43B7C"/>
    <w:rsid w:val="00E43E6D"/>
    <w:rsid w:val="00E4417B"/>
    <w:rsid w:val="00E4499B"/>
    <w:rsid w:val="00E45037"/>
    <w:rsid w:val="00E45B50"/>
    <w:rsid w:val="00E4601E"/>
    <w:rsid w:val="00E461C2"/>
    <w:rsid w:val="00E463B4"/>
    <w:rsid w:val="00E47244"/>
    <w:rsid w:val="00E47DA8"/>
    <w:rsid w:val="00E47F66"/>
    <w:rsid w:val="00E51EAE"/>
    <w:rsid w:val="00E52187"/>
    <w:rsid w:val="00E53858"/>
    <w:rsid w:val="00E54E5D"/>
    <w:rsid w:val="00E564D5"/>
    <w:rsid w:val="00E56F07"/>
    <w:rsid w:val="00E56F4F"/>
    <w:rsid w:val="00E57BD7"/>
    <w:rsid w:val="00E600B6"/>
    <w:rsid w:val="00E60F53"/>
    <w:rsid w:val="00E610A8"/>
    <w:rsid w:val="00E612D8"/>
    <w:rsid w:val="00E61BD3"/>
    <w:rsid w:val="00E62309"/>
    <w:rsid w:val="00E62ABB"/>
    <w:rsid w:val="00E62E69"/>
    <w:rsid w:val="00E63284"/>
    <w:rsid w:val="00E6345E"/>
    <w:rsid w:val="00E63938"/>
    <w:rsid w:val="00E63D69"/>
    <w:rsid w:val="00E652E0"/>
    <w:rsid w:val="00E656D6"/>
    <w:rsid w:val="00E65FEF"/>
    <w:rsid w:val="00E6619C"/>
    <w:rsid w:val="00E66878"/>
    <w:rsid w:val="00E70EDE"/>
    <w:rsid w:val="00E710C8"/>
    <w:rsid w:val="00E71E9D"/>
    <w:rsid w:val="00E71EFF"/>
    <w:rsid w:val="00E71F5D"/>
    <w:rsid w:val="00E72228"/>
    <w:rsid w:val="00E72924"/>
    <w:rsid w:val="00E738FF"/>
    <w:rsid w:val="00E739E0"/>
    <w:rsid w:val="00E74940"/>
    <w:rsid w:val="00E7588E"/>
    <w:rsid w:val="00E766BB"/>
    <w:rsid w:val="00E76732"/>
    <w:rsid w:val="00E76965"/>
    <w:rsid w:val="00E7729D"/>
    <w:rsid w:val="00E77615"/>
    <w:rsid w:val="00E77EC2"/>
    <w:rsid w:val="00E80DB1"/>
    <w:rsid w:val="00E81010"/>
    <w:rsid w:val="00E81CB6"/>
    <w:rsid w:val="00E82759"/>
    <w:rsid w:val="00E83208"/>
    <w:rsid w:val="00E8357E"/>
    <w:rsid w:val="00E838BD"/>
    <w:rsid w:val="00E83C4C"/>
    <w:rsid w:val="00E84021"/>
    <w:rsid w:val="00E8426E"/>
    <w:rsid w:val="00E84776"/>
    <w:rsid w:val="00E84DCD"/>
    <w:rsid w:val="00E85BC9"/>
    <w:rsid w:val="00E86618"/>
    <w:rsid w:val="00E875AC"/>
    <w:rsid w:val="00E875EB"/>
    <w:rsid w:val="00E875EF"/>
    <w:rsid w:val="00E87A60"/>
    <w:rsid w:val="00E90036"/>
    <w:rsid w:val="00E903D9"/>
    <w:rsid w:val="00E906F2"/>
    <w:rsid w:val="00E90D61"/>
    <w:rsid w:val="00E9105F"/>
    <w:rsid w:val="00E912E7"/>
    <w:rsid w:val="00E91A87"/>
    <w:rsid w:val="00E9281C"/>
    <w:rsid w:val="00E92EE4"/>
    <w:rsid w:val="00E93678"/>
    <w:rsid w:val="00E93F9C"/>
    <w:rsid w:val="00E94848"/>
    <w:rsid w:val="00E95492"/>
    <w:rsid w:val="00E95FAA"/>
    <w:rsid w:val="00E968E3"/>
    <w:rsid w:val="00E97F73"/>
    <w:rsid w:val="00EA02B4"/>
    <w:rsid w:val="00EA075F"/>
    <w:rsid w:val="00EA0A01"/>
    <w:rsid w:val="00EA1DD7"/>
    <w:rsid w:val="00EA3334"/>
    <w:rsid w:val="00EA35D1"/>
    <w:rsid w:val="00EA36BC"/>
    <w:rsid w:val="00EA3838"/>
    <w:rsid w:val="00EA41FA"/>
    <w:rsid w:val="00EA4306"/>
    <w:rsid w:val="00EA45D7"/>
    <w:rsid w:val="00EA4E04"/>
    <w:rsid w:val="00EA4EB3"/>
    <w:rsid w:val="00EA4FCD"/>
    <w:rsid w:val="00EA625D"/>
    <w:rsid w:val="00EA6622"/>
    <w:rsid w:val="00EA6996"/>
    <w:rsid w:val="00EA75F6"/>
    <w:rsid w:val="00EA7703"/>
    <w:rsid w:val="00EB104B"/>
    <w:rsid w:val="00EB1635"/>
    <w:rsid w:val="00EB21DF"/>
    <w:rsid w:val="00EB2517"/>
    <w:rsid w:val="00EB264B"/>
    <w:rsid w:val="00EB2703"/>
    <w:rsid w:val="00EB2B2E"/>
    <w:rsid w:val="00EB2E10"/>
    <w:rsid w:val="00EB2FF2"/>
    <w:rsid w:val="00EB38D8"/>
    <w:rsid w:val="00EB453D"/>
    <w:rsid w:val="00EB4B7A"/>
    <w:rsid w:val="00EB5AFC"/>
    <w:rsid w:val="00EB5F02"/>
    <w:rsid w:val="00EB5F35"/>
    <w:rsid w:val="00EB6CB5"/>
    <w:rsid w:val="00EB7258"/>
    <w:rsid w:val="00EB7481"/>
    <w:rsid w:val="00EB7FE7"/>
    <w:rsid w:val="00EC01F0"/>
    <w:rsid w:val="00EC02A2"/>
    <w:rsid w:val="00EC0712"/>
    <w:rsid w:val="00EC0868"/>
    <w:rsid w:val="00EC0A19"/>
    <w:rsid w:val="00EC1188"/>
    <w:rsid w:val="00EC2450"/>
    <w:rsid w:val="00EC3E92"/>
    <w:rsid w:val="00EC4411"/>
    <w:rsid w:val="00EC44DA"/>
    <w:rsid w:val="00EC4DA1"/>
    <w:rsid w:val="00EC4F11"/>
    <w:rsid w:val="00EC5594"/>
    <w:rsid w:val="00EC62B0"/>
    <w:rsid w:val="00EC63C7"/>
    <w:rsid w:val="00EC6498"/>
    <w:rsid w:val="00EC7296"/>
    <w:rsid w:val="00ED0342"/>
    <w:rsid w:val="00ED0B30"/>
    <w:rsid w:val="00ED20FB"/>
    <w:rsid w:val="00ED2A4B"/>
    <w:rsid w:val="00ED2A8D"/>
    <w:rsid w:val="00ED2CA0"/>
    <w:rsid w:val="00ED3145"/>
    <w:rsid w:val="00ED33E1"/>
    <w:rsid w:val="00ED3E22"/>
    <w:rsid w:val="00ED42B8"/>
    <w:rsid w:val="00ED490F"/>
    <w:rsid w:val="00ED506B"/>
    <w:rsid w:val="00ED5CA0"/>
    <w:rsid w:val="00ED61EE"/>
    <w:rsid w:val="00ED640B"/>
    <w:rsid w:val="00ED6446"/>
    <w:rsid w:val="00ED6851"/>
    <w:rsid w:val="00ED69B9"/>
    <w:rsid w:val="00ED6C1C"/>
    <w:rsid w:val="00ED7654"/>
    <w:rsid w:val="00ED7820"/>
    <w:rsid w:val="00EE0549"/>
    <w:rsid w:val="00EE0C97"/>
    <w:rsid w:val="00EE0F5C"/>
    <w:rsid w:val="00EE1490"/>
    <w:rsid w:val="00EE14C6"/>
    <w:rsid w:val="00EE17B0"/>
    <w:rsid w:val="00EE1F5D"/>
    <w:rsid w:val="00EE25A2"/>
    <w:rsid w:val="00EE27E7"/>
    <w:rsid w:val="00EE3272"/>
    <w:rsid w:val="00EE3851"/>
    <w:rsid w:val="00EE39CF"/>
    <w:rsid w:val="00EE4038"/>
    <w:rsid w:val="00EE434B"/>
    <w:rsid w:val="00EE4426"/>
    <w:rsid w:val="00EE47E5"/>
    <w:rsid w:val="00EE4C34"/>
    <w:rsid w:val="00EE4F77"/>
    <w:rsid w:val="00EE579F"/>
    <w:rsid w:val="00EE59F8"/>
    <w:rsid w:val="00EE5A9D"/>
    <w:rsid w:val="00EE6702"/>
    <w:rsid w:val="00EE7044"/>
    <w:rsid w:val="00EE7387"/>
    <w:rsid w:val="00EE7C6A"/>
    <w:rsid w:val="00EF0CEF"/>
    <w:rsid w:val="00EF15A4"/>
    <w:rsid w:val="00EF1834"/>
    <w:rsid w:val="00EF1D4E"/>
    <w:rsid w:val="00EF21F3"/>
    <w:rsid w:val="00EF3919"/>
    <w:rsid w:val="00EF4426"/>
    <w:rsid w:val="00EF593D"/>
    <w:rsid w:val="00EF6E98"/>
    <w:rsid w:val="00F003F0"/>
    <w:rsid w:val="00F00675"/>
    <w:rsid w:val="00F01A63"/>
    <w:rsid w:val="00F01B19"/>
    <w:rsid w:val="00F02220"/>
    <w:rsid w:val="00F03AF2"/>
    <w:rsid w:val="00F03FE1"/>
    <w:rsid w:val="00F04537"/>
    <w:rsid w:val="00F04D24"/>
    <w:rsid w:val="00F05488"/>
    <w:rsid w:val="00F05754"/>
    <w:rsid w:val="00F059CF"/>
    <w:rsid w:val="00F05D40"/>
    <w:rsid w:val="00F06C74"/>
    <w:rsid w:val="00F07C6F"/>
    <w:rsid w:val="00F10239"/>
    <w:rsid w:val="00F10CE8"/>
    <w:rsid w:val="00F1174A"/>
    <w:rsid w:val="00F11B48"/>
    <w:rsid w:val="00F12138"/>
    <w:rsid w:val="00F126F9"/>
    <w:rsid w:val="00F129AA"/>
    <w:rsid w:val="00F134AC"/>
    <w:rsid w:val="00F13CAC"/>
    <w:rsid w:val="00F153DE"/>
    <w:rsid w:val="00F154A1"/>
    <w:rsid w:val="00F15507"/>
    <w:rsid w:val="00F159D3"/>
    <w:rsid w:val="00F1602D"/>
    <w:rsid w:val="00F16530"/>
    <w:rsid w:val="00F16653"/>
    <w:rsid w:val="00F166CD"/>
    <w:rsid w:val="00F16DF6"/>
    <w:rsid w:val="00F16FCD"/>
    <w:rsid w:val="00F176E9"/>
    <w:rsid w:val="00F179B7"/>
    <w:rsid w:val="00F17B02"/>
    <w:rsid w:val="00F17E87"/>
    <w:rsid w:val="00F213F6"/>
    <w:rsid w:val="00F2148E"/>
    <w:rsid w:val="00F21ACE"/>
    <w:rsid w:val="00F22AE6"/>
    <w:rsid w:val="00F22D06"/>
    <w:rsid w:val="00F22FA3"/>
    <w:rsid w:val="00F23937"/>
    <w:rsid w:val="00F23ABF"/>
    <w:rsid w:val="00F244F1"/>
    <w:rsid w:val="00F25ACD"/>
    <w:rsid w:val="00F25BCA"/>
    <w:rsid w:val="00F25D4D"/>
    <w:rsid w:val="00F25DB1"/>
    <w:rsid w:val="00F26270"/>
    <w:rsid w:val="00F26C20"/>
    <w:rsid w:val="00F272D3"/>
    <w:rsid w:val="00F3004A"/>
    <w:rsid w:val="00F30C39"/>
    <w:rsid w:val="00F3191C"/>
    <w:rsid w:val="00F31CD9"/>
    <w:rsid w:val="00F31DAA"/>
    <w:rsid w:val="00F32A1E"/>
    <w:rsid w:val="00F32E32"/>
    <w:rsid w:val="00F33A0E"/>
    <w:rsid w:val="00F34031"/>
    <w:rsid w:val="00F34E95"/>
    <w:rsid w:val="00F35249"/>
    <w:rsid w:val="00F35639"/>
    <w:rsid w:val="00F3599D"/>
    <w:rsid w:val="00F40A7C"/>
    <w:rsid w:val="00F40DA3"/>
    <w:rsid w:val="00F41B55"/>
    <w:rsid w:val="00F457DA"/>
    <w:rsid w:val="00F4582C"/>
    <w:rsid w:val="00F46A13"/>
    <w:rsid w:val="00F4764C"/>
    <w:rsid w:val="00F4772C"/>
    <w:rsid w:val="00F5009E"/>
    <w:rsid w:val="00F50141"/>
    <w:rsid w:val="00F5089D"/>
    <w:rsid w:val="00F513A3"/>
    <w:rsid w:val="00F52728"/>
    <w:rsid w:val="00F538E0"/>
    <w:rsid w:val="00F53DC2"/>
    <w:rsid w:val="00F542F5"/>
    <w:rsid w:val="00F547D2"/>
    <w:rsid w:val="00F54EB1"/>
    <w:rsid w:val="00F55B08"/>
    <w:rsid w:val="00F5644A"/>
    <w:rsid w:val="00F5648F"/>
    <w:rsid w:val="00F56CD3"/>
    <w:rsid w:val="00F57184"/>
    <w:rsid w:val="00F5718B"/>
    <w:rsid w:val="00F60907"/>
    <w:rsid w:val="00F60DBC"/>
    <w:rsid w:val="00F61006"/>
    <w:rsid w:val="00F61598"/>
    <w:rsid w:val="00F61840"/>
    <w:rsid w:val="00F62A5F"/>
    <w:rsid w:val="00F64614"/>
    <w:rsid w:val="00F64E5E"/>
    <w:rsid w:val="00F653D3"/>
    <w:rsid w:val="00F65B19"/>
    <w:rsid w:val="00F65C25"/>
    <w:rsid w:val="00F66651"/>
    <w:rsid w:val="00F669C2"/>
    <w:rsid w:val="00F66BD0"/>
    <w:rsid w:val="00F66DAE"/>
    <w:rsid w:val="00F6716F"/>
    <w:rsid w:val="00F67A9B"/>
    <w:rsid w:val="00F70185"/>
    <w:rsid w:val="00F706D7"/>
    <w:rsid w:val="00F709DE"/>
    <w:rsid w:val="00F70A04"/>
    <w:rsid w:val="00F70BF7"/>
    <w:rsid w:val="00F70CB8"/>
    <w:rsid w:val="00F7154A"/>
    <w:rsid w:val="00F71A60"/>
    <w:rsid w:val="00F71AD8"/>
    <w:rsid w:val="00F71AEE"/>
    <w:rsid w:val="00F7215A"/>
    <w:rsid w:val="00F724C4"/>
    <w:rsid w:val="00F73246"/>
    <w:rsid w:val="00F74A58"/>
    <w:rsid w:val="00F751D9"/>
    <w:rsid w:val="00F75708"/>
    <w:rsid w:val="00F75CC0"/>
    <w:rsid w:val="00F75E4B"/>
    <w:rsid w:val="00F762B2"/>
    <w:rsid w:val="00F7697D"/>
    <w:rsid w:val="00F778D1"/>
    <w:rsid w:val="00F7796D"/>
    <w:rsid w:val="00F77A30"/>
    <w:rsid w:val="00F80BF5"/>
    <w:rsid w:val="00F80C7E"/>
    <w:rsid w:val="00F82A81"/>
    <w:rsid w:val="00F82DA1"/>
    <w:rsid w:val="00F837EF"/>
    <w:rsid w:val="00F83CE0"/>
    <w:rsid w:val="00F841AB"/>
    <w:rsid w:val="00F84455"/>
    <w:rsid w:val="00F846B1"/>
    <w:rsid w:val="00F84D0D"/>
    <w:rsid w:val="00F86483"/>
    <w:rsid w:val="00F87FB5"/>
    <w:rsid w:val="00F90D9F"/>
    <w:rsid w:val="00F9122A"/>
    <w:rsid w:val="00F91F58"/>
    <w:rsid w:val="00F91FAF"/>
    <w:rsid w:val="00F92235"/>
    <w:rsid w:val="00F9291A"/>
    <w:rsid w:val="00F92A00"/>
    <w:rsid w:val="00F93F4D"/>
    <w:rsid w:val="00F95A97"/>
    <w:rsid w:val="00F95B04"/>
    <w:rsid w:val="00F9637F"/>
    <w:rsid w:val="00F96E64"/>
    <w:rsid w:val="00F9725C"/>
    <w:rsid w:val="00F972FB"/>
    <w:rsid w:val="00F97431"/>
    <w:rsid w:val="00F974A4"/>
    <w:rsid w:val="00F97718"/>
    <w:rsid w:val="00FA08CC"/>
    <w:rsid w:val="00FA0D19"/>
    <w:rsid w:val="00FA11AE"/>
    <w:rsid w:val="00FA16FF"/>
    <w:rsid w:val="00FA1928"/>
    <w:rsid w:val="00FA207F"/>
    <w:rsid w:val="00FA21FB"/>
    <w:rsid w:val="00FA3019"/>
    <w:rsid w:val="00FA34B8"/>
    <w:rsid w:val="00FA3B80"/>
    <w:rsid w:val="00FA3E96"/>
    <w:rsid w:val="00FA60DE"/>
    <w:rsid w:val="00FA6BF6"/>
    <w:rsid w:val="00FA7002"/>
    <w:rsid w:val="00FA72D0"/>
    <w:rsid w:val="00FB158F"/>
    <w:rsid w:val="00FB1A33"/>
    <w:rsid w:val="00FB2051"/>
    <w:rsid w:val="00FB278D"/>
    <w:rsid w:val="00FB2863"/>
    <w:rsid w:val="00FB33EF"/>
    <w:rsid w:val="00FB4F7D"/>
    <w:rsid w:val="00FB61E8"/>
    <w:rsid w:val="00FB68DA"/>
    <w:rsid w:val="00FB7C86"/>
    <w:rsid w:val="00FC008F"/>
    <w:rsid w:val="00FC110C"/>
    <w:rsid w:val="00FC13B1"/>
    <w:rsid w:val="00FC1EAB"/>
    <w:rsid w:val="00FC3022"/>
    <w:rsid w:val="00FC33F6"/>
    <w:rsid w:val="00FC3673"/>
    <w:rsid w:val="00FC3E79"/>
    <w:rsid w:val="00FC4D1C"/>
    <w:rsid w:val="00FC5014"/>
    <w:rsid w:val="00FC50F9"/>
    <w:rsid w:val="00FC54B0"/>
    <w:rsid w:val="00FC5745"/>
    <w:rsid w:val="00FC57BF"/>
    <w:rsid w:val="00FC5DA7"/>
    <w:rsid w:val="00FC6790"/>
    <w:rsid w:val="00FC6AF3"/>
    <w:rsid w:val="00FC6C9B"/>
    <w:rsid w:val="00FC74C5"/>
    <w:rsid w:val="00FC7B55"/>
    <w:rsid w:val="00FC7D04"/>
    <w:rsid w:val="00FD0832"/>
    <w:rsid w:val="00FD0A80"/>
    <w:rsid w:val="00FD0EBB"/>
    <w:rsid w:val="00FD21F1"/>
    <w:rsid w:val="00FD299A"/>
    <w:rsid w:val="00FD3682"/>
    <w:rsid w:val="00FD3835"/>
    <w:rsid w:val="00FD3CB8"/>
    <w:rsid w:val="00FD4D4A"/>
    <w:rsid w:val="00FD5145"/>
    <w:rsid w:val="00FD529C"/>
    <w:rsid w:val="00FD5B40"/>
    <w:rsid w:val="00FD617A"/>
    <w:rsid w:val="00FD64A2"/>
    <w:rsid w:val="00FD73A8"/>
    <w:rsid w:val="00FD793F"/>
    <w:rsid w:val="00FD796B"/>
    <w:rsid w:val="00FD7C84"/>
    <w:rsid w:val="00FE00E1"/>
    <w:rsid w:val="00FE041B"/>
    <w:rsid w:val="00FE0AE7"/>
    <w:rsid w:val="00FE0B2C"/>
    <w:rsid w:val="00FE1089"/>
    <w:rsid w:val="00FE17DF"/>
    <w:rsid w:val="00FE3202"/>
    <w:rsid w:val="00FE3FCF"/>
    <w:rsid w:val="00FE422B"/>
    <w:rsid w:val="00FE4714"/>
    <w:rsid w:val="00FE6762"/>
    <w:rsid w:val="00FE681A"/>
    <w:rsid w:val="00FE6999"/>
    <w:rsid w:val="00FE7F21"/>
    <w:rsid w:val="00FF043B"/>
    <w:rsid w:val="00FF0ABA"/>
    <w:rsid w:val="00FF1C65"/>
    <w:rsid w:val="00FF1F7A"/>
    <w:rsid w:val="00FF22BF"/>
    <w:rsid w:val="00FF245D"/>
    <w:rsid w:val="00FF2519"/>
    <w:rsid w:val="00FF2619"/>
    <w:rsid w:val="00FF2727"/>
    <w:rsid w:val="00FF361C"/>
    <w:rsid w:val="00FF369D"/>
    <w:rsid w:val="00FF3DD1"/>
    <w:rsid w:val="00FF41B1"/>
    <w:rsid w:val="00FF44BB"/>
    <w:rsid w:val="00FF4642"/>
    <w:rsid w:val="00FF4848"/>
    <w:rsid w:val="00FF4B60"/>
    <w:rsid w:val="00FF5558"/>
    <w:rsid w:val="00FF5CFC"/>
    <w:rsid w:val="00FF5EE0"/>
    <w:rsid w:val="00FF6295"/>
    <w:rsid w:val="00FF70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BC789"/>
  <w15:docId w15:val="{927DF50A-A05E-4A01-8742-293A1752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C7E4F"/>
    <w:pPr>
      <w:spacing w:after="40" w:line="240" w:lineRule="auto"/>
      <w:ind w:hanging="5"/>
      <w:jc w:val="both"/>
    </w:pPr>
    <w:rPr>
      <w:rFonts w:ascii="Times New Roman" w:eastAsia="Times New Roman" w:hAnsi="Times New Roman" w:cs="Times New Roman"/>
      <w:sz w:val="24"/>
      <w:szCs w:val="24"/>
      <w:lang w:eastAsia="sk-SK"/>
    </w:rPr>
  </w:style>
  <w:style w:type="paragraph" w:styleId="Nadpis1">
    <w:name w:val="heading 1"/>
    <w:basedOn w:val="rove1"/>
    <w:next w:val="Normlny"/>
    <w:link w:val="Nadpis1Char"/>
    <w:qFormat/>
    <w:rsid w:val="0062585F"/>
    <w:pPr>
      <w:numPr>
        <w:numId w:val="38"/>
      </w:numPr>
      <w:tabs>
        <w:tab w:val="left" w:pos="454"/>
        <w:tab w:val="left" w:pos="567"/>
      </w:tabs>
      <w:jc w:val="left"/>
      <w:outlineLvl w:val="0"/>
    </w:pPr>
    <w:rPr>
      <w:caps/>
    </w:rPr>
  </w:style>
  <w:style w:type="paragraph" w:styleId="Nadpis2">
    <w:name w:val="heading 2"/>
    <w:basedOn w:val="rove2"/>
    <w:next w:val="Normlny"/>
    <w:link w:val="Nadpis2Char"/>
    <w:unhideWhenUsed/>
    <w:qFormat/>
    <w:rsid w:val="0062585F"/>
    <w:pPr>
      <w:numPr>
        <w:ilvl w:val="1"/>
        <w:numId w:val="38"/>
      </w:numPr>
      <w:spacing w:before="240" w:after="120"/>
      <w:ind w:left="576"/>
      <w:outlineLvl w:val="1"/>
    </w:pPr>
    <w:rPr>
      <w:iCs/>
    </w:rPr>
  </w:style>
  <w:style w:type="paragraph" w:styleId="Nadpis3">
    <w:name w:val="heading 3"/>
    <w:basedOn w:val="Normlny"/>
    <w:next w:val="Normlny"/>
    <w:link w:val="Nadpis3Char"/>
    <w:unhideWhenUsed/>
    <w:qFormat/>
    <w:rsid w:val="00935287"/>
    <w:pPr>
      <w:numPr>
        <w:ilvl w:val="2"/>
        <w:numId w:val="38"/>
      </w:numPr>
      <w:spacing w:before="120"/>
      <w:ind w:left="720"/>
      <w:outlineLvl w:val="2"/>
    </w:pPr>
    <w:rPr>
      <w:rFonts w:eastAsia="Calibri"/>
      <w:b/>
      <w:color w:val="000000"/>
    </w:rPr>
  </w:style>
  <w:style w:type="paragraph" w:styleId="Nadpis4">
    <w:name w:val="heading 4"/>
    <w:basedOn w:val="Normlny"/>
    <w:next w:val="Normlny"/>
    <w:link w:val="Nadpis4Char"/>
    <w:uiPriority w:val="9"/>
    <w:unhideWhenUsed/>
    <w:qFormat/>
    <w:rsid w:val="00E7729D"/>
    <w:pPr>
      <w:numPr>
        <w:ilvl w:val="3"/>
        <w:numId w:val="38"/>
      </w:numPr>
      <w:outlineLvl w:val="3"/>
    </w:pPr>
    <w:rPr>
      <w:rFonts w:eastAsia="Calibri"/>
      <w:b/>
    </w:rPr>
  </w:style>
  <w:style w:type="paragraph" w:styleId="Nadpis5">
    <w:name w:val="heading 5"/>
    <w:basedOn w:val="Normlny"/>
    <w:next w:val="Normlny"/>
    <w:link w:val="Nadpis5Char"/>
    <w:qFormat/>
    <w:rsid w:val="005E5A10"/>
    <w:pPr>
      <w:keepNext/>
      <w:numPr>
        <w:ilvl w:val="4"/>
        <w:numId w:val="38"/>
      </w:numPr>
      <w:spacing w:before="120" w:after="120"/>
      <w:outlineLvl w:val="4"/>
    </w:pPr>
    <w:rPr>
      <w:b/>
      <w:i/>
      <w:snapToGrid w:val="0"/>
      <w:color w:val="000000"/>
      <w:szCs w:val="20"/>
    </w:rPr>
  </w:style>
  <w:style w:type="paragraph" w:styleId="Nadpis6">
    <w:name w:val="heading 6"/>
    <w:basedOn w:val="Normlny"/>
    <w:next w:val="Normlny"/>
    <w:link w:val="Nadpis6Char"/>
    <w:qFormat/>
    <w:rsid w:val="005E5A10"/>
    <w:pPr>
      <w:numPr>
        <w:ilvl w:val="5"/>
        <w:numId w:val="38"/>
      </w:numPr>
      <w:spacing w:before="240" w:after="60"/>
      <w:outlineLvl w:val="5"/>
    </w:pPr>
    <w:rPr>
      <w:b/>
      <w:bCs/>
      <w:sz w:val="22"/>
      <w:szCs w:val="22"/>
    </w:rPr>
  </w:style>
  <w:style w:type="paragraph" w:styleId="Nadpis7">
    <w:name w:val="heading 7"/>
    <w:basedOn w:val="Normlny"/>
    <w:next w:val="Normlny"/>
    <w:link w:val="Nadpis7Char"/>
    <w:qFormat/>
    <w:rsid w:val="005E5A10"/>
    <w:pPr>
      <w:numPr>
        <w:ilvl w:val="6"/>
        <w:numId w:val="38"/>
      </w:numPr>
      <w:spacing w:before="240" w:after="60"/>
      <w:outlineLvl w:val="6"/>
    </w:pPr>
  </w:style>
  <w:style w:type="paragraph" w:styleId="Nadpis8">
    <w:name w:val="heading 8"/>
    <w:basedOn w:val="Normlny"/>
    <w:next w:val="Normlny"/>
    <w:link w:val="Nadpis8Char"/>
    <w:qFormat/>
    <w:rsid w:val="005E5A10"/>
    <w:pPr>
      <w:numPr>
        <w:ilvl w:val="7"/>
        <w:numId w:val="38"/>
      </w:numPr>
      <w:spacing w:before="240" w:after="60"/>
      <w:outlineLvl w:val="7"/>
    </w:pPr>
    <w:rPr>
      <w:i/>
      <w:iCs/>
    </w:rPr>
  </w:style>
  <w:style w:type="paragraph" w:styleId="Nadpis9">
    <w:name w:val="heading 9"/>
    <w:basedOn w:val="Normlny"/>
    <w:next w:val="Normlny"/>
    <w:link w:val="Nadpis9Char"/>
    <w:uiPriority w:val="9"/>
    <w:semiHidden/>
    <w:unhideWhenUsed/>
    <w:qFormat/>
    <w:rsid w:val="005E5A10"/>
    <w:pPr>
      <w:numPr>
        <w:ilvl w:val="8"/>
        <w:numId w:val="38"/>
      </w:numPr>
      <w:spacing w:before="240" w:after="60"/>
      <w:outlineLvl w:val="8"/>
    </w:pPr>
    <w:rPr>
      <w:rFonts w:ascii="Cambria" w:hAnsi="Cambria"/>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62585F"/>
    <w:rPr>
      <w:rFonts w:ascii="Times New Roman" w:eastAsia="Times New Roman" w:hAnsi="Times New Roman" w:cs="Times New Roman"/>
      <w:b/>
      <w:caps/>
      <w:color w:val="000000"/>
      <w:sz w:val="24"/>
      <w:szCs w:val="24"/>
      <w:lang w:eastAsia="sk-SK"/>
    </w:rPr>
  </w:style>
  <w:style w:type="character" w:customStyle="1" w:styleId="Nadpis2Char">
    <w:name w:val="Nadpis 2 Char"/>
    <w:basedOn w:val="Predvolenpsmoodseku"/>
    <w:link w:val="Nadpis2"/>
    <w:rsid w:val="0062585F"/>
    <w:rPr>
      <w:rFonts w:ascii="Times New Roman" w:eastAsia="Times New Roman" w:hAnsi="Times New Roman" w:cs="Times New Roman"/>
      <w:b/>
      <w:iCs/>
      <w:color w:val="000000"/>
      <w:sz w:val="24"/>
      <w:szCs w:val="24"/>
      <w:lang w:eastAsia="sk-SK"/>
    </w:rPr>
  </w:style>
  <w:style w:type="character" w:customStyle="1" w:styleId="Nadpis3Char">
    <w:name w:val="Nadpis 3 Char"/>
    <w:basedOn w:val="Predvolenpsmoodseku"/>
    <w:link w:val="Nadpis3"/>
    <w:rsid w:val="00935287"/>
    <w:rPr>
      <w:rFonts w:ascii="Times New Roman" w:eastAsia="Calibri" w:hAnsi="Times New Roman" w:cs="Times New Roman"/>
      <w:b/>
      <w:color w:val="000000"/>
      <w:sz w:val="24"/>
      <w:szCs w:val="24"/>
      <w:lang w:eastAsia="sk-SK"/>
    </w:rPr>
  </w:style>
  <w:style w:type="character" w:customStyle="1" w:styleId="Nadpis4Char">
    <w:name w:val="Nadpis 4 Char"/>
    <w:basedOn w:val="Predvolenpsmoodseku"/>
    <w:link w:val="Nadpis4"/>
    <w:uiPriority w:val="9"/>
    <w:rsid w:val="00450277"/>
    <w:rPr>
      <w:rFonts w:ascii="Times New Roman" w:eastAsia="Calibri" w:hAnsi="Times New Roman" w:cs="Times New Roman"/>
      <w:b/>
      <w:sz w:val="24"/>
      <w:szCs w:val="24"/>
      <w:lang w:eastAsia="sk-SK"/>
    </w:rPr>
  </w:style>
  <w:style w:type="character" w:customStyle="1" w:styleId="Nadpis5Char">
    <w:name w:val="Nadpis 5 Char"/>
    <w:basedOn w:val="Predvolenpsmoodseku"/>
    <w:link w:val="Nadpis5"/>
    <w:rsid w:val="005E5A10"/>
    <w:rPr>
      <w:rFonts w:ascii="Times New Roman" w:eastAsia="Times New Roman" w:hAnsi="Times New Roman" w:cs="Times New Roman"/>
      <w:b/>
      <w:i/>
      <w:snapToGrid w:val="0"/>
      <w:color w:val="000000"/>
      <w:sz w:val="24"/>
      <w:szCs w:val="20"/>
      <w:lang w:eastAsia="sk-SK"/>
    </w:rPr>
  </w:style>
  <w:style w:type="character" w:customStyle="1" w:styleId="Nadpis6Char">
    <w:name w:val="Nadpis 6 Char"/>
    <w:basedOn w:val="Predvolenpsmoodseku"/>
    <w:link w:val="Nadpis6"/>
    <w:rsid w:val="005E5A10"/>
    <w:rPr>
      <w:rFonts w:ascii="Times New Roman" w:eastAsia="Times New Roman" w:hAnsi="Times New Roman" w:cs="Times New Roman"/>
      <w:b/>
      <w:bCs/>
      <w:lang w:eastAsia="sk-SK"/>
    </w:rPr>
  </w:style>
  <w:style w:type="character" w:customStyle="1" w:styleId="Nadpis7Char">
    <w:name w:val="Nadpis 7 Char"/>
    <w:basedOn w:val="Predvolenpsmoodseku"/>
    <w:link w:val="Nadpis7"/>
    <w:rsid w:val="005E5A10"/>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rsid w:val="005E5A10"/>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uiPriority w:val="9"/>
    <w:semiHidden/>
    <w:rsid w:val="005E5A10"/>
    <w:rPr>
      <w:rFonts w:ascii="Cambria" w:eastAsia="Times New Roman" w:hAnsi="Cambria" w:cs="Times New Roman"/>
      <w:lang w:eastAsia="sk-SK"/>
    </w:rPr>
  </w:style>
  <w:style w:type="table" w:styleId="Mriekatabuky">
    <w:name w:val="Table Grid"/>
    <w:basedOn w:val="Normlnatabuka"/>
    <w:uiPriority w:val="59"/>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5E5A10"/>
    <w:rPr>
      <w:color w:val="0000FF"/>
      <w:u w:val="single"/>
    </w:rPr>
  </w:style>
  <w:style w:type="paragraph" w:styleId="Odsekzoznamu">
    <w:name w:val="List Paragraph"/>
    <w:aliases w:val="body,List Paragraph,Odsek,Dot pt,F5 List Paragraph,List Paragraph1,No Spacing1,List Paragraph Char Char Char,Indicator Text,Numbered Para 1,Colorful List - Accent 11,Bullet 1,Bullet Points,Párrafo de lista"/>
    <w:basedOn w:val="Normlny"/>
    <w:link w:val="OdsekzoznamuChar"/>
    <w:uiPriority w:val="34"/>
    <w:qFormat/>
    <w:rsid w:val="005E5A10"/>
    <w:pPr>
      <w:spacing w:before="120"/>
      <w:ind w:firstLine="709"/>
    </w:pPr>
    <w:rPr>
      <w:rFonts w:cs="Calibri"/>
      <w:szCs w:val="22"/>
      <w:lang w:eastAsia="en-US"/>
    </w:rPr>
  </w:style>
  <w:style w:type="paragraph" w:styleId="Obsah1">
    <w:name w:val="toc 1"/>
    <w:basedOn w:val="Normlny"/>
    <w:next w:val="Normlny"/>
    <w:autoRedefine/>
    <w:uiPriority w:val="39"/>
    <w:qFormat/>
    <w:rsid w:val="006353F3"/>
    <w:pPr>
      <w:tabs>
        <w:tab w:val="right" w:leader="dot" w:pos="9498"/>
      </w:tabs>
      <w:spacing w:before="120" w:after="120"/>
      <w:ind w:left="284" w:hanging="284"/>
    </w:pPr>
    <w:rPr>
      <w:b/>
      <w:bCs/>
      <w:caps/>
      <w:noProof/>
      <w:lang w:eastAsia="en-US"/>
    </w:rPr>
  </w:style>
  <w:style w:type="paragraph" w:styleId="Obsah2">
    <w:name w:val="toc 2"/>
    <w:basedOn w:val="Normlny"/>
    <w:next w:val="Normlny"/>
    <w:autoRedefine/>
    <w:uiPriority w:val="39"/>
    <w:qFormat/>
    <w:rsid w:val="00ED7654"/>
    <w:pPr>
      <w:tabs>
        <w:tab w:val="right" w:leader="dot" w:pos="9498"/>
      </w:tabs>
      <w:spacing w:after="0"/>
      <w:ind w:left="426" w:hanging="426"/>
      <w:jc w:val="left"/>
    </w:pPr>
    <w:rPr>
      <w:b/>
      <w:bCs/>
      <w:noProof/>
    </w:rPr>
  </w:style>
  <w:style w:type="paragraph" w:styleId="Obsah3">
    <w:name w:val="toc 3"/>
    <w:basedOn w:val="Normlny"/>
    <w:next w:val="Normlny"/>
    <w:autoRedefine/>
    <w:uiPriority w:val="39"/>
    <w:qFormat/>
    <w:rsid w:val="00F65B19"/>
    <w:pPr>
      <w:tabs>
        <w:tab w:val="left" w:pos="567"/>
        <w:tab w:val="left" w:pos="709"/>
        <w:tab w:val="right" w:leader="dot" w:pos="9498"/>
      </w:tabs>
      <w:spacing w:after="0"/>
      <w:ind w:left="567" w:hanging="567"/>
    </w:pPr>
    <w:rPr>
      <w:iCs/>
      <w:noProof/>
    </w:rPr>
  </w:style>
  <w:style w:type="paragraph" w:styleId="Obsah4">
    <w:name w:val="toc 4"/>
    <w:basedOn w:val="Normlny"/>
    <w:next w:val="Normlny"/>
    <w:autoRedefine/>
    <w:uiPriority w:val="39"/>
    <w:rsid w:val="00F3004A"/>
    <w:pPr>
      <w:tabs>
        <w:tab w:val="left" w:pos="709"/>
        <w:tab w:val="right" w:leader="dot" w:pos="9214"/>
      </w:tabs>
      <w:ind w:left="709" w:hanging="709"/>
    </w:pPr>
    <w:rPr>
      <w:rFonts w:ascii="Calibri" w:hAnsi="Calibri"/>
      <w:sz w:val="18"/>
      <w:szCs w:val="18"/>
    </w:rPr>
  </w:style>
  <w:style w:type="paragraph" w:styleId="Obsah5">
    <w:name w:val="toc 5"/>
    <w:basedOn w:val="Normlny"/>
    <w:next w:val="Normlny"/>
    <w:autoRedefine/>
    <w:uiPriority w:val="39"/>
    <w:rsid w:val="005E5A10"/>
    <w:pPr>
      <w:tabs>
        <w:tab w:val="right" w:leader="dot" w:pos="9062"/>
      </w:tabs>
      <w:ind w:left="960"/>
      <w:jc w:val="left"/>
    </w:pPr>
    <w:rPr>
      <w:rFonts w:ascii="Calibri" w:hAnsi="Calibri"/>
      <w:sz w:val="18"/>
      <w:szCs w:val="18"/>
    </w:rPr>
  </w:style>
  <w:style w:type="paragraph" w:styleId="Textbubliny">
    <w:name w:val="Balloon Text"/>
    <w:basedOn w:val="Normlny"/>
    <w:link w:val="TextbublinyChar"/>
    <w:uiPriority w:val="99"/>
    <w:unhideWhenUsed/>
    <w:rsid w:val="005E5A10"/>
    <w:pPr>
      <w:spacing w:after="0"/>
    </w:pPr>
    <w:rPr>
      <w:rFonts w:ascii="Tahoma" w:hAnsi="Tahoma"/>
      <w:sz w:val="16"/>
      <w:szCs w:val="16"/>
    </w:rPr>
  </w:style>
  <w:style w:type="character" w:customStyle="1" w:styleId="TextbublinyChar">
    <w:name w:val="Text bubliny Char"/>
    <w:basedOn w:val="Predvolenpsmoodseku"/>
    <w:link w:val="Textbubliny"/>
    <w:uiPriority w:val="99"/>
    <w:rsid w:val="005E5A10"/>
    <w:rPr>
      <w:rFonts w:ascii="Tahoma" w:eastAsia="Times New Roman" w:hAnsi="Tahoma" w:cs="Times New Roman"/>
      <w:sz w:val="16"/>
      <w:szCs w:val="16"/>
      <w:lang w:eastAsia="sk-SK"/>
    </w:rPr>
  </w:style>
  <w:style w:type="paragraph" w:styleId="Hlavika">
    <w:name w:val="header"/>
    <w:basedOn w:val="Normlny"/>
    <w:link w:val="HlavikaChar"/>
    <w:uiPriority w:val="99"/>
    <w:rsid w:val="005E5A10"/>
    <w:pPr>
      <w:tabs>
        <w:tab w:val="center" w:pos="4536"/>
        <w:tab w:val="right" w:pos="9072"/>
      </w:tabs>
    </w:pPr>
  </w:style>
  <w:style w:type="character" w:customStyle="1" w:styleId="HlavikaChar">
    <w:name w:val="Hlavička Char"/>
    <w:basedOn w:val="Predvolenpsmoodseku"/>
    <w:link w:val="Hlavika"/>
    <w:uiPriority w:val="99"/>
    <w:rsid w:val="005E5A10"/>
    <w:rPr>
      <w:rFonts w:eastAsia="Times New Roman" w:cs="Times New Roman"/>
      <w:sz w:val="24"/>
      <w:szCs w:val="24"/>
      <w:lang w:eastAsia="sk-SK"/>
    </w:rPr>
  </w:style>
  <w:style w:type="paragraph" w:styleId="Pta">
    <w:name w:val="footer"/>
    <w:basedOn w:val="Normlny"/>
    <w:link w:val="PtaChar"/>
    <w:uiPriority w:val="99"/>
    <w:rsid w:val="005E5A10"/>
    <w:pPr>
      <w:tabs>
        <w:tab w:val="center" w:pos="4536"/>
        <w:tab w:val="right" w:pos="9072"/>
      </w:tabs>
    </w:pPr>
  </w:style>
  <w:style w:type="character" w:customStyle="1" w:styleId="PtaChar">
    <w:name w:val="Päta Char"/>
    <w:basedOn w:val="Predvolenpsmoodseku"/>
    <w:link w:val="Pta"/>
    <w:uiPriority w:val="99"/>
    <w:rsid w:val="005E5A10"/>
    <w:rPr>
      <w:rFonts w:eastAsia="Times New Roman" w:cs="Times New Roman"/>
      <w:sz w:val="24"/>
      <w:szCs w:val="24"/>
      <w:lang w:eastAsia="sk-SK"/>
    </w:rPr>
  </w:style>
  <w:style w:type="character" w:styleId="slostrany">
    <w:name w:val="page number"/>
    <w:basedOn w:val="Predvolenpsmoodseku"/>
    <w:rsid w:val="005E5A10"/>
  </w:style>
  <w:style w:type="paragraph" w:styleId="Zkladntext">
    <w:name w:val="Body Text"/>
    <w:aliases w:val="b,Char, Char"/>
    <w:basedOn w:val="Normlny"/>
    <w:link w:val="ZkladntextChar"/>
    <w:rsid w:val="005E5A10"/>
  </w:style>
  <w:style w:type="character" w:customStyle="1" w:styleId="ZkladntextChar">
    <w:name w:val="Základný text Char"/>
    <w:aliases w:val="b Char,Char Char, Char Char"/>
    <w:basedOn w:val="Predvolenpsmoodseku"/>
    <w:link w:val="Zkladntext"/>
    <w:rsid w:val="005E5A10"/>
    <w:rPr>
      <w:rFonts w:eastAsia="Times New Roman" w:cs="Times New Roman"/>
      <w:sz w:val="24"/>
      <w:szCs w:val="24"/>
      <w:lang w:eastAsia="sk-SK"/>
    </w:rPr>
  </w:style>
  <w:style w:type="paragraph" w:styleId="Zkladntext3">
    <w:name w:val="Body Text 3"/>
    <w:basedOn w:val="Normlny"/>
    <w:link w:val="Zkladntext3Char"/>
    <w:rsid w:val="005E5A10"/>
    <w:pPr>
      <w:spacing w:after="120"/>
    </w:pPr>
    <w:rPr>
      <w:sz w:val="16"/>
      <w:szCs w:val="16"/>
    </w:rPr>
  </w:style>
  <w:style w:type="character" w:customStyle="1" w:styleId="Zkladntext3Char">
    <w:name w:val="Základný text 3 Char"/>
    <w:basedOn w:val="Predvolenpsmoodseku"/>
    <w:link w:val="Zkladntext3"/>
    <w:rsid w:val="005E5A10"/>
    <w:rPr>
      <w:rFonts w:eastAsia="Times New Roman" w:cs="Times New Roman"/>
      <w:sz w:val="16"/>
      <w:szCs w:val="16"/>
      <w:lang w:eastAsia="sk-SK"/>
    </w:rPr>
  </w:style>
  <w:style w:type="paragraph" w:styleId="Zkladntext2">
    <w:name w:val="Body Text 2"/>
    <w:basedOn w:val="Normlny"/>
    <w:link w:val="Zkladntext2Char"/>
    <w:rsid w:val="005E5A10"/>
    <w:pPr>
      <w:spacing w:after="120" w:line="480" w:lineRule="auto"/>
    </w:pPr>
  </w:style>
  <w:style w:type="character" w:customStyle="1" w:styleId="Zkladntext2Char">
    <w:name w:val="Základný text 2 Char"/>
    <w:basedOn w:val="Predvolenpsmoodseku"/>
    <w:link w:val="Zkladntext2"/>
    <w:rsid w:val="005E5A10"/>
    <w:rPr>
      <w:rFonts w:eastAsia="Times New Roman" w:cs="Times New Roman"/>
      <w:sz w:val="24"/>
      <w:szCs w:val="24"/>
      <w:lang w:eastAsia="sk-SK"/>
    </w:rPr>
  </w:style>
  <w:style w:type="paragraph" w:styleId="Nzov">
    <w:name w:val="Title"/>
    <w:basedOn w:val="Normlny"/>
    <w:next w:val="Normlny"/>
    <w:link w:val="NzovChar"/>
    <w:qFormat/>
    <w:rsid w:val="005E5A10"/>
    <w:pPr>
      <w:spacing w:after="480"/>
      <w:jc w:val="center"/>
    </w:pPr>
    <w:rPr>
      <w:rFonts w:eastAsia="Batang"/>
      <w:b/>
      <w:bCs/>
      <w:sz w:val="48"/>
      <w:szCs w:val="48"/>
      <w:lang w:val="en-GB"/>
    </w:rPr>
  </w:style>
  <w:style w:type="character" w:customStyle="1" w:styleId="NzovChar">
    <w:name w:val="Názov Char"/>
    <w:basedOn w:val="Predvolenpsmoodseku"/>
    <w:link w:val="Nzov"/>
    <w:rsid w:val="005E5A10"/>
    <w:rPr>
      <w:rFonts w:eastAsia="Batang" w:cs="Times New Roman"/>
      <w:b/>
      <w:bCs/>
      <w:sz w:val="48"/>
      <w:szCs w:val="48"/>
      <w:lang w:val="en-GB" w:eastAsia="sk-SK"/>
    </w:rPr>
  </w:style>
  <w:style w:type="paragraph" w:styleId="Obyajntext">
    <w:name w:val="Plain Text"/>
    <w:basedOn w:val="Normlny"/>
    <w:link w:val="ObyajntextChar"/>
    <w:uiPriority w:val="99"/>
    <w:rsid w:val="005E5A10"/>
    <w:rPr>
      <w:rFonts w:ascii="Courier New" w:eastAsia="Batang" w:hAnsi="Courier New"/>
      <w:sz w:val="20"/>
      <w:szCs w:val="20"/>
      <w:lang w:val="en-GB"/>
    </w:rPr>
  </w:style>
  <w:style w:type="character" w:customStyle="1" w:styleId="ObyajntextChar">
    <w:name w:val="Obyčajný text Char"/>
    <w:basedOn w:val="Predvolenpsmoodseku"/>
    <w:link w:val="Obyajntext"/>
    <w:uiPriority w:val="99"/>
    <w:rsid w:val="005E5A10"/>
    <w:rPr>
      <w:rFonts w:ascii="Courier New" w:eastAsia="Batang" w:hAnsi="Courier New" w:cs="Times New Roman"/>
      <w:sz w:val="20"/>
      <w:szCs w:val="20"/>
      <w:lang w:val="en-GB" w:eastAsia="sk-SK"/>
    </w:rPr>
  </w:style>
  <w:style w:type="paragraph" w:styleId="Zarkazkladnhotextu">
    <w:name w:val="Body Text Indent"/>
    <w:basedOn w:val="Normlny"/>
    <w:link w:val="ZarkazkladnhotextuChar"/>
    <w:rsid w:val="005E5A10"/>
    <w:pPr>
      <w:spacing w:after="120"/>
      <w:ind w:left="283"/>
    </w:pPr>
  </w:style>
  <w:style w:type="character" w:customStyle="1" w:styleId="ZarkazkladnhotextuChar">
    <w:name w:val="Zarážka základného textu Char"/>
    <w:basedOn w:val="Predvolenpsmoodseku"/>
    <w:link w:val="Zarkazkladnhotextu"/>
    <w:rsid w:val="005E5A10"/>
    <w:rPr>
      <w:rFonts w:eastAsia="Times New Roman" w:cs="Times New Roman"/>
      <w:sz w:val="24"/>
      <w:szCs w:val="24"/>
      <w:lang w:eastAsia="sk-SK"/>
    </w:rPr>
  </w:style>
  <w:style w:type="paragraph" w:styleId="PredformtovanHTML">
    <w:name w:val="HTML Preformatted"/>
    <w:basedOn w:val="Normlny"/>
    <w:link w:val="PredformtovanHTMLChar"/>
    <w:rsid w:val="005E5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edformtovanHTMLChar">
    <w:name w:val="Predformátované HTML Char"/>
    <w:basedOn w:val="Predvolenpsmoodseku"/>
    <w:link w:val="PredformtovanHTML"/>
    <w:rsid w:val="005E5A10"/>
    <w:rPr>
      <w:rFonts w:ascii="Courier New" w:eastAsia="Times New Roman" w:hAnsi="Courier New" w:cs="Times New Roman"/>
      <w:sz w:val="20"/>
      <w:szCs w:val="20"/>
      <w:lang w:eastAsia="sk-SK"/>
    </w:rPr>
  </w:style>
  <w:style w:type="paragraph" w:customStyle="1" w:styleId="Normlny0">
    <w:name w:val="Normálny~"/>
    <w:basedOn w:val="Normlny"/>
    <w:rsid w:val="005E5A10"/>
    <w:pPr>
      <w:widowControl w:val="0"/>
    </w:pPr>
    <w:rPr>
      <w:noProof/>
    </w:rPr>
  </w:style>
  <w:style w:type="paragraph" w:customStyle="1" w:styleId="NormlnyWWW">
    <w:name w:val="Normálny (WWW)"/>
    <w:basedOn w:val="Normlny"/>
    <w:rsid w:val="005E5A10"/>
    <w:rPr>
      <w:b/>
      <w:smallCaps/>
      <w:szCs w:val="20"/>
    </w:rPr>
  </w:style>
  <w:style w:type="paragraph" w:styleId="Zarkazkladnhotextu2">
    <w:name w:val="Body Text Indent 2"/>
    <w:basedOn w:val="Normlny"/>
    <w:link w:val="Zarkazkladnhotextu2Char"/>
    <w:rsid w:val="005E5A10"/>
    <w:pPr>
      <w:spacing w:after="120" w:line="480" w:lineRule="auto"/>
      <w:ind w:left="283"/>
    </w:pPr>
  </w:style>
  <w:style w:type="character" w:customStyle="1" w:styleId="Zarkazkladnhotextu2Char">
    <w:name w:val="Zarážka základného textu 2 Char"/>
    <w:basedOn w:val="Predvolenpsmoodseku"/>
    <w:link w:val="Zarkazkladnhotextu2"/>
    <w:rsid w:val="005E5A10"/>
    <w:rPr>
      <w:rFonts w:eastAsia="Times New Roman" w:cs="Times New Roman"/>
      <w:sz w:val="24"/>
      <w:szCs w:val="24"/>
      <w:lang w:eastAsia="sk-SK"/>
    </w:rPr>
  </w:style>
  <w:style w:type="paragraph" w:customStyle="1" w:styleId="Styl1">
    <w:name w:val="Styl1"/>
    <w:basedOn w:val="Normlny"/>
    <w:rsid w:val="005E5A10"/>
    <w:pPr>
      <w:suppressAutoHyphens/>
    </w:pPr>
    <w:rPr>
      <w:rFonts w:ascii="Arial" w:hAnsi="Arial"/>
      <w:sz w:val="22"/>
      <w:szCs w:val="20"/>
      <w:lang w:eastAsia="ar-SA"/>
    </w:rPr>
  </w:style>
  <w:style w:type="paragraph" w:styleId="Zarkazkladnhotextu3">
    <w:name w:val="Body Text Indent 3"/>
    <w:basedOn w:val="Normlny"/>
    <w:link w:val="Zarkazkladnhotextu3Char"/>
    <w:rsid w:val="005E5A10"/>
    <w:pPr>
      <w:spacing w:after="120"/>
      <w:ind w:left="283"/>
    </w:pPr>
    <w:rPr>
      <w:sz w:val="16"/>
      <w:szCs w:val="16"/>
    </w:rPr>
  </w:style>
  <w:style w:type="character" w:customStyle="1" w:styleId="Zarkazkladnhotextu3Char">
    <w:name w:val="Zarážka základného textu 3 Char"/>
    <w:basedOn w:val="Predvolenpsmoodseku"/>
    <w:link w:val="Zarkazkladnhotextu3"/>
    <w:rsid w:val="005E5A10"/>
    <w:rPr>
      <w:rFonts w:eastAsia="Times New Roman" w:cs="Times New Roman"/>
      <w:sz w:val="16"/>
      <w:szCs w:val="16"/>
      <w:lang w:eastAsia="sk-SK"/>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5E5A10"/>
    <w:pPr>
      <w:spacing w:before="100" w:beforeAutospacing="1" w:after="100" w:afterAutospacing="1"/>
    </w:pPr>
    <w:rPr>
      <w:rFonts w:ascii="Verdana" w:hAnsi="Verdana" w:cs="Verdana"/>
      <w:sz w:val="15"/>
      <w:szCs w:val="15"/>
      <w:lang w:val="cs-CZ" w:eastAsia="cs-CZ"/>
    </w:rPr>
  </w:style>
  <w:style w:type="paragraph" w:customStyle="1" w:styleId="WW-Zkladntext2">
    <w:name w:val="WW-Základný text 2"/>
    <w:basedOn w:val="Normlny"/>
    <w:rsid w:val="005E5A10"/>
    <w:pPr>
      <w:suppressAutoHyphens/>
      <w:overflowPunct w:val="0"/>
      <w:autoSpaceDE w:val="0"/>
      <w:textAlignment w:val="baseline"/>
    </w:pPr>
  </w:style>
  <w:style w:type="paragraph" w:customStyle="1" w:styleId="WW-Zkladntextodsazen2">
    <w:name w:val="WW-Základní text odsazený 2"/>
    <w:basedOn w:val="Normlny"/>
    <w:rsid w:val="005E5A10"/>
    <w:pPr>
      <w:suppressAutoHyphens/>
      <w:ind w:left="1080"/>
      <w:jc w:val="center"/>
    </w:pPr>
    <w:rPr>
      <w:lang w:eastAsia="ar-SA"/>
    </w:rPr>
  </w:style>
  <w:style w:type="paragraph" w:styleId="Popis">
    <w:name w:val="caption"/>
    <w:basedOn w:val="Normlny"/>
    <w:next w:val="Normlny"/>
    <w:qFormat/>
    <w:rsid w:val="005E5A10"/>
    <w:pPr>
      <w:ind w:firstLine="708"/>
    </w:pPr>
    <w:rPr>
      <w:szCs w:val="20"/>
    </w:rPr>
  </w:style>
  <w:style w:type="paragraph" w:customStyle="1" w:styleId="Char">
    <w:name w:val="ΚΕΙΜΕΝΟ Char"/>
    <w:basedOn w:val="Normlny"/>
    <w:rsid w:val="005E5A10"/>
    <w:pPr>
      <w:spacing w:before="120" w:after="120"/>
    </w:pPr>
    <w:rPr>
      <w:rFonts w:ascii="Arial" w:hAnsi="Arial"/>
      <w:spacing w:val="-5"/>
      <w:sz w:val="22"/>
      <w:szCs w:val="20"/>
    </w:rPr>
  </w:style>
  <w:style w:type="paragraph" w:customStyle="1" w:styleId="Normln">
    <w:name w:val="Normální~"/>
    <w:basedOn w:val="Normlny"/>
    <w:rsid w:val="005E5A10"/>
    <w:pPr>
      <w:suppressAutoHyphens/>
      <w:overflowPunct w:val="0"/>
      <w:autoSpaceDE w:val="0"/>
      <w:spacing w:line="228" w:lineRule="auto"/>
      <w:textAlignment w:val="baseline"/>
    </w:pPr>
    <w:rPr>
      <w:lang w:eastAsia="ar-SA"/>
    </w:rPr>
  </w:style>
  <w:style w:type="paragraph" w:customStyle="1" w:styleId="BodyText1">
    <w:name w:val="Body Text1"/>
    <w:basedOn w:val="Normlny"/>
    <w:rsid w:val="005E5A10"/>
    <w:pPr>
      <w:suppressAutoHyphens/>
      <w:autoSpaceDE w:val="0"/>
    </w:pPr>
    <w:rPr>
      <w:lang w:eastAsia="ar-SA"/>
    </w:rPr>
  </w:style>
  <w:style w:type="character" w:customStyle="1" w:styleId="WW-Absatz-Standardschriftart">
    <w:name w:val="WW-Absatz-Standardschriftart"/>
    <w:rsid w:val="005E5A10"/>
  </w:style>
  <w:style w:type="character" w:styleId="Siln">
    <w:name w:val="Strong"/>
    <w:uiPriority w:val="22"/>
    <w:qFormat/>
    <w:rsid w:val="005E5A10"/>
    <w:rPr>
      <w:b/>
      <w:bCs/>
    </w:rPr>
  </w:style>
  <w:style w:type="paragraph" w:customStyle="1" w:styleId="iz">
    <w:name w:val="iz"/>
    <w:basedOn w:val="Normlny"/>
    <w:uiPriority w:val="99"/>
    <w:rsid w:val="005E5A10"/>
    <w:pPr>
      <w:spacing w:before="135" w:after="15"/>
      <w:ind w:firstLine="450"/>
    </w:pPr>
    <w:rPr>
      <w:rFonts w:ascii="Verdana" w:hAnsi="Verdana"/>
      <w:sz w:val="18"/>
      <w:szCs w:val="18"/>
    </w:rPr>
  </w:style>
  <w:style w:type="paragraph" w:customStyle="1" w:styleId="Predvolenpsmoodseku1">
    <w:name w:val="Predvolené písmo odseku1"/>
    <w:aliases w:val="Car Char Char Char Char Char Char Char Char Char Char Char Char Char Char Char Char,Car Char Char Char Char Char Char Char Char Char Char Char Char Char Char Char Char Char Char Char"/>
    <w:basedOn w:val="Normlny"/>
    <w:rsid w:val="005E5A10"/>
    <w:pPr>
      <w:spacing w:after="160" w:line="240" w:lineRule="exact"/>
    </w:pPr>
    <w:rPr>
      <w:rFonts w:ascii="Tahoma" w:hAnsi="Tahoma" w:cs="Tahoma"/>
      <w:sz w:val="20"/>
      <w:szCs w:val="20"/>
      <w:lang w:val="en-US" w:eastAsia="en-US"/>
    </w:rPr>
  </w:style>
  <w:style w:type="paragraph" w:customStyle="1" w:styleId="Zkladntext1">
    <w:name w:val="Základní text1"/>
    <w:basedOn w:val="Normlny"/>
    <w:rsid w:val="005E5A10"/>
    <w:pPr>
      <w:widowControl w:val="0"/>
    </w:pPr>
    <w:rPr>
      <w:lang w:val="cs-CZ" w:eastAsia="cs-CZ"/>
    </w:rPr>
  </w:style>
  <w:style w:type="paragraph" w:customStyle="1" w:styleId="WW-Obsahtabuky11111111111111111111111111111111111111111111111111111111111111111111111111111111111111111111111111111111">
    <w:name w:val="WW-Obsah tabuľky11111111111111111111111111111111111111111111111111111111111111111111111111111111111111111111111111111111"/>
    <w:basedOn w:val="Zkladntext"/>
    <w:rsid w:val="005E5A10"/>
    <w:pPr>
      <w:widowControl w:val="0"/>
      <w:suppressLineNumbers/>
      <w:suppressAutoHyphens/>
      <w:spacing w:after="120"/>
      <w:jc w:val="left"/>
    </w:pPr>
  </w:style>
  <w:style w:type="paragraph" w:customStyle="1" w:styleId="WW-Nadpistabuky11111111111111111111111111111111111111111111111111111111111111111111111111111111111111111111111111111111">
    <w:name w:val="WW-Nadpis tabuľky11111111111111111111111111111111111111111111111111111111111111111111111111111111111111111111111111111111"/>
    <w:basedOn w:val="WW-Obsahtabuky11111111111111111111111111111111111111111111111111111111111111111111111111111111111111111111111111111111"/>
    <w:rsid w:val="005E5A10"/>
    <w:pPr>
      <w:jc w:val="center"/>
    </w:pPr>
    <w:rPr>
      <w:b/>
      <w:bCs/>
      <w:i/>
      <w:iCs/>
    </w:rPr>
  </w:style>
  <w:style w:type="paragraph" w:styleId="Zoznam">
    <w:name w:val="List"/>
    <w:basedOn w:val="Zkladntext"/>
    <w:rsid w:val="005E5A10"/>
    <w:pPr>
      <w:suppressAutoHyphens/>
    </w:pPr>
  </w:style>
  <w:style w:type="paragraph" w:customStyle="1" w:styleId="Zarkazkladnhotextu21">
    <w:name w:val="Zarážka základného textu 21"/>
    <w:basedOn w:val="Normlny"/>
    <w:rsid w:val="005E5A10"/>
    <w:pPr>
      <w:suppressAutoHyphens/>
      <w:ind w:firstLine="708"/>
    </w:pPr>
    <w:rPr>
      <w:lang w:eastAsia="ar-SA"/>
    </w:rPr>
  </w:style>
  <w:style w:type="paragraph" w:customStyle="1" w:styleId="Obyajntext1">
    <w:name w:val="Obyčajný text1"/>
    <w:basedOn w:val="Normlny"/>
    <w:rsid w:val="005E5A10"/>
    <w:pPr>
      <w:suppressAutoHyphens/>
    </w:pPr>
    <w:rPr>
      <w:rFonts w:ascii="Courier New" w:hAnsi="Courier New" w:cs="Courier New"/>
      <w:sz w:val="20"/>
      <w:szCs w:val="20"/>
      <w:lang w:eastAsia="ar-SA"/>
    </w:rPr>
  </w:style>
  <w:style w:type="paragraph" w:customStyle="1" w:styleId="Obsahrmca">
    <w:name w:val="Obsah rámca"/>
    <w:basedOn w:val="Zkladntext"/>
    <w:rsid w:val="005E5A10"/>
    <w:pPr>
      <w:suppressAutoHyphens/>
      <w:overflowPunct w:val="0"/>
      <w:autoSpaceDE w:val="0"/>
      <w:autoSpaceDN w:val="0"/>
      <w:adjustRightInd w:val="0"/>
    </w:pPr>
  </w:style>
  <w:style w:type="character" w:customStyle="1" w:styleId="ra">
    <w:name w:val="ra"/>
    <w:basedOn w:val="Predvolenpsmoodseku"/>
    <w:uiPriority w:val="99"/>
    <w:rsid w:val="005E5A10"/>
  </w:style>
  <w:style w:type="paragraph" w:customStyle="1" w:styleId="Odsekzoznamu1">
    <w:name w:val="Odsek zoznamu1"/>
    <w:basedOn w:val="Normlny"/>
    <w:rsid w:val="005E5A10"/>
    <w:pPr>
      <w:widowControl w:val="0"/>
      <w:suppressAutoHyphens/>
      <w:ind w:left="720"/>
    </w:pPr>
  </w:style>
  <w:style w:type="paragraph" w:customStyle="1" w:styleId="WW-Zkladntext3">
    <w:name w:val="WW-Základní text 3"/>
    <w:basedOn w:val="Normlny"/>
    <w:rsid w:val="005E5A10"/>
    <w:pPr>
      <w:widowControl w:val="0"/>
      <w:tabs>
        <w:tab w:val="left" w:pos="720"/>
      </w:tabs>
      <w:suppressAutoHyphens/>
    </w:pPr>
  </w:style>
  <w:style w:type="character" w:customStyle="1" w:styleId="Internetlink">
    <w:name w:val="Internet link"/>
    <w:rsid w:val="005E5A10"/>
    <w:rPr>
      <w:rFonts w:eastAsia="Times New Roman"/>
      <w:color w:val="0000FF"/>
      <w:u w:val="single"/>
    </w:rPr>
  </w:style>
  <w:style w:type="paragraph" w:customStyle="1" w:styleId="WW-Zkladntext30">
    <w:name w:val="WW-Základný text 3"/>
    <w:basedOn w:val="Normlny"/>
    <w:rsid w:val="005E5A10"/>
    <w:pPr>
      <w:tabs>
        <w:tab w:val="left" w:pos="720"/>
      </w:tabs>
      <w:suppressAutoHyphens/>
    </w:pPr>
    <w:rPr>
      <w:lang w:eastAsia="ar-SA"/>
    </w:rPr>
  </w:style>
  <w:style w:type="paragraph" w:styleId="Podtitul">
    <w:name w:val="Subtitle"/>
    <w:basedOn w:val="Normlny"/>
    <w:link w:val="PodtitulChar"/>
    <w:qFormat/>
    <w:rsid w:val="005E5A10"/>
    <w:rPr>
      <w:i/>
      <w:iCs/>
      <w:sz w:val="28"/>
      <w:szCs w:val="28"/>
      <w:lang w:eastAsia="cs-CZ"/>
    </w:rPr>
  </w:style>
  <w:style w:type="character" w:customStyle="1" w:styleId="PodtitulChar">
    <w:name w:val="Podtitul Char"/>
    <w:basedOn w:val="Predvolenpsmoodseku"/>
    <w:link w:val="Podtitul"/>
    <w:rsid w:val="005E5A10"/>
    <w:rPr>
      <w:rFonts w:eastAsia="Times New Roman" w:cs="Times New Roman"/>
      <w:i/>
      <w:iCs/>
      <w:sz w:val="28"/>
      <w:szCs w:val="28"/>
      <w:lang w:eastAsia="cs-CZ"/>
    </w:rPr>
  </w:style>
  <w:style w:type="paragraph" w:customStyle="1" w:styleId="WW-Obyajntext">
    <w:name w:val="WW-Obyčajný text"/>
    <w:basedOn w:val="Normlny"/>
    <w:rsid w:val="005E5A10"/>
    <w:pPr>
      <w:suppressAutoHyphens/>
    </w:pPr>
    <w:rPr>
      <w:rFonts w:ascii="Courier New" w:hAnsi="Courier New" w:cs="Courier New"/>
      <w:sz w:val="20"/>
      <w:szCs w:val="20"/>
      <w:lang w:eastAsia="ar-SA"/>
    </w:rPr>
  </w:style>
  <w:style w:type="paragraph" w:customStyle="1" w:styleId="Normln0">
    <w:name w:val="Norm‡ln’"/>
    <w:rsid w:val="005E5A10"/>
    <w:pPr>
      <w:overflowPunct w:val="0"/>
      <w:autoSpaceDE w:val="0"/>
      <w:autoSpaceDN w:val="0"/>
      <w:adjustRightInd w:val="0"/>
      <w:spacing w:after="40" w:line="360" w:lineRule="auto"/>
      <w:ind w:left="714" w:hanging="357"/>
      <w:jc w:val="both"/>
      <w:textAlignment w:val="baseline"/>
    </w:pPr>
    <w:rPr>
      <w:rFonts w:ascii="Times New Roman" w:eastAsia="Times New Roman" w:hAnsi="Times New Roman" w:cs="Times New Roman"/>
      <w:sz w:val="20"/>
      <w:szCs w:val="20"/>
      <w:lang w:val="cs-CZ" w:eastAsia="sk-SK"/>
    </w:rPr>
  </w:style>
  <w:style w:type="paragraph" w:customStyle="1" w:styleId="WW-Normlnywebov">
    <w:name w:val="WW-Normálny (webový)"/>
    <w:basedOn w:val="Normlny"/>
    <w:rsid w:val="005E5A10"/>
    <w:pPr>
      <w:suppressAutoHyphens/>
      <w:spacing w:before="280" w:after="119"/>
    </w:pPr>
    <w:rPr>
      <w:lang w:eastAsia="ar-SA"/>
    </w:rPr>
  </w:style>
  <w:style w:type="paragraph" w:customStyle="1" w:styleId="CharChar1">
    <w:name w:val="Char Char1"/>
    <w:basedOn w:val="Normlny"/>
    <w:rsid w:val="005E5A10"/>
    <w:pPr>
      <w:spacing w:after="160" w:line="240" w:lineRule="exact"/>
    </w:pPr>
    <w:rPr>
      <w:rFonts w:ascii="Tahoma" w:hAnsi="Tahoma" w:cs="Tahoma"/>
      <w:sz w:val="20"/>
      <w:szCs w:val="20"/>
      <w:lang w:val="en-US" w:eastAsia="en-US"/>
    </w:rPr>
  </w:style>
  <w:style w:type="character" w:styleId="Odkaznakomentr">
    <w:name w:val="annotation reference"/>
    <w:uiPriority w:val="99"/>
    <w:rsid w:val="005E5A10"/>
    <w:rPr>
      <w:sz w:val="16"/>
      <w:szCs w:val="16"/>
    </w:rPr>
  </w:style>
  <w:style w:type="paragraph" w:styleId="Textkomentra">
    <w:name w:val="annotation text"/>
    <w:basedOn w:val="Normlny"/>
    <w:link w:val="TextkomentraChar"/>
    <w:uiPriority w:val="99"/>
    <w:semiHidden/>
    <w:qFormat/>
    <w:rsid w:val="005E5A10"/>
    <w:rPr>
      <w:sz w:val="20"/>
      <w:szCs w:val="20"/>
    </w:rPr>
  </w:style>
  <w:style w:type="character" w:customStyle="1" w:styleId="TextkomentraChar">
    <w:name w:val="Text komentára Char"/>
    <w:basedOn w:val="Predvolenpsmoodseku"/>
    <w:link w:val="Textkomentra"/>
    <w:uiPriority w:val="99"/>
    <w:semiHidden/>
    <w:qFormat/>
    <w:rsid w:val="005E5A10"/>
    <w:rPr>
      <w:rFonts w:eastAsia="Times New Roman" w:cs="Times New Roman"/>
      <w:sz w:val="20"/>
      <w:szCs w:val="20"/>
      <w:lang w:eastAsia="sk-SK"/>
    </w:rPr>
  </w:style>
  <w:style w:type="paragraph" w:styleId="Predmetkomentra">
    <w:name w:val="annotation subject"/>
    <w:basedOn w:val="Textkomentra"/>
    <w:next w:val="Textkomentra"/>
    <w:link w:val="PredmetkomentraChar"/>
    <w:semiHidden/>
    <w:rsid w:val="005E5A10"/>
    <w:rPr>
      <w:b/>
      <w:bCs/>
    </w:rPr>
  </w:style>
  <w:style w:type="character" w:customStyle="1" w:styleId="PredmetkomentraChar">
    <w:name w:val="Predmet komentára Char"/>
    <w:basedOn w:val="TextkomentraChar"/>
    <w:link w:val="Predmetkomentra"/>
    <w:semiHidden/>
    <w:rsid w:val="005E5A10"/>
    <w:rPr>
      <w:rFonts w:eastAsia="Times New Roman" w:cs="Times New Roman"/>
      <w:b/>
      <w:bCs/>
      <w:sz w:val="20"/>
      <w:szCs w:val="20"/>
      <w:lang w:eastAsia="sk-SK"/>
    </w:rPr>
  </w:style>
  <w:style w:type="paragraph" w:styleId="Bezriadkovania">
    <w:name w:val="No Spacing"/>
    <w:uiPriority w:val="1"/>
    <w:qFormat/>
    <w:rsid w:val="005E5A10"/>
    <w:pPr>
      <w:spacing w:after="40" w:line="360" w:lineRule="auto"/>
      <w:ind w:left="714" w:hanging="357"/>
      <w:jc w:val="both"/>
    </w:pPr>
    <w:rPr>
      <w:rFonts w:ascii="Times New Roman" w:eastAsia="Times New Roman" w:hAnsi="Times New Roman" w:cs="Times New Roman"/>
      <w:sz w:val="20"/>
      <w:szCs w:val="20"/>
      <w:lang w:eastAsia="sk-SK"/>
    </w:rPr>
  </w:style>
  <w:style w:type="paragraph" w:styleId="Hlavikaobsahu">
    <w:name w:val="TOC Heading"/>
    <w:basedOn w:val="Nadpis1"/>
    <w:next w:val="Normlny"/>
    <w:uiPriority w:val="39"/>
    <w:semiHidden/>
    <w:unhideWhenUsed/>
    <w:qFormat/>
    <w:rsid w:val="005E5A10"/>
    <w:pPr>
      <w:keepLines/>
      <w:spacing w:before="480" w:line="276" w:lineRule="auto"/>
      <w:outlineLvl w:val="9"/>
    </w:pPr>
    <w:rPr>
      <w:rFonts w:ascii="Cambria" w:hAnsi="Cambria"/>
      <w:color w:val="365F91"/>
      <w:sz w:val="28"/>
      <w:szCs w:val="28"/>
      <w:lang w:eastAsia="en-US"/>
    </w:rPr>
  </w:style>
  <w:style w:type="paragraph" w:styleId="Obsah6">
    <w:name w:val="toc 6"/>
    <w:basedOn w:val="Normlny"/>
    <w:next w:val="Normlny"/>
    <w:autoRedefine/>
    <w:uiPriority w:val="39"/>
    <w:rsid w:val="005E5A10"/>
    <w:pPr>
      <w:ind w:left="1200"/>
    </w:pPr>
    <w:rPr>
      <w:rFonts w:ascii="Calibri" w:hAnsi="Calibri"/>
      <w:sz w:val="18"/>
      <w:szCs w:val="18"/>
    </w:rPr>
  </w:style>
  <w:style w:type="paragraph" w:styleId="Obsah7">
    <w:name w:val="toc 7"/>
    <w:basedOn w:val="Normlny"/>
    <w:next w:val="Normlny"/>
    <w:autoRedefine/>
    <w:uiPriority w:val="39"/>
    <w:rsid w:val="005E5A10"/>
    <w:pPr>
      <w:ind w:left="1440"/>
    </w:pPr>
    <w:rPr>
      <w:rFonts w:ascii="Calibri" w:hAnsi="Calibri"/>
      <w:sz w:val="18"/>
      <w:szCs w:val="18"/>
    </w:rPr>
  </w:style>
  <w:style w:type="paragraph" w:styleId="Obsah8">
    <w:name w:val="toc 8"/>
    <w:basedOn w:val="Normlny"/>
    <w:next w:val="Normlny"/>
    <w:autoRedefine/>
    <w:uiPriority w:val="39"/>
    <w:rsid w:val="005E5A10"/>
    <w:pPr>
      <w:ind w:left="1680"/>
    </w:pPr>
    <w:rPr>
      <w:rFonts w:ascii="Calibri" w:hAnsi="Calibri"/>
      <w:sz w:val="18"/>
      <w:szCs w:val="18"/>
    </w:rPr>
  </w:style>
  <w:style w:type="paragraph" w:styleId="Obsah9">
    <w:name w:val="toc 9"/>
    <w:basedOn w:val="Normlny"/>
    <w:next w:val="Normlny"/>
    <w:autoRedefine/>
    <w:uiPriority w:val="39"/>
    <w:rsid w:val="005E5A10"/>
    <w:pPr>
      <w:ind w:left="1920"/>
    </w:pPr>
    <w:rPr>
      <w:rFonts w:ascii="Calibri" w:hAnsi="Calibri"/>
      <w:sz w:val="18"/>
      <w:szCs w:val="18"/>
    </w:rPr>
  </w:style>
  <w:style w:type="paragraph" w:styleId="truktradokumentu">
    <w:name w:val="Document Map"/>
    <w:basedOn w:val="Normlny"/>
    <w:link w:val="truktradokumentuChar"/>
    <w:rsid w:val="005E5A10"/>
    <w:rPr>
      <w:rFonts w:ascii="Tahoma" w:hAnsi="Tahoma"/>
      <w:sz w:val="16"/>
      <w:szCs w:val="16"/>
    </w:rPr>
  </w:style>
  <w:style w:type="character" w:customStyle="1" w:styleId="truktradokumentuChar">
    <w:name w:val="Štruktúra dokumentu Char"/>
    <w:basedOn w:val="Predvolenpsmoodseku"/>
    <w:link w:val="truktradokumentu"/>
    <w:rsid w:val="005E5A10"/>
    <w:rPr>
      <w:rFonts w:ascii="Tahoma" w:eastAsia="Times New Roman" w:hAnsi="Tahoma" w:cs="Times New Roman"/>
      <w:sz w:val="16"/>
      <w:szCs w:val="16"/>
      <w:lang w:eastAsia="sk-SK"/>
    </w:rPr>
  </w:style>
  <w:style w:type="paragraph" w:customStyle="1" w:styleId="Bezriadkovania1">
    <w:name w:val="Bez riadkovania1"/>
    <w:uiPriority w:val="99"/>
    <w:rsid w:val="005E5A10"/>
    <w:pPr>
      <w:spacing w:after="40" w:line="360" w:lineRule="auto"/>
      <w:ind w:left="714" w:hanging="357"/>
      <w:jc w:val="both"/>
    </w:pPr>
    <w:rPr>
      <w:rFonts w:ascii="Calibri" w:eastAsia="Times New Roman" w:hAnsi="Calibri" w:cs="Calibri"/>
    </w:rPr>
  </w:style>
  <w:style w:type="table" w:styleId="Elegantntabuka">
    <w:name w:val="Table Elegant"/>
    <w:basedOn w:val="Normlnatabuka"/>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ouitHypertextovPrepojenie">
    <w:name w:val="FollowedHyperlink"/>
    <w:rsid w:val="005E5A10"/>
    <w:rPr>
      <w:color w:val="800080"/>
      <w:u w:val="single"/>
    </w:rPr>
  </w:style>
  <w:style w:type="paragraph" w:customStyle="1" w:styleId="CharCharCharChar1">
    <w:name w:val="Char Char Char Char1"/>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Char1">
    <w:name w:val="Char1"/>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
    <w:name w:val="Char Char Char"/>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Char">
    <w:name w:val="Char Char Char Char"/>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Obsahtabuky">
    <w:name w:val="Obsah tabuľky"/>
    <w:basedOn w:val="Zkladntext"/>
    <w:rsid w:val="005E5A10"/>
    <w:pPr>
      <w:widowControl w:val="0"/>
      <w:suppressLineNumbers/>
      <w:suppressAutoHyphens/>
      <w:spacing w:after="120"/>
      <w:ind w:firstLine="0"/>
      <w:jc w:val="left"/>
    </w:pPr>
    <w:rPr>
      <w:rFonts w:eastAsia="Lucida Sans Unicode"/>
      <w:szCs w:val="20"/>
      <w:lang w:eastAsia="en-US"/>
    </w:rPr>
  </w:style>
  <w:style w:type="paragraph" w:styleId="Normlnysozarkami">
    <w:name w:val="Normal Indent"/>
    <w:basedOn w:val="Normlny"/>
    <w:link w:val="NormlnysozarkamiChar"/>
    <w:uiPriority w:val="99"/>
    <w:qFormat/>
    <w:rsid w:val="005E5A10"/>
    <w:pPr>
      <w:spacing w:after="0"/>
      <w:ind w:firstLine="357"/>
    </w:pPr>
    <w:rPr>
      <w:sz w:val="22"/>
    </w:rPr>
  </w:style>
  <w:style w:type="paragraph" w:customStyle="1" w:styleId="bullet1">
    <w:name w:val="bullet1"/>
    <w:basedOn w:val="Odsekzoznamu2"/>
    <w:link w:val="bullet1Char"/>
    <w:qFormat/>
    <w:rsid w:val="005E5A10"/>
    <w:pPr>
      <w:spacing w:line="360" w:lineRule="auto"/>
      <w:ind w:left="0"/>
    </w:pPr>
    <w:rPr>
      <w:b/>
      <w:sz w:val="24"/>
      <w:szCs w:val="24"/>
    </w:rPr>
  </w:style>
  <w:style w:type="character" w:customStyle="1" w:styleId="NormlnysozarkamiChar">
    <w:name w:val="Normálny so zarážkami Char"/>
    <w:link w:val="Normlnysozarkami"/>
    <w:uiPriority w:val="99"/>
    <w:locked/>
    <w:rsid w:val="005E5A10"/>
    <w:rPr>
      <w:rFonts w:eastAsia="Times New Roman" w:cs="Times New Roman"/>
      <w:szCs w:val="24"/>
      <w:lang w:eastAsia="sk-SK"/>
    </w:rPr>
  </w:style>
  <w:style w:type="character" w:customStyle="1" w:styleId="bullet1Char">
    <w:name w:val="bullet1 Char"/>
    <w:link w:val="bullet1"/>
    <w:locked/>
    <w:rsid w:val="005E5A10"/>
    <w:rPr>
      <w:rFonts w:ascii="Calibri" w:eastAsia="Times New Roman" w:hAnsi="Calibri" w:cs="Times New Roman"/>
      <w:b/>
      <w:sz w:val="24"/>
      <w:szCs w:val="24"/>
    </w:r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5E5A10"/>
    <w:pPr>
      <w:spacing w:after="0"/>
      <w:ind w:firstLine="0"/>
    </w:pPr>
    <w:rPr>
      <w:sz w:val="20"/>
      <w:szCs w:val="20"/>
      <w:lang w:eastAsia="cs-CZ"/>
    </w:rPr>
  </w:style>
  <w:style w:type="character" w:customStyle="1" w:styleId="TextpoznmkypodiarouChar">
    <w:name w:val="Text poznámky pod čiarou Char"/>
    <w:aliases w:val="Text poznámky pod čiarou 007 Char,_Poznámka pod čiarou Char,stile 1 Char,Alaviitteen teksti Char Char,Alaviitteen teksti Char Char Char Char Char Char,Märk Char,Fußnotentext arial Char,Footnote Text Char2 Char,fn Char"/>
    <w:basedOn w:val="Predvolenpsmoodseku"/>
    <w:link w:val="Textpoznmkypodiarou"/>
    <w:rsid w:val="005E5A10"/>
    <w:rPr>
      <w:rFonts w:eastAsia="Times New Roman" w:cs="Times New Roman"/>
      <w:sz w:val="20"/>
      <w:szCs w:val="20"/>
      <w:lang w:eastAsia="cs-CZ"/>
    </w:rPr>
  </w:style>
  <w:style w:type="character" w:styleId="Odkaznapoznmkupodiarou">
    <w:name w:val="footnote reference"/>
    <w:aliases w:val="Footnote,Footnotes refss,FRef ISO"/>
    <w:rsid w:val="005E5A10"/>
    <w:rPr>
      <w:vertAlign w:val="superscript"/>
    </w:rPr>
  </w:style>
  <w:style w:type="paragraph" w:customStyle="1" w:styleId="Odsekzoznamu2">
    <w:name w:val="Odsek zoznamu2"/>
    <w:basedOn w:val="Normlny"/>
    <w:link w:val="Odsekzoznamu2Char"/>
    <w:rsid w:val="005E5A10"/>
    <w:pPr>
      <w:spacing w:after="200" w:line="276" w:lineRule="auto"/>
      <w:ind w:left="720" w:firstLine="0"/>
      <w:contextualSpacing/>
      <w:jc w:val="left"/>
    </w:pPr>
    <w:rPr>
      <w:rFonts w:ascii="Calibri" w:hAnsi="Calibri"/>
      <w:sz w:val="22"/>
      <w:szCs w:val="22"/>
      <w:lang w:eastAsia="en-US"/>
    </w:rPr>
  </w:style>
  <w:style w:type="character" w:customStyle="1" w:styleId="Zkladntext5">
    <w:name w:val="Základný text (5)_"/>
    <w:link w:val="Zkladntext50"/>
    <w:rsid w:val="005E5A10"/>
    <w:rPr>
      <w:rFonts w:ascii="Arial" w:eastAsia="Arial" w:hAnsi="Arial" w:cs="Arial"/>
      <w:sz w:val="18"/>
      <w:szCs w:val="18"/>
      <w:shd w:val="clear" w:color="auto" w:fill="FFFFFF"/>
    </w:rPr>
  </w:style>
  <w:style w:type="character" w:customStyle="1" w:styleId="Zkladntext20">
    <w:name w:val="Základný text (2)_"/>
    <w:link w:val="Zkladntext21"/>
    <w:rsid w:val="005E5A10"/>
    <w:rPr>
      <w:rFonts w:ascii="Arial" w:eastAsia="Arial" w:hAnsi="Arial" w:cs="Arial"/>
      <w:sz w:val="17"/>
      <w:szCs w:val="17"/>
      <w:shd w:val="clear" w:color="auto" w:fill="FFFFFF"/>
    </w:rPr>
  </w:style>
  <w:style w:type="character" w:customStyle="1" w:styleId="Zkladntext30">
    <w:name w:val="Základný text (3)_"/>
    <w:link w:val="Zkladntext31"/>
    <w:rsid w:val="005E5A10"/>
    <w:rPr>
      <w:rFonts w:ascii="Arial" w:eastAsia="Arial" w:hAnsi="Arial" w:cs="Arial"/>
      <w:sz w:val="18"/>
      <w:szCs w:val="18"/>
      <w:shd w:val="clear" w:color="auto" w:fill="FFFFFF"/>
    </w:rPr>
  </w:style>
  <w:style w:type="character" w:customStyle="1" w:styleId="Zkladntext29bodovKurzva">
    <w:name w:val="Základný text (2) + 9 bodov;Kurzíva"/>
    <w:rsid w:val="005E5A10"/>
    <w:rPr>
      <w:rFonts w:ascii="Arial" w:eastAsia="Arial" w:hAnsi="Arial" w:cs="Arial"/>
      <w:i/>
      <w:iCs/>
      <w:sz w:val="18"/>
      <w:szCs w:val="18"/>
      <w:shd w:val="clear" w:color="auto" w:fill="FFFFFF"/>
    </w:rPr>
  </w:style>
  <w:style w:type="paragraph" w:customStyle="1" w:styleId="Zkladntext50">
    <w:name w:val="Základný text (5)"/>
    <w:basedOn w:val="Normlny"/>
    <w:link w:val="Zkladntext5"/>
    <w:rsid w:val="005E5A10"/>
    <w:pPr>
      <w:shd w:val="clear" w:color="auto" w:fill="FFFFFF"/>
      <w:spacing w:after="0" w:line="0" w:lineRule="atLeast"/>
      <w:ind w:firstLine="0"/>
      <w:jc w:val="left"/>
    </w:pPr>
    <w:rPr>
      <w:rFonts w:ascii="Arial" w:eastAsia="Arial" w:hAnsi="Arial" w:cs="Arial"/>
      <w:sz w:val="18"/>
      <w:szCs w:val="18"/>
      <w:lang w:eastAsia="en-US"/>
    </w:rPr>
  </w:style>
  <w:style w:type="paragraph" w:customStyle="1" w:styleId="Zkladntext21">
    <w:name w:val="Základný text (2)"/>
    <w:basedOn w:val="Normlny"/>
    <w:link w:val="Zkladntext20"/>
    <w:rsid w:val="005E5A10"/>
    <w:pPr>
      <w:shd w:val="clear" w:color="auto" w:fill="FFFFFF"/>
      <w:spacing w:after="0" w:line="226" w:lineRule="exact"/>
      <w:ind w:firstLine="0"/>
    </w:pPr>
    <w:rPr>
      <w:rFonts w:ascii="Arial" w:eastAsia="Arial" w:hAnsi="Arial" w:cs="Arial"/>
      <w:sz w:val="17"/>
      <w:szCs w:val="17"/>
      <w:lang w:eastAsia="en-US"/>
    </w:rPr>
  </w:style>
  <w:style w:type="paragraph" w:customStyle="1" w:styleId="Zkladntext31">
    <w:name w:val="Základný text (3)"/>
    <w:basedOn w:val="Normlny"/>
    <w:link w:val="Zkladntext30"/>
    <w:rsid w:val="005E5A10"/>
    <w:pPr>
      <w:shd w:val="clear" w:color="auto" w:fill="FFFFFF"/>
      <w:spacing w:after="0" w:line="221" w:lineRule="exact"/>
      <w:ind w:firstLine="0"/>
    </w:pPr>
    <w:rPr>
      <w:rFonts w:ascii="Arial" w:eastAsia="Arial" w:hAnsi="Arial" w:cs="Arial"/>
      <w:sz w:val="18"/>
      <w:szCs w:val="18"/>
      <w:lang w:eastAsia="en-US"/>
    </w:rPr>
  </w:style>
  <w:style w:type="character" w:customStyle="1" w:styleId="Zkladntext0">
    <w:name w:val="Základný text_"/>
    <w:link w:val="Zkladntext10"/>
    <w:rsid w:val="005E5A10"/>
    <w:rPr>
      <w:rFonts w:eastAsia="Times New Roman"/>
      <w:sz w:val="21"/>
      <w:szCs w:val="21"/>
      <w:shd w:val="clear" w:color="auto" w:fill="FFFFFF"/>
    </w:rPr>
  </w:style>
  <w:style w:type="paragraph" w:customStyle="1" w:styleId="Zkladntext10">
    <w:name w:val="Základný text1"/>
    <w:basedOn w:val="Normlny"/>
    <w:link w:val="Zkladntext0"/>
    <w:rsid w:val="005E5A10"/>
    <w:pPr>
      <w:shd w:val="clear" w:color="auto" w:fill="FFFFFF"/>
      <w:spacing w:after="240" w:line="264" w:lineRule="exact"/>
      <w:ind w:firstLine="0"/>
    </w:pPr>
    <w:rPr>
      <w:rFonts w:cstheme="minorBidi"/>
      <w:sz w:val="21"/>
      <w:szCs w:val="21"/>
      <w:lang w:eastAsia="en-US"/>
    </w:rPr>
  </w:style>
  <w:style w:type="paragraph" w:customStyle="1" w:styleId="123">
    <w:name w:val="123"/>
    <w:basedOn w:val="Odsekzoznamu"/>
    <w:link w:val="123Char"/>
    <w:qFormat/>
    <w:rsid w:val="005E5A10"/>
    <w:pPr>
      <w:spacing w:before="240" w:after="60"/>
      <w:ind w:firstLine="0"/>
    </w:pPr>
    <w:rPr>
      <w:rFonts w:cs="Times New Roman"/>
      <w:b/>
      <w:sz w:val="22"/>
      <w:szCs w:val="24"/>
    </w:rPr>
  </w:style>
  <w:style w:type="character" w:customStyle="1" w:styleId="123Char">
    <w:name w:val="123 Char"/>
    <w:link w:val="123"/>
    <w:locked/>
    <w:rsid w:val="005E5A10"/>
    <w:rPr>
      <w:rFonts w:eastAsia="Times New Roman" w:cs="Times New Roman"/>
      <w:b/>
      <w:szCs w:val="24"/>
    </w:rPr>
  </w:style>
  <w:style w:type="table" w:customStyle="1" w:styleId="Svetlpodfarbeniezvraznenie11">
    <w:name w:val="Svetlé podfarbenie – zvýraznenie 11"/>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2">
    <w:name w:val="Svetlé podfarbenie – zvýraznenie 12"/>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3">
    <w:name w:val="Svetlé podfarbenie – zvýraznenie 13"/>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Intenzvnyodkaz">
    <w:name w:val="Intense Reference"/>
    <w:uiPriority w:val="32"/>
    <w:qFormat/>
    <w:rsid w:val="005E5A10"/>
    <w:rPr>
      <w:b/>
      <w:bCs/>
      <w:smallCaps/>
      <w:color w:val="C0504D"/>
      <w:spacing w:val="5"/>
      <w:u w:val="single"/>
    </w:rPr>
  </w:style>
  <w:style w:type="paragraph" w:customStyle="1" w:styleId="NormlnsWWW">
    <w:name w:val="Normální (síť WWW)"/>
    <w:basedOn w:val="Normlny"/>
    <w:uiPriority w:val="99"/>
    <w:rsid w:val="005E5A10"/>
    <w:pPr>
      <w:spacing w:before="100" w:beforeAutospacing="1" w:after="100" w:afterAutospacing="1"/>
      <w:ind w:firstLine="0"/>
      <w:jc w:val="left"/>
    </w:pPr>
    <w:rPr>
      <w:rFonts w:ascii="Arial Unicode MS" w:cs="Arial Unicode MS"/>
    </w:rPr>
  </w:style>
  <w:style w:type="paragraph" w:customStyle="1" w:styleId="Nadpis20">
    <w:name w:val="Nadpis2"/>
    <w:basedOn w:val="Nadpis1"/>
    <w:qFormat/>
    <w:rsid w:val="005E5A10"/>
    <w:pPr>
      <w:numPr>
        <w:ilvl w:val="1"/>
        <w:numId w:val="1"/>
      </w:numPr>
      <w:spacing w:before="120" w:after="120"/>
    </w:pPr>
    <w:rPr>
      <w:rFonts w:ascii="Arial Narrow" w:hAnsi="Arial Narrow"/>
      <w:szCs w:val="20"/>
      <w:lang w:val="cs-CZ"/>
    </w:rPr>
  </w:style>
  <w:style w:type="paragraph" w:customStyle="1" w:styleId="Nadpis30">
    <w:name w:val="Nadpis3"/>
    <w:basedOn w:val="Nadpis20"/>
    <w:link w:val="Nadpis3Char0"/>
    <w:qFormat/>
    <w:rsid w:val="005E5A10"/>
    <w:pPr>
      <w:numPr>
        <w:ilvl w:val="2"/>
      </w:numPr>
      <w:tabs>
        <w:tab w:val="num" w:pos="360"/>
      </w:tabs>
    </w:pPr>
    <w:rPr>
      <w:sz w:val="20"/>
    </w:rPr>
  </w:style>
  <w:style w:type="character" w:customStyle="1" w:styleId="Nadpis3Char0">
    <w:name w:val="Nadpis3 Char"/>
    <w:link w:val="Nadpis30"/>
    <w:locked/>
    <w:rsid w:val="005E5A10"/>
    <w:rPr>
      <w:rFonts w:ascii="Arial Narrow" w:eastAsia="Times New Roman" w:hAnsi="Arial Narrow" w:cs="Times New Roman"/>
      <w:b/>
      <w:color w:val="000000"/>
      <w:sz w:val="20"/>
      <w:szCs w:val="20"/>
      <w:lang w:val="cs-CZ" w:eastAsia="sk-SK"/>
    </w:rPr>
  </w:style>
  <w:style w:type="character" w:customStyle="1" w:styleId="st">
    <w:name w:val="st"/>
    <w:basedOn w:val="Predvolenpsmoodseku"/>
    <w:rsid w:val="005E5A10"/>
  </w:style>
  <w:style w:type="paragraph" w:customStyle="1" w:styleId="Zkladntext4">
    <w:name w:val="Základní text"/>
    <w:basedOn w:val="Normlny"/>
    <w:rsid w:val="005E5A10"/>
    <w:pPr>
      <w:widowControl w:val="0"/>
      <w:spacing w:after="0"/>
      <w:ind w:firstLine="0"/>
      <w:jc w:val="left"/>
    </w:pPr>
    <w:rPr>
      <w:lang w:val="cs-CZ" w:eastAsia="cs-CZ"/>
    </w:rPr>
  </w:style>
  <w:style w:type="paragraph" w:customStyle="1" w:styleId="Default">
    <w:name w:val="Default"/>
    <w:rsid w:val="005E5A10"/>
    <w:pPr>
      <w:autoSpaceDE w:val="0"/>
      <w:autoSpaceDN w:val="0"/>
      <w:adjustRightInd w:val="0"/>
      <w:spacing w:after="0" w:line="240" w:lineRule="auto"/>
    </w:pPr>
    <w:rPr>
      <w:rFonts w:ascii="Calibri" w:eastAsia="Times New Roman" w:hAnsi="Calibri" w:cs="Calibri"/>
      <w:color w:val="000000"/>
      <w:sz w:val="24"/>
      <w:szCs w:val="24"/>
      <w:lang w:eastAsia="sk-SK"/>
    </w:rPr>
  </w:style>
  <w:style w:type="character" w:customStyle="1" w:styleId="OdsekzoznamuChar">
    <w:name w:val="Odsek zoznamu Char"/>
    <w:aliases w:val="body Char,List Paragraph Char,Odsek Char,Dot pt Char,F5 List Paragraph Char,List Paragraph1 Char,No Spacing1 Char,List Paragraph Char Char Char Char,Indicator Text Char,Numbered Para 1 Char,Colorful List - Accent 11 Char,Bullet 1 Char"/>
    <w:basedOn w:val="Predvolenpsmoodseku"/>
    <w:link w:val="Odsekzoznamu"/>
    <w:uiPriority w:val="34"/>
    <w:qFormat/>
    <w:rsid w:val="005E5A10"/>
    <w:rPr>
      <w:rFonts w:eastAsia="Times New Roman" w:cs="Calibri"/>
      <w:sz w:val="24"/>
    </w:rPr>
  </w:style>
  <w:style w:type="paragraph" w:customStyle="1" w:styleId="listparagraph">
    <w:name w:val="listparagraph"/>
    <w:basedOn w:val="Normlny"/>
    <w:rsid w:val="005E5A10"/>
    <w:pPr>
      <w:spacing w:after="200" w:line="276" w:lineRule="auto"/>
      <w:ind w:left="720" w:firstLine="0"/>
      <w:jc w:val="left"/>
    </w:pPr>
    <w:rPr>
      <w:rFonts w:ascii="Calibri" w:eastAsiaTheme="minorHAnsi" w:hAnsi="Calibri" w:cs="Calibri"/>
      <w:sz w:val="22"/>
      <w:szCs w:val="22"/>
      <w:lang w:val="de-AT" w:eastAsia="de-AT"/>
    </w:rPr>
  </w:style>
  <w:style w:type="numbering" w:customStyle="1" w:styleId="Bezzoznamu1">
    <w:name w:val="Bez zoznamu1"/>
    <w:next w:val="Bezzoznamu"/>
    <w:semiHidden/>
    <w:rsid w:val="005E5A10"/>
  </w:style>
  <w:style w:type="table" w:styleId="Webovtabuka2">
    <w:name w:val="Table Web 2"/>
    <w:basedOn w:val="Normlnatabuka"/>
    <w:rsid w:val="005E5A10"/>
    <w:pPr>
      <w:spacing w:after="0" w:line="240" w:lineRule="auto"/>
    </w:pPr>
    <w:rPr>
      <w:rFonts w:ascii="Calibri" w:eastAsia="Times New Roman" w:hAnsi="Calibri" w:cs="Times New Roman"/>
      <w:sz w:val="20"/>
      <w:szCs w:val="20"/>
      <w:lang w:eastAsia="sk-S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BLOK12Prvndek063cm">
    <w:name w:val="Styl BLOK 12 + První řádek:  063 cm"/>
    <w:basedOn w:val="Normlny"/>
    <w:autoRedefine/>
    <w:rsid w:val="005E5A10"/>
    <w:pPr>
      <w:spacing w:after="0"/>
      <w:ind w:firstLine="0"/>
    </w:pPr>
    <w:rPr>
      <w:rFonts w:ascii="Calibri" w:hAnsi="Calibri"/>
      <w:i/>
      <w:szCs w:val="20"/>
    </w:rPr>
  </w:style>
  <w:style w:type="table" w:customStyle="1" w:styleId="Mriekatabuky1">
    <w:name w:val="Mriežka tabuľky1"/>
    <w:basedOn w:val="Normlnatabuka"/>
    <w:next w:val="Mriekatabuky"/>
    <w:uiPriority w:val="59"/>
    <w:rsid w:val="005E5A10"/>
    <w:pPr>
      <w:spacing w:after="0" w:line="240" w:lineRule="auto"/>
    </w:pPr>
    <w:rPr>
      <w:rFonts w:ascii="Calibri" w:eastAsia="Times New Roman"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Predvolenpsmoodseku"/>
    <w:rsid w:val="005E5A10"/>
  </w:style>
  <w:style w:type="paragraph" w:customStyle="1" w:styleId="Normlnysozarkami11">
    <w:name w:val="Normálny so zarážkami11"/>
    <w:basedOn w:val="Normlny"/>
    <w:qFormat/>
    <w:rsid w:val="005E5A10"/>
    <w:pPr>
      <w:spacing w:after="0"/>
      <w:ind w:firstLine="357"/>
    </w:pPr>
    <w:rPr>
      <w:sz w:val="22"/>
    </w:rPr>
  </w:style>
  <w:style w:type="paragraph" w:customStyle="1" w:styleId="Normlnysozarkami1">
    <w:name w:val="Normálny so zarážkami1"/>
    <w:basedOn w:val="Normlny"/>
    <w:link w:val="normalindentChar"/>
    <w:qFormat/>
    <w:rsid w:val="005E5A10"/>
    <w:pPr>
      <w:spacing w:after="0"/>
      <w:ind w:firstLine="357"/>
    </w:pPr>
    <w:rPr>
      <w:sz w:val="22"/>
    </w:rPr>
  </w:style>
  <w:style w:type="character" w:customStyle="1" w:styleId="normalindentChar">
    <w:name w:val="normal indent Char"/>
    <w:link w:val="Normlnysozarkami1"/>
    <w:rsid w:val="005E5A10"/>
    <w:rPr>
      <w:rFonts w:eastAsia="Times New Roman" w:cs="Times New Roman"/>
      <w:szCs w:val="24"/>
      <w:lang w:eastAsia="sk-SK"/>
    </w:rPr>
  </w:style>
  <w:style w:type="paragraph" w:customStyle="1" w:styleId="rove1">
    <w:name w:val="úroveň_1"/>
    <w:basedOn w:val="Normlny"/>
    <w:link w:val="rove1Char"/>
    <w:qFormat/>
    <w:rsid w:val="005E5A10"/>
    <w:pPr>
      <w:spacing w:after="0"/>
      <w:ind w:firstLine="0"/>
    </w:pPr>
    <w:rPr>
      <w:b/>
      <w:color w:val="000000"/>
    </w:rPr>
  </w:style>
  <w:style w:type="paragraph" w:customStyle="1" w:styleId="rove2">
    <w:name w:val="úroveň_2"/>
    <w:basedOn w:val="Normlny"/>
    <w:link w:val="rove2Char"/>
    <w:qFormat/>
    <w:rsid w:val="005E5A10"/>
    <w:pPr>
      <w:spacing w:after="0"/>
      <w:ind w:firstLine="0"/>
      <w:jc w:val="left"/>
    </w:pPr>
    <w:rPr>
      <w:b/>
      <w:color w:val="000000"/>
    </w:rPr>
  </w:style>
  <w:style w:type="character" w:customStyle="1" w:styleId="rove1Char">
    <w:name w:val="úroveň_1 Char"/>
    <w:basedOn w:val="Predvolenpsmoodseku"/>
    <w:link w:val="rove1"/>
    <w:rsid w:val="005E5A10"/>
    <w:rPr>
      <w:rFonts w:eastAsia="Times New Roman" w:cs="Times New Roman"/>
      <w:b/>
      <w:color w:val="000000"/>
      <w:sz w:val="24"/>
      <w:szCs w:val="24"/>
      <w:lang w:eastAsia="sk-SK"/>
    </w:rPr>
  </w:style>
  <w:style w:type="paragraph" w:customStyle="1" w:styleId="rove3">
    <w:name w:val="úroveň_3"/>
    <w:basedOn w:val="Odsekzoznamu2"/>
    <w:link w:val="rove3Char"/>
    <w:qFormat/>
    <w:rsid w:val="005E5A10"/>
    <w:pPr>
      <w:numPr>
        <w:ilvl w:val="2"/>
        <w:numId w:val="3"/>
      </w:numPr>
      <w:spacing w:after="0" w:line="360" w:lineRule="auto"/>
      <w:jc w:val="both"/>
    </w:pPr>
    <w:rPr>
      <w:b/>
      <w:bCs/>
      <w:sz w:val="24"/>
      <w:szCs w:val="24"/>
    </w:rPr>
  </w:style>
  <w:style w:type="character" w:customStyle="1" w:styleId="rove2Char">
    <w:name w:val="úroveň_2 Char"/>
    <w:basedOn w:val="Predvolenpsmoodseku"/>
    <w:link w:val="rove2"/>
    <w:rsid w:val="005E5A10"/>
    <w:rPr>
      <w:rFonts w:eastAsia="Times New Roman" w:cs="Times New Roman"/>
      <w:b/>
      <w:color w:val="000000"/>
      <w:sz w:val="24"/>
      <w:szCs w:val="24"/>
      <w:lang w:eastAsia="sk-SK"/>
    </w:rPr>
  </w:style>
  <w:style w:type="character" w:customStyle="1" w:styleId="Odsekzoznamu2Char">
    <w:name w:val="Odsek zoznamu2 Char"/>
    <w:basedOn w:val="Predvolenpsmoodseku"/>
    <w:link w:val="Odsekzoznamu2"/>
    <w:rsid w:val="005E5A10"/>
    <w:rPr>
      <w:rFonts w:ascii="Calibri" w:eastAsia="Times New Roman" w:hAnsi="Calibri" w:cs="Times New Roman"/>
    </w:rPr>
  </w:style>
  <w:style w:type="character" w:customStyle="1" w:styleId="rove3Char">
    <w:name w:val="úroveň_3 Char"/>
    <w:basedOn w:val="Odsekzoznamu2Char"/>
    <w:link w:val="rove3"/>
    <w:rsid w:val="005E5A10"/>
    <w:rPr>
      <w:rFonts w:ascii="Calibri" w:eastAsia="Times New Roman" w:hAnsi="Calibri" w:cs="Times New Roman"/>
      <w:b/>
      <w:bCs/>
      <w:sz w:val="24"/>
      <w:szCs w:val="24"/>
    </w:rPr>
  </w:style>
  <w:style w:type="paragraph" w:customStyle="1" w:styleId="zdroj">
    <w:name w:val="zdroj"/>
    <w:basedOn w:val="Normlny"/>
    <w:link w:val="zdrojChar"/>
    <w:uiPriority w:val="99"/>
    <w:qFormat/>
    <w:rsid w:val="005E5A10"/>
    <w:pPr>
      <w:spacing w:before="60" w:after="120"/>
      <w:ind w:firstLine="567"/>
    </w:pPr>
    <w:rPr>
      <w:i/>
      <w:color w:val="000000"/>
      <w:sz w:val="20"/>
      <w:szCs w:val="20"/>
      <w:lang w:val="cs-CZ"/>
    </w:rPr>
  </w:style>
  <w:style w:type="character" w:customStyle="1" w:styleId="zdrojChar">
    <w:name w:val="zdroj Char"/>
    <w:basedOn w:val="Predvolenpsmoodseku"/>
    <w:link w:val="zdroj"/>
    <w:uiPriority w:val="99"/>
    <w:locked/>
    <w:rsid w:val="005E5A10"/>
    <w:rPr>
      <w:rFonts w:eastAsia="Times New Roman" w:cs="Times New Roman"/>
      <w:i/>
      <w:color w:val="000000"/>
      <w:sz w:val="20"/>
      <w:szCs w:val="20"/>
      <w:lang w:val="cs-CZ" w:eastAsia="sk-SK"/>
    </w:rPr>
  </w:style>
  <w:style w:type="character" w:styleId="Zstupntext">
    <w:name w:val="Placeholder Text"/>
    <w:basedOn w:val="Predvolenpsmoodseku"/>
    <w:uiPriority w:val="99"/>
    <w:semiHidden/>
    <w:rsid w:val="005E5A10"/>
    <w:rPr>
      <w:rFonts w:ascii="Times New Roman" w:hAnsi="Times New Roman" w:cs="Times New Roman"/>
      <w:color w:val="808080"/>
    </w:rPr>
  </w:style>
  <w:style w:type="character" w:styleId="Zvraznenie">
    <w:name w:val="Emphasis"/>
    <w:uiPriority w:val="20"/>
    <w:qFormat/>
    <w:rsid w:val="005E5A10"/>
    <w:rPr>
      <w:i/>
      <w:iCs/>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5E5A10"/>
    <w:rPr>
      <w:rFonts w:ascii="Verdana" w:eastAsia="Times New Roman" w:hAnsi="Verdana" w:cs="Verdana"/>
      <w:sz w:val="15"/>
      <w:szCs w:val="15"/>
      <w:lang w:val="cs-CZ" w:eastAsia="cs-CZ"/>
    </w:rPr>
  </w:style>
  <w:style w:type="paragraph" w:styleId="Citcia">
    <w:name w:val="Quote"/>
    <w:basedOn w:val="Normlny"/>
    <w:next w:val="Normlny"/>
    <w:link w:val="CitciaChar"/>
    <w:uiPriority w:val="29"/>
    <w:qFormat/>
    <w:rsid w:val="005E5A10"/>
    <w:pPr>
      <w:spacing w:after="200" w:line="276" w:lineRule="auto"/>
      <w:ind w:firstLine="0"/>
      <w:jc w:val="left"/>
    </w:pPr>
    <w:rPr>
      <w:rFonts w:eastAsiaTheme="minorEastAsia" w:cstheme="minorBidi"/>
      <w:i/>
      <w:iCs/>
      <w:color w:val="000000" w:themeColor="text1"/>
      <w:sz w:val="22"/>
      <w:szCs w:val="22"/>
    </w:rPr>
  </w:style>
  <w:style w:type="character" w:customStyle="1" w:styleId="CitciaChar">
    <w:name w:val="Citácia Char"/>
    <w:basedOn w:val="Predvolenpsmoodseku"/>
    <w:link w:val="Citcia"/>
    <w:uiPriority w:val="29"/>
    <w:rsid w:val="005E5A10"/>
    <w:rPr>
      <w:rFonts w:eastAsiaTheme="minorEastAsia"/>
      <w:i/>
      <w:iCs/>
      <w:color w:val="000000" w:themeColor="text1"/>
      <w:lang w:eastAsia="sk-SK"/>
    </w:rPr>
  </w:style>
  <w:style w:type="paragraph" w:styleId="z-Hornokrajformulra">
    <w:name w:val="HTML Top of Form"/>
    <w:basedOn w:val="Normlny"/>
    <w:next w:val="Normlny"/>
    <w:link w:val="z-HornokrajformulraChar"/>
    <w:hidden/>
    <w:uiPriority w:val="99"/>
    <w:semiHidden/>
    <w:unhideWhenUsed/>
    <w:rsid w:val="005E5A10"/>
    <w:pPr>
      <w:pBdr>
        <w:bottom w:val="single" w:sz="6" w:space="1" w:color="auto"/>
      </w:pBdr>
      <w:spacing w:after="0"/>
      <w:ind w:firstLine="0"/>
      <w:jc w:val="center"/>
    </w:pPr>
    <w:rPr>
      <w:rFonts w:ascii="Arial" w:hAnsi="Arial" w:cs="Arial"/>
      <w:vanish/>
      <w:sz w:val="16"/>
      <w:szCs w:val="16"/>
    </w:rPr>
  </w:style>
  <w:style w:type="character" w:customStyle="1" w:styleId="z-HornokrajformulraChar">
    <w:name w:val="z-Horný okraj formulára Char"/>
    <w:basedOn w:val="Predvolenpsmoodseku"/>
    <w:link w:val="z-Hornokrajformulra"/>
    <w:uiPriority w:val="99"/>
    <w:semiHidden/>
    <w:rsid w:val="005E5A10"/>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unhideWhenUsed/>
    <w:rsid w:val="005E5A10"/>
    <w:pPr>
      <w:pBdr>
        <w:top w:val="single" w:sz="6" w:space="1" w:color="auto"/>
      </w:pBdr>
      <w:spacing w:after="0"/>
      <w:ind w:firstLine="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rsid w:val="005E5A10"/>
    <w:rPr>
      <w:rFonts w:ascii="Arial" w:eastAsia="Times New Roman" w:hAnsi="Arial" w:cs="Arial"/>
      <w:vanish/>
      <w:sz w:val="16"/>
      <w:szCs w:val="16"/>
      <w:lang w:eastAsia="sk-SK"/>
    </w:rPr>
  </w:style>
  <w:style w:type="table" w:customStyle="1" w:styleId="Mriekatabuky2">
    <w:name w:val="Mriežka tabuľky2"/>
    <w:basedOn w:val="Normlnatabuka"/>
    <w:next w:val="Mriekatabuky"/>
    <w:uiPriority w:val="59"/>
    <w:rsid w:val="005E5A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sodsekom">
    <w:name w:val="normálny s odsekom"/>
    <w:basedOn w:val="Normlny"/>
    <w:qFormat/>
    <w:rsid w:val="005E5A10"/>
    <w:pPr>
      <w:spacing w:after="120" w:line="360" w:lineRule="auto"/>
      <w:ind w:firstLine="709"/>
    </w:pPr>
    <w:rPr>
      <w:rFonts w:ascii="Calibri" w:eastAsia="Calibri" w:hAnsi="Calibri"/>
      <w:sz w:val="22"/>
      <w:szCs w:val="22"/>
      <w:lang w:eastAsia="en-US"/>
    </w:rPr>
  </w:style>
  <w:style w:type="table" w:styleId="Svetlpodfarbeniezvraznenie1">
    <w:name w:val="Light Shading Accent 1"/>
    <w:basedOn w:val="Normlnatabuka"/>
    <w:uiPriority w:val="60"/>
    <w:rsid w:val="005E5A10"/>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oznamsodrkami">
    <w:name w:val="List Bullet"/>
    <w:basedOn w:val="Normlny"/>
    <w:rsid w:val="00FF4642"/>
    <w:pPr>
      <w:numPr>
        <w:numId w:val="8"/>
      </w:numPr>
      <w:spacing w:after="240"/>
    </w:pPr>
    <w:rPr>
      <w:szCs w:val="20"/>
      <w:lang w:val="en-GB" w:eastAsia="ko-KR"/>
    </w:rPr>
  </w:style>
  <w:style w:type="numbering" w:customStyle="1" w:styleId="Bezzoznamu2">
    <w:name w:val="Bez zoznamu2"/>
    <w:next w:val="Bezzoznamu"/>
    <w:uiPriority w:val="99"/>
    <w:semiHidden/>
    <w:unhideWhenUsed/>
    <w:rsid w:val="00326B32"/>
  </w:style>
  <w:style w:type="table" w:customStyle="1" w:styleId="Svetlpodfarbeniezvraznenie111">
    <w:name w:val="Svetlé podfarbenie – zvýraznenie 111"/>
    <w:basedOn w:val="Normlnatabuka"/>
    <w:next w:val="Svetlpodfarbeniezvraznenie1"/>
    <w:uiPriority w:val="60"/>
    <w:rsid w:val="003B3DCF"/>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trednmrieka3zvraznenie3">
    <w:name w:val="Medium Grid 3 Accent 3"/>
    <w:basedOn w:val="Normlnatabuka"/>
    <w:uiPriority w:val="69"/>
    <w:semiHidden/>
    <w:unhideWhenUsed/>
    <w:rsid w:val="008A5C8E"/>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Nevyrieenzmienka1">
    <w:name w:val="Nevyriešená zmienka1"/>
    <w:basedOn w:val="Predvolenpsmoodseku"/>
    <w:uiPriority w:val="99"/>
    <w:semiHidden/>
    <w:unhideWhenUsed/>
    <w:rsid w:val="0024364E"/>
    <w:rPr>
      <w:color w:val="605E5C"/>
      <w:shd w:val="clear" w:color="auto" w:fill="E1DFDD"/>
    </w:rPr>
  </w:style>
  <w:style w:type="paragraph" w:customStyle="1" w:styleId="Zkladntext23">
    <w:name w:val="Základný text 23"/>
    <w:basedOn w:val="Normlny"/>
    <w:rsid w:val="00A65842"/>
    <w:pPr>
      <w:spacing w:after="0"/>
      <w:ind w:firstLine="0"/>
    </w:pPr>
    <w:rPr>
      <w:szCs w:val="20"/>
    </w:rPr>
  </w:style>
  <w:style w:type="table" w:customStyle="1" w:styleId="Mriekatabuky21">
    <w:name w:val="Mriežka tabuľky21"/>
    <w:basedOn w:val="Normlnatabuka"/>
    <w:next w:val="Mriekatabuky"/>
    <w:uiPriority w:val="59"/>
    <w:rsid w:val="00401A8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lny"/>
    <w:rsid w:val="002D5060"/>
    <w:pPr>
      <w:spacing w:before="100" w:beforeAutospacing="1" w:after="100" w:afterAutospacing="1"/>
      <w:ind w:firstLine="0"/>
      <w:jc w:val="left"/>
    </w:pPr>
  </w:style>
  <w:style w:type="character" w:customStyle="1" w:styleId="cf01">
    <w:name w:val="cf01"/>
    <w:basedOn w:val="Predvolenpsmoodseku"/>
    <w:rsid w:val="002D5060"/>
    <w:rPr>
      <w:rFonts w:ascii="Segoe UI" w:hAnsi="Segoe UI" w:cs="Segoe UI" w:hint="default"/>
      <w:sz w:val="18"/>
      <w:szCs w:val="18"/>
    </w:rPr>
  </w:style>
  <w:style w:type="character" w:customStyle="1" w:styleId="cf11">
    <w:name w:val="cf11"/>
    <w:basedOn w:val="Predvolenpsmoodseku"/>
    <w:rsid w:val="002D5060"/>
    <w:rPr>
      <w:rFonts w:ascii="Segoe UI" w:hAnsi="Segoe UI" w:cs="Segoe UI" w:hint="default"/>
      <w:b/>
      <w:bCs/>
      <w:sz w:val="18"/>
      <w:szCs w:val="18"/>
    </w:rPr>
  </w:style>
  <w:style w:type="table" w:customStyle="1" w:styleId="Svetlpodfarbeniezvraznenie112">
    <w:name w:val="Svetlé podfarbenie – zvýraznenie 112"/>
    <w:basedOn w:val="Normlnatabuka"/>
    <w:next w:val="Svetlpodfarbeniezvraznenie1"/>
    <w:uiPriority w:val="60"/>
    <w:rsid w:val="000F4585"/>
    <w:pPr>
      <w:spacing w:after="0" w:line="240" w:lineRule="auto"/>
    </w:pPr>
    <w:rPr>
      <w:rFonts w:ascii="Times New Roman" w:eastAsia="Times New Roman" w:hAnsi="Times New Roman"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etlpodfarbeniezvraznenie131">
    <w:name w:val="Svetlé podfarbenie – zvýraznenie 131"/>
    <w:basedOn w:val="Normlnatabuka"/>
    <w:next w:val="Svetlpodfarbeniezvraznenie1"/>
    <w:uiPriority w:val="60"/>
    <w:rsid w:val="000F4585"/>
    <w:pPr>
      <w:spacing w:after="0" w:line="240" w:lineRule="auto"/>
    </w:pPr>
    <w:rPr>
      <w:rFonts w:ascii="Times New Roman" w:eastAsia="Times New Roman" w:hAnsi="Times New Roman"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etlpodfarbeniezvraznenie113">
    <w:name w:val="Svetlé podfarbenie – zvýraznenie 113"/>
    <w:basedOn w:val="Normlnatabuka"/>
    <w:next w:val="Svetlpodfarbeniezvraznenie1"/>
    <w:uiPriority w:val="60"/>
    <w:rsid w:val="008611D9"/>
    <w:pPr>
      <w:spacing w:after="0" w:line="240" w:lineRule="auto"/>
    </w:pPr>
    <w:rPr>
      <w:rFonts w:ascii="Times New Roman" w:eastAsia="Times New Roman" w:hAnsi="Times New Roman"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Normlnysozarkami12">
    <w:name w:val="Normálny so zarážkami12"/>
    <w:basedOn w:val="Normlny"/>
    <w:qFormat/>
    <w:rsid w:val="008509A7"/>
    <w:pPr>
      <w:spacing w:after="0"/>
      <w:ind w:firstLine="357"/>
    </w:pPr>
    <w:rPr>
      <w:rFonts w:ascii="Arial Narrow" w:hAnsi="Arial Narrow"/>
      <w:sz w:val="22"/>
    </w:rPr>
  </w:style>
  <w:style w:type="character" w:customStyle="1" w:styleId="Nevyrieenzmienka2">
    <w:name w:val="Nevyriešená zmienka2"/>
    <w:basedOn w:val="Predvolenpsmoodseku"/>
    <w:uiPriority w:val="99"/>
    <w:semiHidden/>
    <w:unhideWhenUsed/>
    <w:rsid w:val="006D23AB"/>
    <w:rPr>
      <w:color w:val="605E5C"/>
      <w:shd w:val="clear" w:color="auto" w:fill="E1DFDD"/>
    </w:rPr>
  </w:style>
  <w:style w:type="paragraph" w:customStyle="1" w:styleId="text-justify">
    <w:name w:val="text-justify"/>
    <w:basedOn w:val="Normlny"/>
    <w:rsid w:val="006D0703"/>
    <w:pPr>
      <w:spacing w:before="100" w:beforeAutospacing="1" w:after="100" w:afterAutospacing="1"/>
      <w:ind w:firstLine="0"/>
      <w:jc w:val="left"/>
    </w:pPr>
  </w:style>
  <w:style w:type="character" w:customStyle="1" w:styleId="normaltextrun">
    <w:name w:val="normaltextrun"/>
    <w:basedOn w:val="Predvolenpsmoodseku"/>
    <w:rsid w:val="000D5301"/>
  </w:style>
  <w:style w:type="character" w:customStyle="1" w:styleId="FontStyle51">
    <w:name w:val="Font Style51"/>
    <w:uiPriority w:val="99"/>
    <w:qFormat/>
    <w:rsid w:val="0089154E"/>
    <w:rPr>
      <w:rFonts w:ascii="Times New Roman" w:hAnsi="Times New Roman" w:cs="Times New Roman"/>
      <w:sz w:val="22"/>
      <w:szCs w:val="22"/>
    </w:rPr>
  </w:style>
  <w:style w:type="paragraph" w:customStyle="1" w:styleId="Style38">
    <w:name w:val="Style38"/>
    <w:basedOn w:val="Normlny"/>
    <w:uiPriority w:val="99"/>
    <w:qFormat/>
    <w:rsid w:val="0089154E"/>
    <w:pPr>
      <w:widowControl w:val="0"/>
      <w:spacing w:after="0" w:line="274" w:lineRule="exact"/>
      <w:ind w:hanging="341"/>
    </w:pPr>
    <w:rPr>
      <w:rFonts w:ascii="Arial" w:hAnsi="Arial" w:cs="Arial"/>
      <w:color w:val="00000A"/>
    </w:rPr>
  </w:style>
  <w:style w:type="table" w:customStyle="1" w:styleId="tltabsprava3">
    <w:name w:val="Štýl_tab_sprava3"/>
    <w:basedOn w:val="Normlnatabuka"/>
    <w:uiPriority w:val="99"/>
    <w:rsid w:val="00D218F0"/>
    <w:pPr>
      <w:spacing w:after="0" w:line="240" w:lineRule="auto"/>
      <w:jc w:val="center"/>
    </w:pPr>
    <w:rPr>
      <w:rFonts w:ascii="Arial Narrow" w:eastAsia="Times New Roman" w:hAnsi="Arial Narrow" w:cs="Times New Roman"/>
      <w:szCs w:val="20"/>
      <w:lang w:val="en-US"/>
    </w:rPr>
    <w:tblPr>
      <w:tblStyleRowBandSize w:val="1"/>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Pr>
    <w:tcPr>
      <w:shd w:val="clear" w:color="auto" w:fill="auto"/>
      <w:vAlign w:val="center"/>
    </w:tcPr>
    <w:tblStylePr w:type="firstRow">
      <w:pPr>
        <w:jc w:val="center"/>
      </w:pPr>
      <w:rPr>
        <w:rFonts w:ascii="Bahnschrift SemiLight" w:hAnsi="Bahnschrift SemiLight"/>
        <w:b/>
        <w:color w:val="FFFFFF" w:themeColor="background1"/>
        <w:sz w:val="22"/>
      </w:rPr>
      <w:tblPr/>
      <w:tcPr>
        <w:shd w:val="clear" w:color="auto" w:fill="B7194A"/>
      </w:tcPr>
    </w:tblStylePr>
    <w:tblStylePr w:type="band1Horz">
      <w:pPr>
        <w:jc w:val="center"/>
      </w:pPr>
      <w:rPr>
        <w:color w:val="auto"/>
      </w:rPr>
    </w:tblStylePr>
  </w:style>
  <w:style w:type="paragraph" w:customStyle="1" w:styleId="paragraph">
    <w:name w:val="paragraph"/>
    <w:basedOn w:val="Normlny"/>
    <w:rsid w:val="00DE27B1"/>
    <w:pPr>
      <w:spacing w:before="100" w:beforeAutospacing="1" w:after="100" w:afterAutospacing="1"/>
      <w:ind w:firstLine="0"/>
      <w:jc w:val="left"/>
    </w:pPr>
  </w:style>
  <w:style w:type="character" w:customStyle="1" w:styleId="eop">
    <w:name w:val="eop"/>
    <w:basedOn w:val="Predvolenpsmoodseku"/>
    <w:rsid w:val="00DE27B1"/>
  </w:style>
  <w:style w:type="character" w:customStyle="1" w:styleId="scxw28692272">
    <w:name w:val="scxw28692272"/>
    <w:basedOn w:val="Predvolenpsmoodseku"/>
    <w:rsid w:val="00DE27B1"/>
  </w:style>
  <w:style w:type="table" w:customStyle="1" w:styleId="tltabsprava31">
    <w:name w:val="Štýl_tab_sprava31"/>
    <w:basedOn w:val="Normlnatabuka"/>
    <w:uiPriority w:val="99"/>
    <w:rsid w:val="00DD48F9"/>
    <w:pPr>
      <w:spacing w:after="0" w:line="240" w:lineRule="auto"/>
      <w:jc w:val="center"/>
    </w:pPr>
    <w:rPr>
      <w:rFonts w:ascii="Arial Narrow" w:eastAsia="Times New Roman" w:hAnsi="Arial Narrow" w:cs="Times New Roman"/>
      <w:szCs w:val="20"/>
      <w:lang w:val="en-US"/>
    </w:rPr>
    <w:tblPr>
      <w:tblStyleRowBandSize w:val="1"/>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Pr>
    <w:tcPr>
      <w:shd w:val="clear" w:color="auto" w:fill="auto"/>
      <w:vAlign w:val="center"/>
    </w:tcPr>
    <w:tblStylePr w:type="firstRow">
      <w:pPr>
        <w:jc w:val="center"/>
      </w:pPr>
      <w:rPr>
        <w:rFonts w:ascii="Bahnschrift SemiLight" w:hAnsi="Bahnschrift SemiLight"/>
        <w:b/>
        <w:color w:val="FFFFFF" w:themeColor="background1"/>
        <w:sz w:val="22"/>
      </w:rPr>
      <w:tblPr/>
      <w:tcPr>
        <w:shd w:val="clear" w:color="auto" w:fill="B7194A"/>
      </w:tcPr>
    </w:tblStylePr>
    <w:tblStylePr w:type="band1Horz">
      <w:pPr>
        <w:jc w:val="center"/>
      </w:pPr>
      <w:rPr>
        <w:color w:val="auto"/>
      </w:rPr>
    </w:tblStylePr>
  </w:style>
  <w:style w:type="table" w:customStyle="1" w:styleId="tltabsprava32">
    <w:name w:val="Štýl_tab_sprava32"/>
    <w:basedOn w:val="Normlnatabuka"/>
    <w:uiPriority w:val="99"/>
    <w:rsid w:val="004F1F7B"/>
    <w:pPr>
      <w:spacing w:after="0" w:line="240" w:lineRule="auto"/>
      <w:jc w:val="center"/>
    </w:pPr>
    <w:rPr>
      <w:rFonts w:ascii="Arial Narrow" w:eastAsia="Times New Roman" w:hAnsi="Arial Narrow" w:cs="Times New Roman"/>
      <w:szCs w:val="20"/>
      <w:lang w:val="en-US"/>
    </w:rPr>
    <w:tblPr>
      <w:tblStyleRowBandSize w:val="1"/>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Pr>
    <w:tcPr>
      <w:shd w:val="clear" w:color="auto" w:fill="auto"/>
      <w:vAlign w:val="center"/>
    </w:tcPr>
    <w:tblStylePr w:type="firstRow">
      <w:pPr>
        <w:jc w:val="center"/>
      </w:pPr>
      <w:rPr>
        <w:rFonts w:ascii="Bahnschrift SemiLight" w:hAnsi="Bahnschrift SemiLight"/>
        <w:b/>
        <w:color w:val="FFFFFF" w:themeColor="background1"/>
        <w:sz w:val="22"/>
      </w:rPr>
      <w:tblPr/>
      <w:tcPr>
        <w:shd w:val="clear" w:color="auto" w:fill="B7194A"/>
      </w:tcPr>
    </w:tblStylePr>
    <w:tblStylePr w:type="band1Horz">
      <w:pPr>
        <w:jc w:val="center"/>
      </w:pPr>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5688">
      <w:bodyDiv w:val="1"/>
      <w:marLeft w:val="0"/>
      <w:marRight w:val="0"/>
      <w:marTop w:val="0"/>
      <w:marBottom w:val="0"/>
      <w:divBdr>
        <w:top w:val="none" w:sz="0" w:space="0" w:color="auto"/>
        <w:left w:val="none" w:sz="0" w:space="0" w:color="auto"/>
        <w:bottom w:val="none" w:sz="0" w:space="0" w:color="auto"/>
        <w:right w:val="none" w:sz="0" w:space="0" w:color="auto"/>
      </w:divBdr>
    </w:div>
    <w:div w:id="5640212">
      <w:bodyDiv w:val="1"/>
      <w:marLeft w:val="0"/>
      <w:marRight w:val="0"/>
      <w:marTop w:val="0"/>
      <w:marBottom w:val="0"/>
      <w:divBdr>
        <w:top w:val="none" w:sz="0" w:space="0" w:color="auto"/>
        <w:left w:val="none" w:sz="0" w:space="0" w:color="auto"/>
        <w:bottom w:val="none" w:sz="0" w:space="0" w:color="auto"/>
        <w:right w:val="none" w:sz="0" w:space="0" w:color="auto"/>
      </w:divBdr>
    </w:div>
    <w:div w:id="13043970">
      <w:bodyDiv w:val="1"/>
      <w:marLeft w:val="0"/>
      <w:marRight w:val="0"/>
      <w:marTop w:val="0"/>
      <w:marBottom w:val="0"/>
      <w:divBdr>
        <w:top w:val="none" w:sz="0" w:space="0" w:color="auto"/>
        <w:left w:val="none" w:sz="0" w:space="0" w:color="auto"/>
        <w:bottom w:val="none" w:sz="0" w:space="0" w:color="auto"/>
        <w:right w:val="none" w:sz="0" w:space="0" w:color="auto"/>
      </w:divBdr>
      <w:divsChild>
        <w:div w:id="1738550675">
          <w:marLeft w:val="0"/>
          <w:marRight w:val="75"/>
          <w:marTop w:val="0"/>
          <w:marBottom w:val="0"/>
          <w:divBdr>
            <w:top w:val="none" w:sz="0" w:space="0" w:color="auto"/>
            <w:left w:val="none" w:sz="0" w:space="0" w:color="auto"/>
            <w:bottom w:val="none" w:sz="0" w:space="0" w:color="auto"/>
            <w:right w:val="none" w:sz="0" w:space="0" w:color="auto"/>
          </w:divBdr>
        </w:div>
        <w:div w:id="126634299">
          <w:marLeft w:val="0"/>
          <w:marRight w:val="0"/>
          <w:marTop w:val="0"/>
          <w:marBottom w:val="300"/>
          <w:divBdr>
            <w:top w:val="none" w:sz="0" w:space="0" w:color="auto"/>
            <w:left w:val="none" w:sz="0" w:space="0" w:color="auto"/>
            <w:bottom w:val="none" w:sz="0" w:space="0" w:color="auto"/>
            <w:right w:val="none" w:sz="0" w:space="0" w:color="auto"/>
          </w:divBdr>
        </w:div>
      </w:divsChild>
    </w:div>
    <w:div w:id="15429431">
      <w:bodyDiv w:val="1"/>
      <w:marLeft w:val="0"/>
      <w:marRight w:val="0"/>
      <w:marTop w:val="0"/>
      <w:marBottom w:val="0"/>
      <w:divBdr>
        <w:top w:val="none" w:sz="0" w:space="0" w:color="auto"/>
        <w:left w:val="none" w:sz="0" w:space="0" w:color="auto"/>
        <w:bottom w:val="none" w:sz="0" w:space="0" w:color="auto"/>
        <w:right w:val="none" w:sz="0" w:space="0" w:color="auto"/>
      </w:divBdr>
    </w:div>
    <w:div w:id="15546954">
      <w:bodyDiv w:val="1"/>
      <w:marLeft w:val="0"/>
      <w:marRight w:val="0"/>
      <w:marTop w:val="0"/>
      <w:marBottom w:val="0"/>
      <w:divBdr>
        <w:top w:val="none" w:sz="0" w:space="0" w:color="auto"/>
        <w:left w:val="none" w:sz="0" w:space="0" w:color="auto"/>
        <w:bottom w:val="none" w:sz="0" w:space="0" w:color="auto"/>
        <w:right w:val="none" w:sz="0" w:space="0" w:color="auto"/>
      </w:divBdr>
    </w:div>
    <w:div w:id="18624615">
      <w:bodyDiv w:val="1"/>
      <w:marLeft w:val="0"/>
      <w:marRight w:val="0"/>
      <w:marTop w:val="0"/>
      <w:marBottom w:val="0"/>
      <w:divBdr>
        <w:top w:val="none" w:sz="0" w:space="0" w:color="auto"/>
        <w:left w:val="none" w:sz="0" w:space="0" w:color="auto"/>
        <w:bottom w:val="none" w:sz="0" w:space="0" w:color="auto"/>
        <w:right w:val="none" w:sz="0" w:space="0" w:color="auto"/>
      </w:divBdr>
    </w:div>
    <w:div w:id="20514294">
      <w:bodyDiv w:val="1"/>
      <w:marLeft w:val="0"/>
      <w:marRight w:val="0"/>
      <w:marTop w:val="0"/>
      <w:marBottom w:val="0"/>
      <w:divBdr>
        <w:top w:val="none" w:sz="0" w:space="0" w:color="auto"/>
        <w:left w:val="none" w:sz="0" w:space="0" w:color="auto"/>
        <w:bottom w:val="none" w:sz="0" w:space="0" w:color="auto"/>
        <w:right w:val="none" w:sz="0" w:space="0" w:color="auto"/>
      </w:divBdr>
    </w:div>
    <w:div w:id="43676382">
      <w:bodyDiv w:val="1"/>
      <w:marLeft w:val="0"/>
      <w:marRight w:val="0"/>
      <w:marTop w:val="0"/>
      <w:marBottom w:val="0"/>
      <w:divBdr>
        <w:top w:val="none" w:sz="0" w:space="0" w:color="auto"/>
        <w:left w:val="none" w:sz="0" w:space="0" w:color="auto"/>
        <w:bottom w:val="none" w:sz="0" w:space="0" w:color="auto"/>
        <w:right w:val="none" w:sz="0" w:space="0" w:color="auto"/>
      </w:divBdr>
    </w:div>
    <w:div w:id="46681857">
      <w:bodyDiv w:val="1"/>
      <w:marLeft w:val="0"/>
      <w:marRight w:val="0"/>
      <w:marTop w:val="0"/>
      <w:marBottom w:val="0"/>
      <w:divBdr>
        <w:top w:val="none" w:sz="0" w:space="0" w:color="auto"/>
        <w:left w:val="none" w:sz="0" w:space="0" w:color="auto"/>
        <w:bottom w:val="none" w:sz="0" w:space="0" w:color="auto"/>
        <w:right w:val="none" w:sz="0" w:space="0" w:color="auto"/>
      </w:divBdr>
    </w:div>
    <w:div w:id="52504090">
      <w:bodyDiv w:val="1"/>
      <w:marLeft w:val="0"/>
      <w:marRight w:val="0"/>
      <w:marTop w:val="0"/>
      <w:marBottom w:val="0"/>
      <w:divBdr>
        <w:top w:val="none" w:sz="0" w:space="0" w:color="auto"/>
        <w:left w:val="none" w:sz="0" w:space="0" w:color="auto"/>
        <w:bottom w:val="none" w:sz="0" w:space="0" w:color="auto"/>
        <w:right w:val="none" w:sz="0" w:space="0" w:color="auto"/>
      </w:divBdr>
    </w:div>
    <w:div w:id="56363994">
      <w:bodyDiv w:val="1"/>
      <w:marLeft w:val="0"/>
      <w:marRight w:val="0"/>
      <w:marTop w:val="0"/>
      <w:marBottom w:val="0"/>
      <w:divBdr>
        <w:top w:val="none" w:sz="0" w:space="0" w:color="auto"/>
        <w:left w:val="none" w:sz="0" w:space="0" w:color="auto"/>
        <w:bottom w:val="none" w:sz="0" w:space="0" w:color="auto"/>
        <w:right w:val="none" w:sz="0" w:space="0" w:color="auto"/>
      </w:divBdr>
    </w:div>
    <w:div w:id="101799996">
      <w:bodyDiv w:val="1"/>
      <w:marLeft w:val="0"/>
      <w:marRight w:val="0"/>
      <w:marTop w:val="0"/>
      <w:marBottom w:val="0"/>
      <w:divBdr>
        <w:top w:val="none" w:sz="0" w:space="0" w:color="auto"/>
        <w:left w:val="none" w:sz="0" w:space="0" w:color="auto"/>
        <w:bottom w:val="none" w:sz="0" w:space="0" w:color="auto"/>
        <w:right w:val="none" w:sz="0" w:space="0" w:color="auto"/>
      </w:divBdr>
    </w:div>
    <w:div w:id="116460237">
      <w:bodyDiv w:val="1"/>
      <w:marLeft w:val="0"/>
      <w:marRight w:val="0"/>
      <w:marTop w:val="0"/>
      <w:marBottom w:val="0"/>
      <w:divBdr>
        <w:top w:val="none" w:sz="0" w:space="0" w:color="auto"/>
        <w:left w:val="none" w:sz="0" w:space="0" w:color="auto"/>
        <w:bottom w:val="none" w:sz="0" w:space="0" w:color="auto"/>
        <w:right w:val="none" w:sz="0" w:space="0" w:color="auto"/>
      </w:divBdr>
    </w:div>
    <w:div w:id="118913568">
      <w:bodyDiv w:val="1"/>
      <w:marLeft w:val="0"/>
      <w:marRight w:val="0"/>
      <w:marTop w:val="0"/>
      <w:marBottom w:val="0"/>
      <w:divBdr>
        <w:top w:val="none" w:sz="0" w:space="0" w:color="auto"/>
        <w:left w:val="none" w:sz="0" w:space="0" w:color="auto"/>
        <w:bottom w:val="none" w:sz="0" w:space="0" w:color="auto"/>
        <w:right w:val="none" w:sz="0" w:space="0" w:color="auto"/>
      </w:divBdr>
    </w:div>
    <w:div w:id="123470190">
      <w:bodyDiv w:val="1"/>
      <w:marLeft w:val="0"/>
      <w:marRight w:val="0"/>
      <w:marTop w:val="0"/>
      <w:marBottom w:val="0"/>
      <w:divBdr>
        <w:top w:val="none" w:sz="0" w:space="0" w:color="auto"/>
        <w:left w:val="none" w:sz="0" w:space="0" w:color="auto"/>
        <w:bottom w:val="none" w:sz="0" w:space="0" w:color="auto"/>
        <w:right w:val="none" w:sz="0" w:space="0" w:color="auto"/>
      </w:divBdr>
    </w:div>
    <w:div w:id="123737195">
      <w:bodyDiv w:val="1"/>
      <w:marLeft w:val="0"/>
      <w:marRight w:val="0"/>
      <w:marTop w:val="0"/>
      <w:marBottom w:val="0"/>
      <w:divBdr>
        <w:top w:val="none" w:sz="0" w:space="0" w:color="auto"/>
        <w:left w:val="none" w:sz="0" w:space="0" w:color="auto"/>
        <w:bottom w:val="none" w:sz="0" w:space="0" w:color="auto"/>
        <w:right w:val="none" w:sz="0" w:space="0" w:color="auto"/>
      </w:divBdr>
    </w:div>
    <w:div w:id="161628349">
      <w:bodyDiv w:val="1"/>
      <w:marLeft w:val="0"/>
      <w:marRight w:val="0"/>
      <w:marTop w:val="0"/>
      <w:marBottom w:val="0"/>
      <w:divBdr>
        <w:top w:val="none" w:sz="0" w:space="0" w:color="auto"/>
        <w:left w:val="none" w:sz="0" w:space="0" w:color="auto"/>
        <w:bottom w:val="none" w:sz="0" w:space="0" w:color="auto"/>
        <w:right w:val="none" w:sz="0" w:space="0" w:color="auto"/>
      </w:divBdr>
    </w:div>
    <w:div w:id="175846856">
      <w:bodyDiv w:val="1"/>
      <w:marLeft w:val="0"/>
      <w:marRight w:val="0"/>
      <w:marTop w:val="0"/>
      <w:marBottom w:val="0"/>
      <w:divBdr>
        <w:top w:val="none" w:sz="0" w:space="0" w:color="auto"/>
        <w:left w:val="none" w:sz="0" w:space="0" w:color="auto"/>
        <w:bottom w:val="none" w:sz="0" w:space="0" w:color="auto"/>
        <w:right w:val="none" w:sz="0" w:space="0" w:color="auto"/>
      </w:divBdr>
    </w:div>
    <w:div w:id="181747330">
      <w:bodyDiv w:val="1"/>
      <w:marLeft w:val="0"/>
      <w:marRight w:val="0"/>
      <w:marTop w:val="0"/>
      <w:marBottom w:val="0"/>
      <w:divBdr>
        <w:top w:val="none" w:sz="0" w:space="0" w:color="auto"/>
        <w:left w:val="none" w:sz="0" w:space="0" w:color="auto"/>
        <w:bottom w:val="none" w:sz="0" w:space="0" w:color="auto"/>
        <w:right w:val="none" w:sz="0" w:space="0" w:color="auto"/>
      </w:divBdr>
    </w:div>
    <w:div w:id="192110996">
      <w:bodyDiv w:val="1"/>
      <w:marLeft w:val="0"/>
      <w:marRight w:val="0"/>
      <w:marTop w:val="0"/>
      <w:marBottom w:val="0"/>
      <w:divBdr>
        <w:top w:val="none" w:sz="0" w:space="0" w:color="auto"/>
        <w:left w:val="none" w:sz="0" w:space="0" w:color="auto"/>
        <w:bottom w:val="none" w:sz="0" w:space="0" w:color="auto"/>
        <w:right w:val="none" w:sz="0" w:space="0" w:color="auto"/>
      </w:divBdr>
    </w:div>
    <w:div w:id="196545173">
      <w:bodyDiv w:val="1"/>
      <w:marLeft w:val="0"/>
      <w:marRight w:val="0"/>
      <w:marTop w:val="0"/>
      <w:marBottom w:val="0"/>
      <w:divBdr>
        <w:top w:val="none" w:sz="0" w:space="0" w:color="auto"/>
        <w:left w:val="none" w:sz="0" w:space="0" w:color="auto"/>
        <w:bottom w:val="none" w:sz="0" w:space="0" w:color="auto"/>
        <w:right w:val="none" w:sz="0" w:space="0" w:color="auto"/>
      </w:divBdr>
    </w:div>
    <w:div w:id="201987619">
      <w:bodyDiv w:val="1"/>
      <w:marLeft w:val="0"/>
      <w:marRight w:val="0"/>
      <w:marTop w:val="0"/>
      <w:marBottom w:val="0"/>
      <w:divBdr>
        <w:top w:val="none" w:sz="0" w:space="0" w:color="auto"/>
        <w:left w:val="none" w:sz="0" w:space="0" w:color="auto"/>
        <w:bottom w:val="none" w:sz="0" w:space="0" w:color="auto"/>
        <w:right w:val="none" w:sz="0" w:space="0" w:color="auto"/>
      </w:divBdr>
    </w:div>
    <w:div w:id="218439221">
      <w:bodyDiv w:val="1"/>
      <w:marLeft w:val="0"/>
      <w:marRight w:val="0"/>
      <w:marTop w:val="0"/>
      <w:marBottom w:val="0"/>
      <w:divBdr>
        <w:top w:val="none" w:sz="0" w:space="0" w:color="auto"/>
        <w:left w:val="none" w:sz="0" w:space="0" w:color="auto"/>
        <w:bottom w:val="none" w:sz="0" w:space="0" w:color="auto"/>
        <w:right w:val="none" w:sz="0" w:space="0" w:color="auto"/>
      </w:divBdr>
    </w:div>
    <w:div w:id="221018729">
      <w:bodyDiv w:val="1"/>
      <w:marLeft w:val="0"/>
      <w:marRight w:val="0"/>
      <w:marTop w:val="0"/>
      <w:marBottom w:val="0"/>
      <w:divBdr>
        <w:top w:val="none" w:sz="0" w:space="0" w:color="auto"/>
        <w:left w:val="none" w:sz="0" w:space="0" w:color="auto"/>
        <w:bottom w:val="none" w:sz="0" w:space="0" w:color="auto"/>
        <w:right w:val="none" w:sz="0" w:space="0" w:color="auto"/>
      </w:divBdr>
    </w:div>
    <w:div w:id="223878282">
      <w:bodyDiv w:val="1"/>
      <w:marLeft w:val="0"/>
      <w:marRight w:val="0"/>
      <w:marTop w:val="0"/>
      <w:marBottom w:val="0"/>
      <w:divBdr>
        <w:top w:val="none" w:sz="0" w:space="0" w:color="auto"/>
        <w:left w:val="none" w:sz="0" w:space="0" w:color="auto"/>
        <w:bottom w:val="none" w:sz="0" w:space="0" w:color="auto"/>
        <w:right w:val="none" w:sz="0" w:space="0" w:color="auto"/>
      </w:divBdr>
    </w:div>
    <w:div w:id="233052625">
      <w:bodyDiv w:val="1"/>
      <w:marLeft w:val="0"/>
      <w:marRight w:val="0"/>
      <w:marTop w:val="0"/>
      <w:marBottom w:val="0"/>
      <w:divBdr>
        <w:top w:val="none" w:sz="0" w:space="0" w:color="auto"/>
        <w:left w:val="none" w:sz="0" w:space="0" w:color="auto"/>
        <w:bottom w:val="none" w:sz="0" w:space="0" w:color="auto"/>
        <w:right w:val="none" w:sz="0" w:space="0" w:color="auto"/>
      </w:divBdr>
    </w:div>
    <w:div w:id="234559828">
      <w:bodyDiv w:val="1"/>
      <w:marLeft w:val="0"/>
      <w:marRight w:val="0"/>
      <w:marTop w:val="0"/>
      <w:marBottom w:val="0"/>
      <w:divBdr>
        <w:top w:val="none" w:sz="0" w:space="0" w:color="auto"/>
        <w:left w:val="none" w:sz="0" w:space="0" w:color="auto"/>
        <w:bottom w:val="none" w:sz="0" w:space="0" w:color="auto"/>
        <w:right w:val="none" w:sz="0" w:space="0" w:color="auto"/>
      </w:divBdr>
    </w:div>
    <w:div w:id="242569100">
      <w:bodyDiv w:val="1"/>
      <w:marLeft w:val="0"/>
      <w:marRight w:val="0"/>
      <w:marTop w:val="0"/>
      <w:marBottom w:val="0"/>
      <w:divBdr>
        <w:top w:val="none" w:sz="0" w:space="0" w:color="auto"/>
        <w:left w:val="none" w:sz="0" w:space="0" w:color="auto"/>
        <w:bottom w:val="none" w:sz="0" w:space="0" w:color="auto"/>
        <w:right w:val="none" w:sz="0" w:space="0" w:color="auto"/>
      </w:divBdr>
    </w:div>
    <w:div w:id="246695574">
      <w:bodyDiv w:val="1"/>
      <w:marLeft w:val="0"/>
      <w:marRight w:val="0"/>
      <w:marTop w:val="0"/>
      <w:marBottom w:val="0"/>
      <w:divBdr>
        <w:top w:val="none" w:sz="0" w:space="0" w:color="auto"/>
        <w:left w:val="none" w:sz="0" w:space="0" w:color="auto"/>
        <w:bottom w:val="none" w:sz="0" w:space="0" w:color="auto"/>
        <w:right w:val="none" w:sz="0" w:space="0" w:color="auto"/>
      </w:divBdr>
    </w:div>
    <w:div w:id="272058250">
      <w:bodyDiv w:val="1"/>
      <w:marLeft w:val="0"/>
      <w:marRight w:val="0"/>
      <w:marTop w:val="0"/>
      <w:marBottom w:val="0"/>
      <w:divBdr>
        <w:top w:val="none" w:sz="0" w:space="0" w:color="auto"/>
        <w:left w:val="none" w:sz="0" w:space="0" w:color="auto"/>
        <w:bottom w:val="none" w:sz="0" w:space="0" w:color="auto"/>
        <w:right w:val="none" w:sz="0" w:space="0" w:color="auto"/>
      </w:divBdr>
    </w:div>
    <w:div w:id="304241605">
      <w:bodyDiv w:val="1"/>
      <w:marLeft w:val="0"/>
      <w:marRight w:val="0"/>
      <w:marTop w:val="0"/>
      <w:marBottom w:val="0"/>
      <w:divBdr>
        <w:top w:val="none" w:sz="0" w:space="0" w:color="auto"/>
        <w:left w:val="none" w:sz="0" w:space="0" w:color="auto"/>
        <w:bottom w:val="none" w:sz="0" w:space="0" w:color="auto"/>
        <w:right w:val="none" w:sz="0" w:space="0" w:color="auto"/>
      </w:divBdr>
    </w:div>
    <w:div w:id="308872179">
      <w:bodyDiv w:val="1"/>
      <w:marLeft w:val="0"/>
      <w:marRight w:val="0"/>
      <w:marTop w:val="0"/>
      <w:marBottom w:val="0"/>
      <w:divBdr>
        <w:top w:val="none" w:sz="0" w:space="0" w:color="auto"/>
        <w:left w:val="none" w:sz="0" w:space="0" w:color="auto"/>
        <w:bottom w:val="none" w:sz="0" w:space="0" w:color="auto"/>
        <w:right w:val="none" w:sz="0" w:space="0" w:color="auto"/>
      </w:divBdr>
    </w:div>
    <w:div w:id="336465829">
      <w:bodyDiv w:val="1"/>
      <w:marLeft w:val="0"/>
      <w:marRight w:val="0"/>
      <w:marTop w:val="0"/>
      <w:marBottom w:val="0"/>
      <w:divBdr>
        <w:top w:val="none" w:sz="0" w:space="0" w:color="auto"/>
        <w:left w:val="none" w:sz="0" w:space="0" w:color="auto"/>
        <w:bottom w:val="none" w:sz="0" w:space="0" w:color="auto"/>
        <w:right w:val="none" w:sz="0" w:space="0" w:color="auto"/>
      </w:divBdr>
    </w:div>
    <w:div w:id="338970200">
      <w:bodyDiv w:val="1"/>
      <w:marLeft w:val="0"/>
      <w:marRight w:val="0"/>
      <w:marTop w:val="0"/>
      <w:marBottom w:val="0"/>
      <w:divBdr>
        <w:top w:val="none" w:sz="0" w:space="0" w:color="auto"/>
        <w:left w:val="none" w:sz="0" w:space="0" w:color="auto"/>
        <w:bottom w:val="none" w:sz="0" w:space="0" w:color="auto"/>
        <w:right w:val="none" w:sz="0" w:space="0" w:color="auto"/>
      </w:divBdr>
    </w:div>
    <w:div w:id="346717080">
      <w:bodyDiv w:val="1"/>
      <w:marLeft w:val="0"/>
      <w:marRight w:val="0"/>
      <w:marTop w:val="0"/>
      <w:marBottom w:val="0"/>
      <w:divBdr>
        <w:top w:val="none" w:sz="0" w:space="0" w:color="auto"/>
        <w:left w:val="none" w:sz="0" w:space="0" w:color="auto"/>
        <w:bottom w:val="none" w:sz="0" w:space="0" w:color="auto"/>
        <w:right w:val="none" w:sz="0" w:space="0" w:color="auto"/>
      </w:divBdr>
    </w:div>
    <w:div w:id="349111475">
      <w:bodyDiv w:val="1"/>
      <w:marLeft w:val="0"/>
      <w:marRight w:val="0"/>
      <w:marTop w:val="0"/>
      <w:marBottom w:val="0"/>
      <w:divBdr>
        <w:top w:val="none" w:sz="0" w:space="0" w:color="auto"/>
        <w:left w:val="none" w:sz="0" w:space="0" w:color="auto"/>
        <w:bottom w:val="none" w:sz="0" w:space="0" w:color="auto"/>
        <w:right w:val="none" w:sz="0" w:space="0" w:color="auto"/>
      </w:divBdr>
    </w:div>
    <w:div w:id="352221805">
      <w:bodyDiv w:val="1"/>
      <w:marLeft w:val="0"/>
      <w:marRight w:val="0"/>
      <w:marTop w:val="0"/>
      <w:marBottom w:val="0"/>
      <w:divBdr>
        <w:top w:val="none" w:sz="0" w:space="0" w:color="auto"/>
        <w:left w:val="none" w:sz="0" w:space="0" w:color="auto"/>
        <w:bottom w:val="none" w:sz="0" w:space="0" w:color="auto"/>
        <w:right w:val="none" w:sz="0" w:space="0" w:color="auto"/>
      </w:divBdr>
    </w:div>
    <w:div w:id="352533790">
      <w:bodyDiv w:val="1"/>
      <w:marLeft w:val="0"/>
      <w:marRight w:val="0"/>
      <w:marTop w:val="0"/>
      <w:marBottom w:val="0"/>
      <w:divBdr>
        <w:top w:val="none" w:sz="0" w:space="0" w:color="auto"/>
        <w:left w:val="none" w:sz="0" w:space="0" w:color="auto"/>
        <w:bottom w:val="none" w:sz="0" w:space="0" w:color="auto"/>
        <w:right w:val="none" w:sz="0" w:space="0" w:color="auto"/>
      </w:divBdr>
    </w:div>
    <w:div w:id="356464137">
      <w:bodyDiv w:val="1"/>
      <w:marLeft w:val="0"/>
      <w:marRight w:val="0"/>
      <w:marTop w:val="0"/>
      <w:marBottom w:val="0"/>
      <w:divBdr>
        <w:top w:val="none" w:sz="0" w:space="0" w:color="auto"/>
        <w:left w:val="none" w:sz="0" w:space="0" w:color="auto"/>
        <w:bottom w:val="none" w:sz="0" w:space="0" w:color="auto"/>
        <w:right w:val="none" w:sz="0" w:space="0" w:color="auto"/>
      </w:divBdr>
    </w:div>
    <w:div w:id="362051405">
      <w:bodyDiv w:val="1"/>
      <w:marLeft w:val="0"/>
      <w:marRight w:val="0"/>
      <w:marTop w:val="0"/>
      <w:marBottom w:val="0"/>
      <w:divBdr>
        <w:top w:val="none" w:sz="0" w:space="0" w:color="auto"/>
        <w:left w:val="none" w:sz="0" w:space="0" w:color="auto"/>
        <w:bottom w:val="none" w:sz="0" w:space="0" w:color="auto"/>
        <w:right w:val="none" w:sz="0" w:space="0" w:color="auto"/>
      </w:divBdr>
    </w:div>
    <w:div w:id="367951677">
      <w:bodyDiv w:val="1"/>
      <w:marLeft w:val="0"/>
      <w:marRight w:val="0"/>
      <w:marTop w:val="0"/>
      <w:marBottom w:val="0"/>
      <w:divBdr>
        <w:top w:val="none" w:sz="0" w:space="0" w:color="auto"/>
        <w:left w:val="none" w:sz="0" w:space="0" w:color="auto"/>
        <w:bottom w:val="none" w:sz="0" w:space="0" w:color="auto"/>
        <w:right w:val="none" w:sz="0" w:space="0" w:color="auto"/>
      </w:divBdr>
    </w:div>
    <w:div w:id="372539366">
      <w:bodyDiv w:val="1"/>
      <w:marLeft w:val="0"/>
      <w:marRight w:val="0"/>
      <w:marTop w:val="0"/>
      <w:marBottom w:val="0"/>
      <w:divBdr>
        <w:top w:val="none" w:sz="0" w:space="0" w:color="auto"/>
        <w:left w:val="none" w:sz="0" w:space="0" w:color="auto"/>
        <w:bottom w:val="none" w:sz="0" w:space="0" w:color="auto"/>
        <w:right w:val="none" w:sz="0" w:space="0" w:color="auto"/>
      </w:divBdr>
    </w:div>
    <w:div w:id="381684513">
      <w:bodyDiv w:val="1"/>
      <w:marLeft w:val="0"/>
      <w:marRight w:val="0"/>
      <w:marTop w:val="0"/>
      <w:marBottom w:val="0"/>
      <w:divBdr>
        <w:top w:val="none" w:sz="0" w:space="0" w:color="auto"/>
        <w:left w:val="none" w:sz="0" w:space="0" w:color="auto"/>
        <w:bottom w:val="none" w:sz="0" w:space="0" w:color="auto"/>
        <w:right w:val="none" w:sz="0" w:space="0" w:color="auto"/>
      </w:divBdr>
    </w:div>
    <w:div w:id="388386526">
      <w:bodyDiv w:val="1"/>
      <w:marLeft w:val="0"/>
      <w:marRight w:val="0"/>
      <w:marTop w:val="0"/>
      <w:marBottom w:val="0"/>
      <w:divBdr>
        <w:top w:val="none" w:sz="0" w:space="0" w:color="auto"/>
        <w:left w:val="none" w:sz="0" w:space="0" w:color="auto"/>
        <w:bottom w:val="none" w:sz="0" w:space="0" w:color="auto"/>
        <w:right w:val="none" w:sz="0" w:space="0" w:color="auto"/>
      </w:divBdr>
    </w:div>
    <w:div w:id="390347811">
      <w:bodyDiv w:val="1"/>
      <w:marLeft w:val="0"/>
      <w:marRight w:val="0"/>
      <w:marTop w:val="0"/>
      <w:marBottom w:val="0"/>
      <w:divBdr>
        <w:top w:val="none" w:sz="0" w:space="0" w:color="auto"/>
        <w:left w:val="none" w:sz="0" w:space="0" w:color="auto"/>
        <w:bottom w:val="none" w:sz="0" w:space="0" w:color="auto"/>
        <w:right w:val="none" w:sz="0" w:space="0" w:color="auto"/>
      </w:divBdr>
    </w:div>
    <w:div w:id="392196768">
      <w:bodyDiv w:val="1"/>
      <w:marLeft w:val="0"/>
      <w:marRight w:val="0"/>
      <w:marTop w:val="0"/>
      <w:marBottom w:val="0"/>
      <w:divBdr>
        <w:top w:val="none" w:sz="0" w:space="0" w:color="auto"/>
        <w:left w:val="none" w:sz="0" w:space="0" w:color="auto"/>
        <w:bottom w:val="none" w:sz="0" w:space="0" w:color="auto"/>
        <w:right w:val="none" w:sz="0" w:space="0" w:color="auto"/>
      </w:divBdr>
    </w:div>
    <w:div w:id="395202011">
      <w:bodyDiv w:val="1"/>
      <w:marLeft w:val="0"/>
      <w:marRight w:val="0"/>
      <w:marTop w:val="0"/>
      <w:marBottom w:val="0"/>
      <w:divBdr>
        <w:top w:val="none" w:sz="0" w:space="0" w:color="auto"/>
        <w:left w:val="none" w:sz="0" w:space="0" w:color="auto"/>
        <w:bottom w:val="none" w:sz="0" w:space="0" w:color="auto"/>
        <w:right w:val="none" w:sz="0" w:space="0" w:color="auto"/>
      </w:divBdr>
    </w:div>
    <w:div w:id="420025334">
      <w:bodyDiv w:val="1"/>
      <w:marLeft w:val="0"/>
      <w:marRight w:val="0"/>
      <w:marTop w:val="0"/>
      <w:marBottom w:val="0"/>
      <w:divBdr>
        <w:top w:val="none" w:sz="0" w:space="0" w:color="auto"/>
        <w:left w:val="none" w:sz="0" w:space="0" w:color="auto"/>
        <w:bottom w:val="none" w:sz="0" w:space="0" w:color="auto"/>
        <w:right w:val="none" w:sz="0" w:space="0" w:color="auto"/>
      </w:divBdr>
    </w:div>
    <w:div w:id="431366551">
      <w:bodyDiv w:val="1"/>
      <w:marLeft w:val="0"/>
      <w:marRight w:val="0"/>
      <w:marTop w:val="0"/>
      <w:marBottom w:val="0"/>
      <w:divBdr>
        <w:top w:val="none" w:sz="0" w:space="0" w:color="auto"/>
        <w:left w:val="none" w:sz="0" w:space="0" w:color="auto"/>
        <w:bottom w:val="none" w:sz="0" w:space="0" w:color="auto"/>
        <w:right w:val="none" w:sz="0" w:space="0" w:color="auto"/>
      </w:divBdr>
    </w:div>
    <w:div w:id="486214101">
      <w:bodyDiv w:val="1"/>
      <w:marLeft w:val="0"/>
      <w:marRight w:val="0"/>
      <w:marTop w:val="0"/>
      <w:marBottom w:val="0"/>
      <w:divBdr>
        <w:top w:val="none" w:sz="0" w:space="0" w:color="auto"/>
        <w:left w:val="none" w:sz="0" w:space="0" w:color="auto"/>
        <w:bottom w:val="none" w:sz="0" w:space="0" w:color="auto"/>
        <w:right w:val="none" w:sz="0" w:space="0" w:color="auto"/>
      </w:divBdr>
    </w:div>
    <w:div w:id="487936713">
      <w:bodyDiv w:val="1"/>
      <w:marLeft w:val="0"/>
      <w:marRight w:val="0"/>
      <w:marTop w:val="0"/>
      <w:marBottom w:val="0"/>
      <w:divBdr>
        <w:top w:val="none" w:sz="0" w:space="0" w:color="auto"/>
        <w:left w:val="none" w:sz="0" w:space="0" w:color="auto"/>
        <w:bottom w:val="none" w:sz="0" w:space="0" w:color="auto"/>
        <w:right w:val="none" w:sz="0" w:space="0" w:color="auto"/>
      </w:divBdr>
    </w:div>
    <w:div w:id="494422427">
      <w:bodyDiv w:val="1"/>
      <w:marLeft w:val="0"/>
      <w:marRight w:val="0"/>
      <w:marTop w:val="0"/>
      <w:marBottom w:val="0"/>
      <w:divBdr>
        <w:top w:val="none" w:sz="0" w:space="0" w:color="auto"/>
        <w:left w:val="none" w:sz="0" w:space="0" w:color="auto"/>
        <w:bottom w:val="none" w:sz="0" w:space="0" w:color="auto"/>
        <w:right w:val="none" w:sz="0" w:space="0" w:color="auto"/>
      </w:divBdr>
    </w:div>
    <w:div w:id="508834954">
      <w:bodyDiv w:val="1"/>
      <w:marLeft w:val="0"/>
      <w:marRight w:val="0"/>
      <w:marTop w:val="0"/>
      <w:marBottom w:val="0"/>
      <w:divBdr>
        <w:top w:val="none" w:sz="0" w:space="0" w:color="auto"/>
        <w:left w:val="none" w:sz="0" w:space="0" w:color="auto"/>
        <w:bottom w:val="none" w:sz="0" w:space="0" w:color="auto"/>
        <w:right w:val="none" w:sz="0" w:space="0" w:color="auto"/>
      </w:divBdr>
    </w:div>
    <w:div w:id="534851245">
      <w:bodyDiv w:val="1"/>
      <w:marLeft w:val="0"/>
      <w:marRight w:val="0"/>
      <w:marTop w:val="0"/>
      <w:marBottom w:val="0"/>
      <w:divBdr>
        <w:top w:val="none" w:sz="0" w:space="0" w:color="auto"/>
        <w:left w:val="none" w:sz="0" w:space="0" w:color="auto"/>
        <w:bottom w:val="none" w:sz="0" w:space="0" w:color="auto"/>
        <w:right w:val="none" w:sz="0" w:space="0" w:color="auto"/>
      </w:divBdr>
    </w:div>
    <w:div w:id="546186792">
      <w:bodyDiv w:val="1"/>
      <w:marLeft w:val="0"/>
      <w:marRight w:val="0"/>
      <w:marTop w:val="0"/>
      <w:marBottom w:val="0"/>
      <w:divBdr>
        <w:top w:val="none" w:sz="0" w:space="0" w:color="auto"/>
        <w:left w:val="none" w:sz="0" w:space="0" w:color="auto"/>
        <w:bottom w:val="none" w:sz="0" w:space="0" w:color="auto"/>
        <w:right w:val="none" w:sz="0" w:space="0" w:color="auto"/>
      </w:divBdr>
    </w:div>
    <w:div w:id="548305391">
      <w:bodyDiv w:val="1"/>
      <w:marLeft w:val="0"/>
      <w:marRight w:val="0"/>
      <w:marTop w:val="0"/>
      <w:marBottom w:val="0"/>
      <w:divBdr>
        <w:top w:val="none" w:sz="0" w:space="0" w:color="auto"/>
        <w:left w:val="none" w:sz="0" w:space="0" w:color="auto"/>
        <w:bottom w:val="none" w:sz="0" w:space="0" w:color="auto"/>
        <w:right w:val="none" w:sz="0" w:space="0" w:color="auto"/>
      </w:divBdr>
    </w:div>
    <w:div w:id="548497233">
      <w:bodyDiv w:val="1"/>
      <w:marLeft w:val="0"/>
      <w:marRight w:val="0"/>
      <w:marTop w:val="0"/>
      <w:marBottom w:val="0"/>
      <w:divBdr>
        <w:top w:val="none" w:sz="0" w:space="0" w:color="auto"/>
        <w:left w:val="none" w:sz="0" w:space="0" w:color="auto"/>
        <w:bottom w:val="none" w:sz="0" w:space="0" w:color="auto"/>
        <w:right w:val="none" w:sz="0" w:space="0" w:color="auto"/>
      </w:divBdr>
    </w:div>
    <w:div w:id="568543920">
      <w:bodyDiv w:val="1"/>
      <w:marLeft w:val="0"/>
      <w:marRight w:val="0"/>
      <w:marTop w:val="0"/>
      <w:marBottom w:val="0"/>
      <w:divBdr>
        <w:top w:val="none" w:sz="0" w:space="0" w:color="auto"/>
        <w:left w:val="none" w:sz="0" w:space="0" w:color="auto"/>
        <w:bottom w:val="none" w:sz="0" w:space="0" w:color="auto"/>
        <w:right w:val="none" w:sz="0" w:space="0" w:color="auto"/>
      </w:divBdr>
    </w:div>
    <w:div w:id="579489076">
      <w:bodyDiv w:val="1"/>
      <w:marLeft w:val="0"/>
      <w:marRight w:val="0"/>
      <w:marTop w:val="0"/>
      <w:marBottom w:val="0"/>
      <w:divBdr>
        <w:top w:val="none" w:sz="0" w:space="0" w:color="auto"/>
        <w:left w:val="none" w:sz="0" w:space="0" w:color="auto"/>
        <w:bottom w:val="none" w:sz="0" w:space="0" w:color="auto"/>
        <w:right w:val="none" w:sz="0" w:space="0" w:color="auto"/>
      </w:divBdr>
    </w:div>
    <w:div w:id="585384010">
      <w:bodyDiv w:val="1"/>
      <w:marLeft w:val="0"/>
      <w:marRight w:val="0"/>
      <w:marTop w:val="0"/>
      <w:marBottom w:val="0"/>
      <w:divBdr>
        <w:top w:val="none" w:sz="0" w:space="0" w:color="auto"/>
        <w:left w:val="none" w:sz="0" w:space="0" w:color="auto"/>
        <w:bottom w:val="none" w:sz="0" w:space="0" w:color="auto"/>
        <w:right w:val="none" w:sz="0" w:space="0" w:color="auto"/>
      </w:divBdr>
    </w:div>
    <w:div w:id="598611068">
      <w:bodyDiv w:val="1"/>
      <w:marLeft w:val="0"/>
      <w:marRight w:val="0"/>
      <w:marTop w:val="0"/>
      <w:marBottom w:val="0"/>
      <w:divBdr>
        <w:top w:val="none" w:sz="0" w:space="0" w:color="auto"/>
        <w:left w:val="none" w:sz="0" w:space="0" w:color="auto"/>
        <w:bottom w:val="none" w:sz="0" w:space="0" w:color="auto"/>
        <w:right w:val="none" w:sz="0" w:space="0" w:color="auto"/>
      </w:divBdr>
    </w:div>
    <w:div w:id="611977930">
      <w:bodyDiv w:val="1"/>
      <w:marLeft w:val="0"/>
      <w:marRight w:val="0"/>
      <w:marTop w:val="0"/>
      <w:marBottom w:val="0"/>
      <w:divBdr>
        <w:top w:val="none" w:sz="0" w:space="0" w:color="auto"/>
        <w:left w:val="none" w:sz="0" w:space="0" w:color="auto"/>
        <w:bottom w:val="none" w:sz="0" w:space="0" w:color="auto"/>
        <w:right w:val="none" w:sz="0" w:space="0" w:color="auto"/>
      </w:divBdr>
    </w:div>
    <w:div w:id="620234352">
      <w:bodyDiv w:val="1"/>
      <w:marLeft w:val="0"/>
      <w:marRight w:val="0"/>
      <w:marTop w:val="0"/>
      <w:marBottom w:val="0"/>
      <w:divBdr>
        <w:top w:val="none" w:sz="0" w:space="0" w:color="auto"/>
        <w:left w:val="none" w:sz="0" w:space="0" w:color="auto"/>
        <w:bottom w:val="none" w:sz="0" w:space="0" w:color="auto"/>
        <w:right w:val="none" w:sz="0" w:space="0" w:color="auto"/>
      </w:divBdr>
    </w:div>
    <w:div w:id="624772382">
      <w:bodyDiv w:val="1"/>
      <w:marLeft w:val="0"/>
      <w:marRight w:val="0"/>
      <w:marTop w:val="0"/>
      <w:marBottom w:val="0"/>
      <w:divBdr>
        <w:top w:val="none" w:sz="0" w:space="0" w:color="auto"/>
        <w:left w:val="none" w:sz="0" w:space="0" w:color="auto"/>
        <w:bottom w:val="none" w:sz="0" w:space="0" w:color="auto"/>
        <w:right w:val="none" w:sz="0" w:space="0" w:color="auto"/>
      </w:divBdr>
    </w:div>
    <w:div w:id="632909791">
      <w:bodyDiv w:val="1"/>
      <w:marLeft w:val="0"/>
      <w:marRight w:val="0"/>
      <w:marTop w:val="0"/>
      <w:marBottom w:val="0"/>
      <w:divBdr>
        <w:top w:val="none" w:sz="0" w:space="0" w:color="auto"/>
        <w:left w:val="none" w:sz="0" w:space="0" w:color="auto"/>
        <w:bottom w:val="none" w:sz="0" w:space="0" w:color="auto"/>
        <w:right w:val="none" w:sz="0" w:space="0" w:color="auto"/>
      </w:divBdr>
    </w:div>
    <w:div w:id="637613559">
      <w:bodyDiv w:val="1"/>
      <w:marLeft w:val="0"/>
      <w:marRight w:val="0"/>
      <w:marTop w:val="0"/>
      <w:marBottom w:val="0"/>
      <w:divBdr>
        <w:top w:val="none" w:sz="0" w:space="0" w:color="auto"/>
        <w:left w:val="none" w:sz="0" w:space="0" w:color="auto"/>
        <w:bottom w:val="none" w:sz="0" w:space="0" w:color="auto"/>
        <w:right w:val="none" w:sz="0" w:space="0" w:color="auto"/>
      </w:divBdr>
    </w:div>
    <w:div w:id="665400306">
      <w:bodyDiv w:val="1"/>
      <w:marLeft w:val="0"/>
      <w:marRight w:val="0"/>
      <w:marTop w:val="0"/>
      <w:marBottom w:val="0"/>
      <w:divBdr>
        <w:top w:val="none" w:sz="0" w:space="0" w:color="auto"/>
        <w:left w:val="none" w:sz="0" w:space="0" w:color="auto"/>
        <w:bottom w:val="none" w:sz="0" w:space="0" w:color="auto"/>
        <w:right w:val="none" w:sz="0" w:space="0" w:color="auto"/>
      </w:divBdr>
    </w:div>
    <w:div w:id="689842379">
      <w:bodyDiv w:val="1"/>
      <w:marLeft w:val="0"/>
      <w:marRight w:val="0"/>
      <w:marTop w:val="0"/>
      <w:marBottom w:val="0"/>
      <w:divBdr>
        <w:top w:val="none" w:sz="0" w:space="0" w:color="auto"/>
        <w:left w:val="none" w:sz="0" w:space="0" w:color="auto"/>
        <w:bottom w:val="none" w:sz="0" w:space="0" w:color="auto"/>
        <w:right w:val="none" w:sz="0" w:space="0" w:color="auto"/>
      </w:divBdr>
    </w:div>
    <w:div w:id="690643215">
      <w:bodyDiv w:val="1"/>
      <w:marLeft w:val="0"/>
      <w:marRight w:val="0"/>
      <w:marTop w:val="0"/>
      <w:marBottom w:val="0"/>
      <w:divBdr>
        <w:top w:val="none" w:sz="0" w:space="0" w:color="auto"/>
        <w:left w:val="none" w:sz="0" w:space="0" w:color="auto"/>
        <w:bottom w:val="none" w:sz="0" w:space="0" w:color="auto"/>
        <w:right w:val="none" w:sz="0" w:space="0" w:color="auto"/>
      </w:divBdr>
    </w:div>
    <w:div w:id="750855500">
      <w:bodyDiv w:val="1"/>
      <w:marLeft w:val="0"/>
      <w:marRight w:val="0"/>
      <w:marTop w:val="0"/>
      <w:marBottom w:val="0"/>
      <w:divBdr>
        <w:top w:val="none" w:sz="0" w:space="0" w:color="auto"/>
        <w:left w:val="none" w:sz="0" w:space="0" w:color="auto"/>
        <w:bottom w:val="none" w:sz="0" w:space="0" w:color="auto"/>
        <w:right w:val="none" w:sz="0" w:space="0" w:color="auto"/>
      </w:divBdr>
    </w:div>
    <w:div w:id="757214257">
      <w:bodyDiv w:val="1"/>
      <w:marLeft w:val="0"/>
      <w:marRight w:val="0"/>
      <w:marTop w:val="0"/>
      <w:marBottom w:val="0"/>
      <w:divBdr>
        <w:top w:val="none" w:sz="0" w:space="0" w:color="auto"/>
        <w:left w:val="none" w:sz="0" w:space="0" w:color="auto"/>
        <w:bottom w:val="none" w:sz="0" w:space="0" w:color="auto"/>
        <w:right w:val="none" w:sz="0" w:space="0" w:color="auto"/>
      </w:divBdr>
    </w:div>
    <w:div w:id="757219113">
      <w:bodyDiv w:val="1"/>
      <w:marLeft w:val="0"/>
      <w:marRight w:val="0"/>
      <w:marTop w:val="0"/>
      <w:marBottom w:val="0"/>
      <w:divBdr>
        <w:top w:val="none" w:sz="0" w:space="0" w:color="auto"/>
        <w:left w:val="none" w:sz="0" w:space="0" w:color="auto"/>
        <w:bottom w:val="none" w:sz="0" w:space="0" w:color="auto"/>
        <w:right w:val="none" w:sz="0" w:space="0" w:color="auto"/>
      </w:divBdr>
    </w:div>
    <w:div w:id="769352207">
      <w:bodyDiv w:val="1"/>
      <w:marLeft w:val="0"/>
      <w:marRight w:val="0"/>
      <w:marTop w:val="0"/>
      <w:marBottom w:val="0"/>
      <w:divBdr>
        <w:top w:val="none" w:sz="0" w:space="0" w:color="auto"/>
        <w:left w:val="none" w:sz="0" w:space="0" w:color="auto"/>
        <w:bottom w:val="none" w:sz="0" w:space="0" w:color="auto"/>
        <w:right w:val="none" w:sz="0" w:space="0" w:color="auto"/>
      </w:divBdr>
    </w:div>
    <w:div w:id="772478020">
      <w:bodyDiv w:val="1"/>
      <w:marLeft w:val="0"/>
      <w:marRight w:val="0"/>
      <w:marTop w:val="0"/>
      <w:marBottom w:val="0"/>
      <w:divBdr>
        <w:top w:val="none" w:sz="0" w:space="0" w:color="auto"/>
        <w:left w:val="none" w:sz="0" w:space="0" w:color="auto"/>
        <w:bottom w:val="none" w:sz="0" w:space="0" w:color="auto"/>
        <w:right w:val="none" w:sz="0" w:space="0" w:color="auto"/>
      </w:divBdr>
    </w:div>
    <w:div w:id="778649882">
      <w:bodyDiv w:val="1"/>
      <w:marLeft w:val="0"/>
      <w:marRight w:val="0"/>
      <w:marTop w:val="0"/>
      <w:marBottom w:val="0"/>
      <w:divBdr>
        <w:top w:val="none" w:sz="0" w:space="0" w:color="auto"/>
        <w:left w:val="none" w:sz="0" w:space="0" w:color="auto"/>
        <w:bottom w:val="none" w:sz="0" w:space="0" w:color="auto"/>
        <w:right w:val="none" w:sz="0" w:space="0" w:color="auto"/>
      </w:divBdr>
    </w:div>
    <w:div w:id="786967171">
      <w:bodyDiv w:val="1"/>
      <w:marLeft w:val="0"/>
      <w:marRight w:val="0"/>
      <w:marTop w:val="0"/>
      <w:marBottom w:val="0"/>
      <w:divBdr>
        <w:top w:val="none" w:sz="0" w:space="0" w:color="auto"/>
        <w:left w:val="none" w:sz="0" w:space="0" w:color="auto"/>
        <w:bottom w:val="none" w:sz="0" w:space="0" w:color="auto"/>
        <w:right w:val="none" w:sz="0" w:space="0" w:color="auto"/>
      </w:divBdr>
    </w:div>
    <w:div w:id="793713443">
      <w:bodyDiv w:val="1"/>
      <w:marLeft w:val="0"/>
      <w:marRight w:val="0"/>
      <w:marTop w:val="0"/>
      <w:marBottom w:val="0"/>
      <w:divBdr>
        <w:top w:val="none" w:sz="0" w:space="0" w:color="auto"/>
        <w:left w:val="none" w:sz="0" w:space="0" w:color="auto"/>
        <w:bottom w:val="none" w:sz="0" w:space="0" w:color="auto"/>
        <w:right w:val="none" w:sz="0" w:space="0" w:color="auto"/>
      </w:divBdr>
    </w:div>
    <w:div w:id="818763189">
      <w:bodyDiv w:val="1"/>
      <w:marLeft w:val="0"/>
      <w:marRight w:val="0"/>
      <w:marTop w:val="0"/>
      <w:marBottom w:val="0"/>
      <w:divBdr>
        <w:top w:val="none" w:sz="0" w:space="0" w:color="auto"/>
        <w:left w:val="none" w:sz="0" w:space="0" w:color="auto"/>
        <w:bottom w:val="none" w:sz="0" w:space="0" w:color="auto"/>
        <w:right w:val="none" w:sz="0" w:space="0" w:color="auto"/>
      </w:divBdr>
    </w:div>
    <w:div w:id="834804593">
      <w:bodyDiv w:val="1"/>
      <w:marLeft w:val="0"/>
      <w:marRight w:val="0"/>
      <w:marTop w:val="0"/>
      <w:marBottom w:val="0"/>
      <w:divBdr>
        <w:top w:val="none" w:sz="0" w:space="0" w:color="auto"/>
        <w:left w:val="none" w:sz="0" w:space="0" w:color="auto"/>
        <w:bottom w:val="none" w:sz="0" w:space="0" w:color="auto"/>
        <w:right w:val="none" w:sz="0" w:space="0" w:color="auto"/>
      </w:divBdr>
    </w:div>
    <w:div w:id="855074281">
      <w:bodyDiv w:val="1"/>
      <w:marLeft w:val="0"/>
      <w:marRight w:val="0"/>
      <w:marTop w:val="0"/>
      <w:marBottom w:val="0"/>
      <w:divBdr>
        <w:top w:val="none" w:sz="0" w:space="0" w:color="auto"/>
        <w:left w:val="none" w:sz="0" w:space="0" w:color="auto"/>
        <w:bottom w:val="none" w:sz="0" w:space="0" w:color="auto"/>
        <w:right w:val="none" w:sz="0" w:space="0" w:color="auto"/>
      </w:divBdr>
    </w:div>
    <w:div w:id="858005539">
      <w:bodyDiv w:val="1"/>
      <w:marLeft w:val="0"/>
      <w:marRight w:val="0"/>
      <w:marTop w:val="0"/>
      <w:marBottom w:val="0"/>
      <w:divBdr>
        <w:top w:val="none" w:sz="0" w:space="0" w:color="auto"/>
        <w:left w:val="none" w:sz="0" w:space="0" w:color="auto"/>
        <w:bottom w:val="none" w:sz="0" w:space="0" w:color="auto"/>
        <w:right w:val="none" w:sz="0" w:space="0" w:color="auto"/>
      </w:divBdr>
    </w:div>
    <w:div w:id="859048528">
      <w:bodyDiv w:val="1"/>
      <w:marLeft w:val="0"/>
      <w:marRight w:val="0"/>
      <w:marTop w:val="0"/>
      <w:marBottom w:val="0"/>
      <w:divBdr>
        <w:top w:val="none" w:sz="0" w:space="0" w:color="auto"/>
        <w:left w:val="none" w:sz="0" w:space="0" w:color="auto"/>
        <w:bottom w:val="none" w:sz="0" w:space="0" w:color="auto"/>
        <w:right w:val="none" w:sz="0" w:space="0" w:color="auto"/>
      </w:divBdr>
    </w:div>
    <w:div w:id="882446409">
      <w:bodyDiv w:val="1"/>
      <w:marLeft w:val="0"/>
      <w:marRight w:val="0"/>
      <w:marTop w:val="0"/>
      <w:marBottom w:val="0"/>
      <w:divBdr>
        <w:top w:val="none" w:sz="0" w:space="0" w:color="auto"/>
        <w:left w:val="none" w:sz="0" w:space="0" w:color="auto"/>
        <w:bottom w:val="none" w:sz="0" w:space="0" w:color="auto"/>
        <w:right w:val="none" w:sz="0" w:space="0" w:color="auto"/>
      </w:divBdr>
    </w:div>
    <w:div w:id="901788885">
      <w:bodyDiv w:val="1"/>
      <w:marLeft w:val="0"/>
      <w:marRight w:val="0"/>
      <w:marTop w:val="0"/>
      <w:marBottom w:val="0"/>
      <w:divBdr>
        <w:top w:val="none" w:sz="0" w:space="0" w:color="auto"/>
        <w:left w:val="none" w:sz="0" w:space="0" w:color="auto"/>
        <w:bottom w:val="none" w:sz="0" w:space="0" w:color="auto"/>
        <w:right w:val="none" w:sz="0" w:space="0" w:color="auto"/>
      </w:divBdr>
    </w:div>
    <w:div w:id="910697686">
      <w:bodyDiv w:val="1"/>
      <w:marLeft w:val="0"/>
      <w:marRight w:val="0"/>
      <w:marTop w:val="0"/>
      <w:marBottom w:val="0"/>
      <w:divBdr>
        <w:top w:val="none" w:sz="0" w:space="0" w:color="auto"/>
        <w:left w:val="none" w:sz="0" w:space="0" w:color="auto"/>
        <w:bottom w:val="none" w:sz="0" w:space="0" w:color="auto"/>
        <w:right w:val="none" w:sz="0" w:space="0" w:color="auto"/>
      </w:divBdr>
    </w:div>
    <w:div w:id="912929476">
      <w:bodyDiv w:val="1"/>
      <w:marLeft w:val="0"/>
      <w:marRight w:val="0"/>
      <w:marTop w:val="0"/>
      <w:marBottom w:val="0"/>
      <w:divBdr>
        <w:top w:val="none" w:sz="0" w:space="0" w:color="auto"/>
        <w:left w:val="none" w:sz="0" w:space="0" w:color="auto"/>
        <w:bottom w:val="none" w:sz="0" w:space="0" w:color="auto"/>
        <w:right w:val="none" w:sz="0" w:space="0" w:color="auto"/>
      </w:divBdr>
    </w:div>
    <w:div w:id="917863783">
      <w:bodyDiv w:val="1"/>
      <w:marLeft w:val="0"/>
      <w:marRight w:val="0"/>
      <w:marTop w:val="0"/>
      <w:marBottom w:val="0"/>
      <w:divBdr>
        <w:top w:val="none" w:sz="0" w:space="0" w:color="auto"/>
        <w:left w:val="none" w:sz="0" w:space="0" w:color="auto"/>
        <w:bottom w:val="none" w:sz="0" w:space="0" w:color="auto"/>
        <w:right w:val="none" w:sz="0" w:space="0" w:color="auto"/>
      </w:divBdr>
    </w:div>
    <w:div w:id="943418845">
      <w:bodyDiv w:val="1"/>
      <w:marLeft w:val="0"/>
      <w:marRight w:val="0"/>
      <w:marTop w:val="0"/>
      <w:marBottom w:val="0"/>
      <w:divBdr>
        <w:top w:val="none" w:sz="0" w:space="0" w:color="auto"/>
        <w:left w:val="none" w:sz="0" w:space="0" w:color="auto"/>
        <w:bottom w:val="none" w:sz="0" w:space="0" w:color="auto"/>
        <w:right w:val="none" w:sz="0" w:space="0" w:color="auto"/>
      </w:divBdr>
    </w:div>
    <w:div w:id="952248774">
      <w:bodyDiv w:val="1"/>
      <w:marLeft w:val="0"/>
      <w:marRight w:val="0"/>
      <w:marTop w:val="0"/>
      <w:marBottom w:val="0"/>
      <w:divBdr>
        <w:top w:val="none" w:sz="0" w:space="0" w:color="auto"/>
        <w:left w:val="none" w:sz="0" w:space="0" w:color="auto"/>
        <w:bottom w:val="none" w:sz="0" w:space="0" w:color="auto"/>
        <w:right w:val="none" w:sz="0" w:space="0" w:color="auto"/>
      </w:divBdr>
    </w:div>
    <w:div w:id="954365678">
      <w:bodyDiv w:val="1"/>
      <w:marLeft w:val="0"/>
      <w:marRight w:val="0"/>
      <w:marTop w:val="0"/>
      <w:marBottom w:val="0"/>
      <w:divBdr>
        <w:top w:val="none" w:sz="0" w:space="0" w:color="auto"/>
        <w:left w:val="none" w:sz="0" w:space="0" w:color="auto"/>
        <w:bottom w:val="none" w:sz="0" w:space="0" w:color="auto"/>
        <w:right w:val="none" w:sz="0" w:space="0" w:color="auto"/>
      </w:divBdr>
    </w:div>
    <w:div w:id="954673713">
      <w:bodyDiv w:val="1"/>
      <w:marLeft w:val="0"/>
      <w:marRight w:val="0"/>
      <w:marTop w:val="0"/>
      <w:marBottom w:val="0"/>
      <w:divBdr>
        <w:top w:val="none" w:sz="0" w:space="0" w:color="auto"/>
        <w:left w:val="none" w:sz="0" w:space="0" w:color="auto"/>
        <w:bottom w:val="none" w:sz="0" w:space="0" w:color="auto"/>
        <w:right w:val="none" w:sz="0" w:space="0" w:color="auto"/>
      </w:divBdr>
    </w:div>
    <w:div w:id="955407205">
      <w:bodyDiv w:val="1"/>
      <w:marLeft w:val="0"/>
      <w:marRight w:val="0"/>
      <w:marTop w:val="0"/>
      <w:marBottom w:val="0"/>
      <w:divBdr>
        <w:top w:val="none" w:sz="0" w:space="0" w:color="auto"/>
        <w:left w:val="none" w:sz="0" w:space="0" w:color="auto"/>
        <w:bottom w:val="none" w:sz="0" w:space="0" w:color="auto"/>
        <w:right w:val="none" w:sz="0" w:space="0" w:color="auto"/>
      </w:divBdr>
    </w:div>
    <w:div w:id="975793869">
      <w:bodyDiv w:val="1"/>
      <w:marLeft w:val="0"/>
      <w:marRight w:val="0"/>
      <w:marTop w:val="0"/>
      <w:marBottom w:val="0"/>
      <w:divBdr>
        <w:top w:val="none" w:sz="0" w:space="0" w:color="auto"/>
        <w:left w:val="none" w:sz="0" w:space="0" w:color="auto"/>
        <w:bottom w:val="none" w:sz="0" w:space="0" w:color="auto"/>
        <w:right w:val="none" w:sz="0" w:space="0" w:color="auto"/>
      </w:divBdr>
    </w:div>
    <w:div w:id="980622641">
      <w:bodyDiv w:val="1"/>
      <w:marLeft w:val="0"/>
      <w:marRight w:val="0"/>
      <w:marTop w:val="0"/>
      <w:marBottom w:val="0"/>
      <w:divBdr>
        <w:top w:val="none" w:sz="0" w:space="0" w:color="auto"/>
        <w:left w:val="none" w:sz="0" w:space="0" w:color="auto"/>
        <w:bottom w:val="none" w:sz="0" w:space="0" w:color="auto"/>
        <w:right w:val="none" w:sz="0" w:space="0" w:color="auto"/>
      </w:divBdr>
    </w:div>
    <w:div w:id="987393119">
      <w:bodyDiv w:val="1"/>
      <w:marLeft w:val="0"/>
      <w:marRight w:val="0"/>
      <w:marTop w:val="0"/>
      <w:marBottom w:val="0"/>
      <w:divBdr>
        <w:top w:val="none" w:sz="0" w:space="0" w:color="auto"/>
        <w:left w:val="none" w:sz="0" w:space="0" w:color="auto"/>
        <w:bottom w:val="none" w:sz="0" w:space="0" w:color="auto"/>
        <w:right w:val="none" w:sz="0" w:space="0" w:color="auto"/>
      </w:divBdr>
    </w:div>
    <w:div w:id="1004745344">
      <w:bodyDiv w:val="1"/>
      <w:marLeft w:val="0"/>
      <w:marRight w:val="0"/>
      <w:marTop w:val="0"/>
      <w:marBottom w:val="0"/>
      <w:divBdr>
        <w:top w:val="none" w:sz="0" w:space="0" w:color="auto"/>
        <w:left w:val="none" w:sz="0" w:space="0" w:color="auto"/>
        <w:bottom w:val="none" w:sz="0" w:space="0" w:color="auto"/>
        <w:right w:val="none" w:sz="0" w:space="0" w:color="auto"/>
      </w:divBdr>
    </w:div>
    <w:div w:id="1018506188">
      <w:bodyDiv w:val="1"/>
      <w:marLeft w:val="0"/>
      <w:marRight w:val="0"/>
      <w:marTop w:val="0"/>
      <w:marBottom w:val="0"/>
      <w:divBdr>
        <w:top w:val="none" w:sz="0" w:space="0" w:color="auto"/>
        <w:left w:val="none" w:sz="0" w:space="0" w:color="auto"/>
        <w:bottom w:val="none" w:sz="0" w:space="0" w:color="auto"/>
        <w:right w:val="none" w:sz="0" w:space="0" w:color="auto"/>
      </w:divBdr>
    </w:div>
    <w:div w:id="1018964975">
      <w:bodyDiv w:val="1"/>
      <w:marLeft w:val="0"/>
      <w:marRight w:val="0"/>
      <w:marTop w:val="0"/>
      <w:marBottom w:val="0"/>
      <w:divBdr>
        <w:top w:val="none" w:sz="0" w:space="0" w:color="auto"/>
        <w:left w:val="none" w:sz="0" w:space="0" w:color="auto"/>
        <w:bottom w:val="none" w:sz="0" w:space="0" w:color="auto"/>
        <w:right w:val="none" w:sz="0" w:space="0" w:color="auto"/>
      </w:divBdr>
    </w:div>
    <w:div w:id="1031078059">
      <w:bodyDiv w:val="1"/>
      <w:marLeft w:val="0"/>
      <w:marRight w:val="0"/>
      <w:marTop w:val="0"/>
      <w:marBottom w:val="0"/>
      <w:divBdr>
        <w:top w:val="none" w:sz="0" w:space="0" w:color="auto"/>
        <w:left w:val="none" w:sz="0" w:space="0" w:color="auto"/>
        <w:bottom w:val="none" w:sz="0" w:space="0" w:color="auto"/>
        <w:right w:val="none" w:sz="0" w:space="0" w:color="auto"/>
      </w:divBdr>
    </w:div>
    <w:div w:id="1050880736">
      <w:bodyDiv w:val="1"/>
      <w:marLeft w:val="0"/>
      <w:marRight w:val="0"/>
      <w:marTop w:val="0"/>
      <w:marBottom w:val="0"/>
      <w:divBdr>
        <w:top w:val="none" w:sz="0" w:space="0" w:color="auto"/>
        <w:left w:val="none" w:sz="0" w:space="0" w:color="auto"/>
        <w:bottom w:val="none" w:sz="0" w:space="0" w:color="auto"/>
        <w:right w:val="none" w:sz="0" w:space="0" w:color="auto"/>
      </w:divBdr>
    </w:div>
    <w:div w:id="1067607569">
      <w:bodyDiv w:val="1"/>
      <w:marLeft w:val="0"/>
      <w:marRight w:val="0"/>
      <w:marTop w:val="0"/>
      <w:marBottom w:val="0"/>
      <w:divBdr>
        <w:top w:val="none" w:sz="0" w:space="0" w:color="auto"/>
        <w:left w:val="none" w:sz="0" w:space="0" w:color="auto"/>
        <w:bottom w:val="none" w:sz="0" w:space="0" w:color="auto"/>
        <w:right w:val="none" w:sz="0" w:space="0" w:color="auto"/>
      </w:divBdr>
    </w:div>
    <w:div w:id="1101218395">
      <w:bodyDiv w:val="1"/>
      <w:marLeft w:val="0"/>
      <w:marRight w:val="0"/>
      <w:marTop w:val="0"/>
      <w:marBottom w:val="0"/>
      <w:divBdr>
        <w:top w:val="none" w:sz="0" w:space="0" w:color="auto"/>
        <w:left w:val="none" w:sz="0" w:space="0" w:color="auto"/>
        <w:bottom w:val="none" w:sz="0" w:space="0" w:color="auto"/>
        <w:right w:val="none" w:sz="0" w:space="0" w:color="auto"/>
      </w:divBdr>
    </w:div>
    <w:div w:id="1117601276">
      <w:bodyDiv w:val="1"/>
      <w:marLeft w:val="0"/>
      <w:marRight w:val="0"/>
      <w:marTop w:val="0"/>
      <w:marBottom w:val="0"/>
      <w:divBdr>
        <w:top w:val="none" w:sz="0" w:space="0" w:color="auto"/>
        <w:left w:val="none" w:sz="0" w:space="0" w:color="auto"/>
        <w:bottom w:val="none" w:sz="0" w:space="0" w:color="auto"/>
        <w:right w:val="none" w:sz="0" w:space="0" w:color="auto"/>
      </w:divBdr>
    </w:div>
    <w:div w:id="1118261099">
      <w:bodyDiv w:val="1"/>
      <w:marLeft w:val="0"/>
      <w:marRight w:val="0"/>
      <w:marTop w:val="0"/>
      <w:marBottom w:val="0"/>
      <w:divBdr>
        <w:top w:val="none" w:sz="0" w:space="0" w:color="auto"/>
        <w:left w:val="none" w:sz="0" w:space="0" w:color="auto"/>
        <w:bottom w:val="none" w:sz="0" w:space="0" w:color="auto"/>
        <w:right w:val="none" w:sz="0" w:space="0" w:color="auto"/>
      </w:divBdr>
    </w:div>
    <w:div w:id="1123966301">
      <w:bodyDiv w:val="1"/>
      <w:marLeft w:val="0"/>
      <w:marRight w:val="0"/>
      <w:marTop w:val="0"/>
      <w:marBottom w:val="0"/>
      <w:divBdr>
        <w:top w:val="none" w:sz="0" w:space="0" w:color="auto"/>
        <w:left w:val="none" w:sz="0" w:space="0" w:color="auto"/>
        <w:bottom w:val="none" w:sz="0" w:space="0" w:color="auto"/>
        <w:right w:val="none" w:sz="0" w:space="0" w:color="auto"/>
      </w:divBdr>
    </w:div>
    <w:div w:id="1128933412">
      <w:bodyDiv w:val="1"/>
      <w:marLeft w:val="0"/>
      <w:marRight w:val="0"/>
      <w:marTop w:val="0"/>
      <w:marBottom w:val="0"/>
      <w:divBdr>
        <w:top w:val="none" w:sz="0" w:space="0" w:color="auto"/>
        <w:left w:val="none" w:sz="0" w:space="0" w:color="auto"/>
        <w:bottom w:val="none" w:sz="0" w:space="0" w:color="auto"/>
        <w:right w:val="none" w:sz="0" w:space="0" w:color="auto"/>
      </w:divBdr>
    </w:div>
    <w:div w:id="1136485473">
      <w:bodyDiv w:val="1"/>
      <w:marLeft w:val="0"/>
      <w:marRight w:val="0"/>
      <w:marTop w:val="0"/>
      <w:marBottom w:val="0"/>
      <w:divBdr>
        <w:top w:val="none" w:sz="0" w:space="0" w:color="auto"/>
        <w:left w:val="none" w:sz="0" w:space="0" w:color="auto"/>
        <w:bottom w:val="none" w:sz="0" w:space="0" w:color="auto"/>
        <w:right w:val="none" w:sz="0" w:space="0" w:color="auto"/>
      </w:divBdr>
    </w:div>
    <w:div w:id="1158686525">
      <w:bodyDiv w:val="1"/>
      <w:marLeft w:val="0"/>
      <w:marRight w:val="0"/>
      <w:marTop w:val="0"/>
      <w:marBottom w:val="0"/>
      <w:divBdr>
        <w:top w:val="none" w:sz="0" w:space="0" w:color="auto"/>
        <w:left w:val="none" w:sz="0" w:space="0" w:color="auto"/>
        <w:bottom w:val="none" w:sz="0" w:space="0" w:color="auto"/>
        <w:right w:val="none" w:sz="0" w:space="0" w:color="auto"/>
      </w:divBdr>
    </w:div>
    <w:div w:id="1160122927">
      <w:bodyDiv w:val="1"/>
      <w:marLeft w:val="0"/>
      <w:marRight w:val="0"/>
      <w:marTop w:val="0"/>
      <w:marBottom w:val="0"/>
      <w:divBdr>
        <w:top w:val="none" w:sz="0" w:space="0" w:color="auto"/>
        <w:left w:val="none" w:sz="0" w:space="0" w:color="auto"/>
        <w:bottom w:val="none" w:sz="0" w:space="0" w:color="auto"/>
        <w:right w:val="none" w:sz="0" w:space="0" w:color="auto"/>
      </w:divBdr>
    </w:div>
    <w:div w:id="1175460334">
      <w:bodyDiv w:val="1"/>
      <w:marLeft w:val="0"/>
      <w:marRight w:val="0"/>
      <w:marTop w:val="0"/>
      <w:marBottom w:val="0"/>
      <w:divBdr>
        <w:top w:val="none" w:sz="0" w:space="0" w:color="auto"/>
        <w:left w:val="none" w:sz="0" w:space="0" w:color="auto"/>
        <w:bottom w:val="none" w:sz="0" w:space="0" w:color="auto"/>
        <w:right w:val="none" w:sz="0" w:space="0" w:color="auto"/>
      </w:divBdr>
    </w:div>
    <w:div w:id="1187865457">
      <w:bodyDiv w:val="1"/>
      <w:marLeft w:val="0"/>
      <w:marRight w:val="0"/>
      <w:marTop w:val="0"/>
      <w:marBottom w:val="0"/>
      <w:divBdr>
        <w:top w:val="none" w:sz="0" w:space="0" w:color="auto"/>
        <w:left w:val="none" w:sz="0" w:space="0" w:color="auto"/>
        <w:bottom w:val="none" w:sz="0" w:space="0" w:color="auto"/>
        <w:right w:val="none" w:sz="0" w:space="0" w:color="auto"/>
      </w:divBdr>
    </w:div>
    <w:div w:id="1222061111">
      <w:bodyDiv w:val="1"/>
      <w:marLeft w:val="0"/>
      <w:marRight w:val="0"/>
      <w:marTop w:val="0"/>
      <w:marBottom w:val="0"/>
      <w:divBdr>
        <w:top w:val="none" w:sz="0" w:space="0" w:color="auto"/>
        <w:left w:val="none" w:sz="0" w:space="0" w:color="auto"/>
        <w:bottom w:val="none" w:sz="0" w:space="0" w:color="auto"/>
        <w:right w:val="none" w:sz="0" w:space="0" w:color="auto"/>
      </w:divBdr>
    </w:div>
    <w:div w:id="1231959805">
      <w:bodyDiv w:val="1"/>
      <w:marLeft w:val="0"/>
      <w:marRight w:val="0"/>
      <w:marTop w:val="0"/>
      <w:marBottom w:val="0"/>
      <w:divBdr>
        <w:top w:val="none" w:sz="0" w:space="0" w:color="auto"/>
        <w:left w:val="none" w:sz="0" w:space="0" w:color="auto"/>
        <w:bottom w:val="none" w:sz="0" w:space="0" w:color="auto"/>
        <w:right w:val="none" w:sz="0" w:space="0" w:color="auto"/>
      </w:divBdr>
    </w:div>
    <w:div w:id="1249778325">
      <w:bodyDiv w:val="1"/>
      <w:marLeft w:val="0"/>
      <w:marRight w:val="0"/>
      <w:marTop w:val="0"/>
      <w:marBottom w:val="0"/>
      <w:divBdr>
        <w:top w:val="none" w:sz="0" w:space="0" w:color="auto"/>
        <w:left w:val="none" w:sz="0" w:space="0" w:color="auto"/>
        <w:bottom w:val="none" w:sz="0" w:space="0" w:color="auto"/>
        <w:right w:val="none" w:sz="0" w:space="0" w:color="auto"/>
      </w:divBdr>
    </w:div>
    <w:div w:id="1281916034">
      <w:bodyDiv w:val="1"/>
      <w:marLeft w:val="0"/>
      <w:marRight w:val="0"/>
      <w:marTop w:val="0"/>
      <w:marBottom w:val="0"/>
      <w:divBdr>
        <w:top w:val="none" w:sz="0" w:space="0" w:color="auto"/>
        <w:left w:val="none" w:sz="0" w:space="0" w:color="auto"/>
        <w:bottom w:val="none" w:sz="0" w:space="0" w:color="auto"/>
        <w:right w:val="none" w:sz="0" w:space="0" w:color="auto"/>
      </w:divBdr>
    </w:div>
    <w:div w:id="1301378192">
      <w:bodyDiv w:val="1"/>
      <w:marLeft w:val="0"/>
      <w:marRight w:val="0"/>
      <w:marTop w:val="0"/>
      <w:marBottom w:val="0"/>
      <w:divBdr>
        <w:top w:val="none" w:sz="0" w:space="0" w:color="auto"/>
        <w:left w:val="none" w:sz="0" w:space="0" w:color="auto"/>
        <w:bottom w:val="none" w:sz="0" w:space="0" w:color="auto"/>
        <w:right w:val="none" w:sz="0" w:space="0" w:color="auto"/>
      </w:divBdr>
    </w:div>
    <w:div w:id="1309363357">
      <w:bodyDiv w:val="1"/>
      <w:marLeft w:val="0"/>
      <w:marRight w:val="0"/>
      <w:marTop w:val="0"/>
      <w:marBottom w:val="0"/>
      <w:divBdr>
        <w:top w:val="none" w:sz="0" w:space="0" w:color="auto"/>
        <w:left w:val="none" w:sz="0" w:space="0" w:color="auto"/>
        <w:bottom w:val="none" w:sz="0" w:space="0" w:color="auto"/>
        <w:right w:val="none" w:sz="0" w:space="0" w:color="auto"/>
      </w:divBdr>
    </w:div>
    <w:div w:id="1309935971">
      <w:bodyDiv w:val="1"/>
      <w:marLeft w:val="0"/>
      <w:marRight w:val="0"/>
      <w:marTop w:val="0"/>
      <w:marBottom w:val="0"/>
      <w:divBdr>
        <w:top w:val="none" w:sz="0" w:space="0" w:color="auto"/>
        <w:left w:val="none" w:sz="0" w:space="0" w:color="auto"/>
        <w:bottom w:val="none" w:sz="0" w:space="0" w:color="auto"/>
        <w:right w:val="none" w:sz="0" w:space="0" w:color="auto"/>
      </w:divBdr>
    </w:div>
    <w:div w:id="1311403996">
      <w:bodyDiv w:val="1"/>
      <w:marLeft w:val="0"/>
      <w:marRight w:val="0"/>
      <w:marTop w:val="0"/>
      <w:marBottom w:val="0"/>
      <w:divBdr>
        <w:top w:val="none" w:sz="0" w:space="0" w:color="auto"/>
        <w:left w:val="none" w:sz="0" w:space="0" w:color="auto"/>
        <w:bottom w:val="none" w:sz="0" w:space="0" w:color="auto"/>
        <w:right w:val="none" w:sz="0" w:space="0" w:color="auto"/>
      </w:divBdr>
    </w:div>
    <w:div w:id="1317145845">
      <w:bodyDiv w:val="1"/>
      <w:marLeft w:val="0"/>
      <w:marRight w:val="0"/>
      <w:marTop w:val="0"/>
      <w:marBottom w:val="0"/>
      <w:divBdr>
        <w:top w:val="none" w:sz="0" w:space="0" w:color="auto"/>
        <w:left w:val="none" w:sz="0" w:space="0" w:color="auto"/>
        <w:bottom w:val="none" w:sz="0" w:space="0" w:color="auto"/>
        <w:right w:val="none" w:sz="0" w:space="0" w:color="auto"/>
      </w:divBdr>
    </w:div>
    <w:div w:id="1321814636">
      <w:bodyDiv w:val="1"/>
      <w:marLeft w:val="0"/>
      <w:marRight w:val="0"/>
      <w:marTop w:val="0"/>
      <w:marBottom w:val="0"/>
      <w:divBdr>
        <w:top w:val="none" w:sz="0" w:space="0" w:color="auto"/>
        <w:left w:val="none" w:sz="0" w:space="0" w:color="auto"/>
        <w:bottom w:val="none" w:sz="0" w:space="0" w:color="auto"/>
        <w:right w:val="none" w:sz="0" w:space="0" w:color="auto"/>
      </w:divBdr>
    </w:div>
    <w:div w:id="1350840682">
      <w:bodyDiv w:val="1"/>
      <w:marLeft w:val="0"/>
      <w:marRight w:val="0"/>
      <w:marTop w:val="0"/>
      <w:marBottom w:val="0"/>
      <w:divBdr>
        <w:top w:val="none" w:sz="0" w:space="0" w:color="auto"/>
        <w:left w:val="none" w:sz="0" w:space="0" w:color="auto"/>
        <w:bottom w:val="none" w:sz="0" w:space="0" w:color="auto"/>
        <w:right w:val="none" w:sz="0" w:space="0" w:color="auto"/>
      </w:divBdr>
    </w:div>
    <w:div w:id="1354114958">
      <w:bodyDiv w:val="1"/>
      <w:marLeft w:val="0"/>
      <w:marRight w:val="0"/>
      <w:marTop w:val="0"/>
      <w:marBottom w:val="0"/>
      <w:divBdr>
        <w:top w:val="none" w:sz="0" w:space="0" w:color="auto"/>
        <w:left w:val="none" w:sz="0" w:space="0" w:color="auto"/>
        <w:bottom w:val="none" w:sz="0" w:space="0" w:color="auto"/>
        <w:right w:val="none" w:sz="0" w:space="0" w:color="auto"/>
      </w:divBdr>
    </w:div>
    <w:div w:id="1355955220">
      <w:bodyDiv w:val="1"/>
      <w:marLeft w:val="0"/>
      <w:marRight w:val="0"/>
      <w:marTop w:val="0"/>
      <w:marBottom w:val="0"/>
      <w:divBdr>
        <w:top w:val="none" w:sz="0" w:space="0" w:color="auto"/>
        <w:left w:val="none" w:sz="0" w:space="0" w:color="auto"/>
        <w:bottom w:val="none" w:sz="0" w:space="0" w:color="auto"/>
        <w:right w:val="none" w:sz="0" w:space="0" w:color="auto"/>
      </w:divBdr>
    </w:div>
    <w:div w:id="1420372711">
      <w:bodyDiv w:val="1"/>
      <w:marLeft w:val="0"/>
      <w:marRight w:val="0"/>
      <w:marTop w:val="0"/>
      <w:marBottom w:val="0"/>
      <w:divBdr>
        <w:top w:val="none" w:sz="0" w:space="0" w:color="auto"/>
        <w:left w:val="none" w:sz="0" w:space="0" w:color="auto"/>
        <w:bottom w:val="none" w:sz="0" w:space="0" w:color="auto"/>
        <w:right w:val="none" w:sz="0" w:space="0" w:color="auto"/>
      </w:divBdr>
    </w:div>
    <w:div w:id="1450783560">
      <w:bodyDiv w:val="1"/>
      <w:marLeft w:val="0"/>
      <w:marRight w:val="0"/>
      <w:marTop w:val="0"/>
      <w:marBottom w:val="0"/>
      <w:divBdr>
        <w:top w:val="none" w:sz="0" w:space="0" w:color="auto"/>
        <w:left w:val="none" w:sz="0" w:space="0" w:color="auto"/>
        <w:bottom w:val="none" w:sz="0" w:space="0" w:color="auto"/>
        <w:right w:val="none" w:sz="0" w:space="0" w:color="auto"/>
      </w:divBdr>
    </w:div>
    <w:div w:id="1462529353">
      <w:bodyDiv w:val="1"/>
      <w:marLeft w:val="0"/>
      <w:marRight w:val="0"/>
      <w:marTop w:val="0"/>
      <w:marBottom w:val="0"/>
      <w:divBdr>
        <w:top w:val="none" w:sz="0" w:space="0" w:color="auto"/>
        <w:left w:val="none" w:sz="0" w:space="0" w:color="auto"/>
        <w:bottom w:val="none" w:sz="0" w:space="0" w:color="auto"/>
        <w:right w:val="none" w:sz="0" w:space="0" w:color="auto"/>
      </w:divBdr>
    </w:div>
    <w:div w:id="1496728706">
      <w:bodyDiv w:val="1"/>
      <w:marLeft w:val="0"/>
      <w:marRight w:val="0"/>
      <w:marTop w:val="0"/>
      <w:marBottom w:val="0"/>
      <w:divBdr>
        <w:top w:val="none" w:sz="0" w:space="0" w:color="auto"/>
        <w:left w:val="none" w:sz="0" w:space="0" w:color="auto"/>
        <w:bottom w:val="none" w:sz="0" w:space="0" w:color="auto"/>
        <w:right w:val="none" w:sz="0" w:space="0" w:color="auto"/>
      </w:divBdr>
    </w:div>
    <w:div w:id="1499347305">
      <w:bodyDiv w:val="1"/>
      <w:marLeft w:val="0"/>
      <w:marRight w:val="0"/>
      <w:marTop w:val="0"/>
      <w:marBottom w:val="0"/>
      <w:divBdr>
        <w:top w:val="none" w:sz="0" w:space="0" w:color="auto"/>
        <w:left w:val="none" w:sz="0" w:space="0" w:color="auto"/>
        <w:bottom w:val="none" w:sz="0" w:space="0" w:color="auto"/>
        <w:right w:val="none" w:sz="0" w:space="0" w:color="auto"/>
      </w:divBdr>
    </w:div>
    <w:div w:id="1500315956">
      <w:bodyDiv w:val="1"/>
      <w:marLeft w:val="0"/>
      <w:marRight w:val="0"/>
      <w:marTop w:val="0"/>
      <w:marBottom w:val="0"/>
      <w:divBdr>
        <w:top w:val="none" w:sz="0" w:space="0" w:color="auto"/>
        <w:left w:val="none" w:sz="0" w:space="0" w:color="auto"/>
        <w:bottom w:val="none" w:sz="0" w:space="0" w:color="auto"/>
        <w:right w:val="none" w:sz="0" w:space="0" w:color="auto"/>
      </w:divBdr>
    </w:div>
    <w:div w:id="1501308699">
      <w:bodyDiv w:val="1"/>
      <w:marLeft w:val="0"/>
      <w:marRight w:val="0"/>
      <w:marTop w:val="0"/>
      <w:marBottom w:val="0"/>
      <w:divBdr>
        <w:top w:val="none" w:sz="0" w:space="0" w:color="auto"/>
        <w:left w:val="none" w:sz="0" w:space="0" w:color="auto"/>
        <w:bottom w:val="none" w:sz="0" w:space="0" w:color="auto"/>
        <w:right w:val="none" w:sz="0" w:space="0" w:color="auto"/>
      </w:divBdr>
    </w:div>
    <w:div w:id="1509323017">
      <w:bodyDiv w:val="1"/>
      <w:marLeft w:val="0"/>
      <w:marRight w:val="0"/>
      <w:marTop w:val="0"/>
      <w:marBottom w:val="0"/>
      <w:divBdr>
        <w:top w:val="none" w:sz="0" w:space="0" w:color="auto"/>
        <w:left w:val="none" w:sz="0" w:space="0" w:color="auto"/>
        <w:bottom w:val="none" w:sz="0" w:space="0" w:color="auto"/>
        <w:right w:val="none" w:sz="0" w:space="0" w:color="auto"/>
      </w:divBdr>
    </w:div>
    <w:div w:id="1540974082">
      <w:bodyDiv w:val="1"/>
      <w:marLeft w:val="0"/>
      <w:marRight w:val="0"/>
      <w:marTop w:val="0"/>
      <w:marBottom w:val="0"/>
      <w:divBdr>
        <w:top w:val="none" w:sz="0" w:space="0" w:color="auto"/>
        <w:left w:val="none" w:sz="0" w:space="0" w:color="auto"/>
        <w:bottom w:val="none" w:sz="0" w:space="0" w:color="auto"/>
        <w:right w:val="none" w:sz="0" w:space="0" w:color="auto"/>
      </w:divBdr>
    </w:div>
    <w:div w:id="1550267853">
      <w:bodyDiv w:val="1"/>
      <w:marLeft w:val="0"/>
      <w:marRight w:val="0"/>
      <w:marTop w:val="0"/>
      <w:marBottom w:val="0"/>
      <w:divBdr>
        <w:top w:val="none" w:sz="0" w:space="0" w:color="auto"/>
        <w:left w:val="none" w:sz="0" w:space="0" w:color="auto"/>
        <w:bottom w:val="none" w:sz="0" w:space="0" w:color="auto"/>
        <w:right w:val="none" w:sz="0" w:space="0" w:color="auto"/>
      </w:divBdr>
    </w:div>
    <w:div w:id="1555971082">
      <w:bodyDiv w:val="1"/>
      <w:marLeft w:val="0"/>
      <w:marRight w:val="0"/>
      <w:marTop w:val="0"/>
      <w:marBottom w:val="0"/>
      <w:divBdr>
        <w:top w:val="none" w:sz="0" w:space="0" w:color="auto"/>
        <w:left w:val="none" w:sz="0" w:space="0" w:color="auto"/>
        <w:bottom w:val="none" w:sz="0" w:space="0" w:color="auto"/>
        <w:right w:val="none" w:sz="0" w:space="0" w:color="auto"/>
      </w:divBdr>
    </w:div>
    <w:div w:id="1560945695">
      <w:bodyDiv w:val="1"/>
      <w:marLeft w:val="0"/>
      <w:marRight w:val="0"/>
      <w:marTop w:val="0"/>
      <w:marBottom w:val="0"/>
      <w:divBdr>
        <w:top w:val="none" w:sz="0" w:space="0" w:color="auto"/>
        <w:left w:val="none" w:sz="0" w:space="0" w:color="auto"/>
        <w:bottom w:val="none" w:sz="0" w:space="0" w:color="auto"/>
        <w:right w:val="none" w:sz="0" w:space="0" w:color="auto"/>
      </w:divBdr>
    </w:div>
    <w:div w:id="1580485721">
      <w:bodyDiv w:val="1"/>
      <w:marLeft w:val="0"/>
      <w:marRight w:val="0"/>
      <w:marTop w:val="0"/>
      <w:marBottom w:val="0"/>
      <w:divBdr>
        <w:top w:val="none" w:sz="0" w:space="0" w:color="auto"/>
        <w:left w:val="none" w:sz="0" w:space="0" w:color="auto"/>
        <w:bottom w:val="none" w:sz="0" w:space="0" w:color="auto"/>
        <w:right w:val="none" w:sz="0" w:space="0" w:color="auto"/>
      </w:divBdr>
    </w:div>
    <w:div w:id="1586571778">
      <w:bodyDiv w:val="1"/>
      <w:marLeft w:val="0"/>
      <w:marRight w:val="0"/>
      <w:marTop w:val="0"/>
      <w:marBottom w:val="0"/>
      <w:divBdr>
        <w:top w:val="none" w:sz="0" w:space="0" w:color="auto"/>
        <w:left w:val="none" w:sz="0" w:space="0" w:color="auto"/>
        <w:bottom w:val="none" w:sz="0" w:space="0" w:color="auto"/>
        <w:right w:val="none" w:sz="0" w:space="0" w:color="auto"/>
      </w:divBdr>
    </w:div>
    <w:div w:id="1587882931">
      <w:bodyDiv w:val="1"/>
      <w:marLeft w:val="0"/>
      <w:marRight w:val="0"/>
      <w:marTop w:val="0"/>
      <w:marBottom w:val="0"/>
      <w:divBdr>
        <w:top w:val="none" w:sz="0" w:space="0" w:color="auto"/>
        <w:left w:val="none" w:sz="0" w:space="0" w:color="auto"/>
        <w:bottom w:val="none" w:sz="0" w:space="0" w:color="auto"/>
        <w:right w:val="none" w:sz="0" w:space="0" w:color="auto"/>
      </w:divBdr>
    </w:div>
    <w:div w:id="1590581202">
      <w:bodyDiv w:val="1"/>
      <w:marLeft w:val="0"/>
      <w:marRight w:val="0"/>
      <w:marTop w:val="0"/>
      <w:marBottom w:val="0"/>
      <w:divBdr>
        <w:top w:val="none" w:sz="0" w:space="0" w:color="auto"/>
        <w:left w:val="none" w:sz="0" w:space="0" w:color="auto"/>
        <w:bottom w:val="none" w:sz="0" w:space="0" w:color="auto"/>
        <w:right w:val="none" w:sz="0" w:space="0" w:color="auto"/>
      </w:divBdr>
    </w:div>
    <w:div w:id="1597785063">
      <w:bodyDiv w:val="1"/>
      <w:marLeft w:val="0"/>
      <w:marRight w:val="0"/>
      <w:marTop w:val="0"/>
      <w:marBottom w:val="0"/>
      <w:divBdr>
        <w:top w:val="none" w:sz="0" w:space="0" w:color="auto"/>
        <w:left w:val="none" w:sz="0" w:space="0" w:color="auto"/>
        <w:bottom w:val="none" w:sz="0" w:space="0" w:color="auto"/>
        <w:right w:val="none" w:sz="0" w:space="0" w:color="auto"/>
      </w:divBdr>
    </w:div>
    <w:div w:id="1599557056">
      <w:bodyDiv w:val="1"/>
      <w:marLeft w:val="0"/>
      <w:marRight w:val="0"/>
      <w:marTop w:val="0"/>
      <w:marBottom w:val="0"/>
      <w:divBdr>
        <w:top w:val="none" w:sz="0" w:space="0" w:color="auto"/>
        <w:left w:val="none" w:sz="0" w:space="0" w:color="auto"/>
        <w:bottom w:val="none" w:sz="0" w:space="0" w:color="auto"/>
        <w:right w:val="none" w:sz="0" w:space="0" w:color="auto"/>
      </w:divBdr>
    </w:div>
    <w:div w:id="1607496146">
      <w:bodyDiv w:val="1"/>
      <w:marLeft w:val="0"/>
      <w:marRight w:val="0"/>
      <w:marTop w:val="0"/>
      <w:marBottom w:val="0"/>
      <w:divBdr>
        <w:top w:val="none" w:sz="0" w:space="0" w:color="auto"/>
        <w:left w:val="none" w:sz="0" w:space="0" w:color="auto"/>
        <w:bottom w:val="none" w:sz="0" w:space="0" w:color="auto"/>
        <w:right w:val="none" w:sz="0" w:space="0" w:color="auto"/>
      </w:divBdr>
    </w:div>
    <w:div w:id="1633947827">
      <w:bodyDiv w:val="1"/>
      <w:marLeft w:val="0"/>
      <w:marRight w:val="0"/>
      <w:marTop w:val="0"/>
      <w:marBottom w:val="0"/>
      <w:divBdr>
        <w:top w:val="none" w:sz="0" w:space="0" w:color="auto"/>
        <w:left w:val="none" w:sz="0" w:space="0" w:color="auto"/>
        <w:bottom w:val="none" w:sz="0" w:space="0" w:color="auto"/>
        <w:right w:val="none" w:sz="0" w:space="0" w:color="auto"/>
      </w:divBdr>
    </w:div>
    <w:div w:id="1636521067">
      <w:bodyDiv w:val="1"/>
      <w:marLeft w:val="0"/>
      <w:marRight w:val="0"/>
      <w:marTop w:val="0"/>
      <w:marBottom w:val="0"/>
      <w:divBdr>
        <w:top w:val="none" w:sz="0" w:space="0" w:color="auto"/>
        <w:left w:val="none" w:sz="0" w:space="0" w:color="auto"/>
        <w:bottom w:val="none" w:sz="0" w:space="0" w:color="auto"/>
        <w:right w:val="none" w:sz="0" w:space="0" w:color="auto"/>
      </w:divBdr>
    </w:div>
    <w:div w:id="1648246054">
      <w:bodyDiv w:val="1"/>
      <w:marLeft w:val="0"/>
      <w:marRight w:val="0"/>
      <w:marTop w:val="0"/>
      <w:marBottom w:val="0"/>
      <w:divBdr>
        <w:top w:val="none" w:sz="0" w:space="0" w:color="auto"/>
        <w:left w:val="none" w:sz="0" w:space="0" w:color="auto"/>
        <w:bottom w:val="none" w:sz="0" w:space="0" w:color="auto"/>
        <w:right w:val="none" w:sz="0" w:space="0" w:color="auto"/>
      </w:divBdr>
    </w:div>
    <w:div w:id="1655374086">
      <w:bodyDiv w:val="1"/>
      <w:marLeft w:val="0"/>
      <w:marRight w:val="0"/>
      <w:marTop w:val="0"/>
      <w:marBottom w:val="0"/>
      <w:divBdr>
        <w:top w:val="none" w:sz="0" w:space="0" w:color="auto"/>
        <w:left w:val="none" w:sz="0" w:space="0" w:color="auto"/>
        <w:bottom w:val="none" w:sz="0" w:space="0" w:color="auto"/>
        <w:right w:val="none" w:sz="0" w:space="0" w:color="auto"/>
      </w:divBdr>
    </w:div>
    <w:div w:id="1656907348">
      <w:bodyDiv w:val="1"/>
      <w:marLeft w:val="0"/>
      <w:marRight w:val="0"/>
      <w:marTop w:val="0"/>
      <w:marBottom w:val="0"/>
      <w:divBdr>
        <w:top w:val="none" w:sz="0" w:space="0" w:color="auto"/>
        <w:left w:val="none" w:sz="0" w:space="0" w:color="auto"/>
        <w:bottom w:val="none" w:sz="0" w:space="0" w:color="auto"/>
        <w:right w:val="none" w:sz="0" w:space="0" w:color="auto"/>
      </w:divBdr>
    </w:div>
    <w:div w:id="1673603963">
      <w:bodyDiv w:val="1"/>
      <w:marLeft w:val="0"/>
      <w:marRight w:val="0"/>
      <w:marTop w:val="0"/>
      <w:marBottom w:val="0"/>
      <w:divBdr>
        <w:top w:val="none" w:sz="0" w:space="0" w:color="auto"/>
        <w:left w:val="none" w:sz="0" w:space="0" w:color="auto"/>
        <w:bottom w:val="none" w:sz="0" w:space="0" w:color="auto"/>
        <w:right w:val="none" w:sz="0" w:space="0" w:color="auto"/>
      </w:divBdr>
    </w:div>
    <w:div w:id="1676689218">
      <w:bodyDiv w:val="1"/>
      <w:marLeft w:val="0"/>
      <w:marRight w:val="0"/>
      <w:marTop w:val="0"/>
      <w:marBottom w:val="0"/>
      <w:divBdr>
        <w:top w:val="none" w:sz="0" w:space="0" w:color="auto"/>
        <w:left w:val="none" w:sz="0" w:space="0" w:color="auto"/>
        <w:bottom w:val="none" w:sz="0" w:space="0" w:color="auto"/>
        <w:right w:val="none" w:sz="0" w:space="0" w:color="auto"/>
      </w:divBdr>
    </w:div>
    <w:div w:id="1699575718">
      <w:bodyDiv w:val="1"/>
      <w:marLeft w:val="0"/>
      <w:marRight w:val="0"/>
      <w:marTop w:val="0"/>
      <w:marBottom w:val="0"/>
      <w:divBdr>
        <w:top w:val="none" w:sz="0" w:space="0" w:color="auto"/>
        <w:left w:val="none" w:sz="0" w:space="0" w:color="auto"/>
        <w:bottom w:val="none" w:sz="0" w:space="0" w:color="auto"/>
        <w:right w:val="none" w:sz="0" w:space="0" w:color="auto"/>
      </w:divBdr>
      <w:divsChild>
        <w:div w:id="1474063188">
          <w:marLeft w:val="0"/>
          <w:marRight w:val="0"/>
          <w:marTop w:val="0"/>
          <w:marBottom w:val="375"/>
          <w:divBdr>
            <w:top w:val="none" w:sz="0" w:space="0" w:color="auto"/>
            <w:left w:val="none" w:sz="0" w:space="0" w:color="auto"/>
            <w:bottom w:val="single" w:sz="18" w:space="15" w:color="CCCCCC"/>
            <w:right w:val="none" w:sz="0" w:space="0" w:color="auto"/>
          </w:divBdr>
          <w:divsChild>
            <w:div w:id="755173379">
              <w:marLeft w:val="0"/>
              <w:marRight w:val="0"/>
              <w:marTop w:val="0"/>
              <w:marBottom w:val="0"/>
              <w:divBdr>
                <w:top w:val="none" w:sz="0" w:space="0" w:color="auto"/>
                <w:left w:val="none" w:sz="0" w:space="0" w:color="auto"/>
                <w:bottom w:val="none" w:sz="0" w:space="0" w:color="auto"/>
                <w:right w:val="none" w:sz="0" w:space="0" w:color="auto"/>
              </w:divBdr>
              <w:divsChild>
                <w:div w:id="2141149278">
                  <w:marLeft w:val="0"/>
                  <w:marRight w:val="0"/>
                  <w:marTop w:val="0"/>
                  <w:marBottom w:val="0"/>
                  <w:divBdr>
                    <w:top w:val="none" w:sz="0" w:space="0" w:color="auto"/>
                    <w:left w:val="none" w:sz="0" w:space="0" w:color="auto"/>
                    <w:bottom w:val="none" w:sz="0" w:space="0" w:color="auto"/>
                    <w:right w:val="none" w:sz="0" w:space="0" w:color="auto"/>
                  </w:divBdr>
                  <w:divsChild>
                    <w:div w:id="848526611">
                      <w:marLeft w:val="0"/>
                      <w:marRight w:val="0"/>
                      <w:marTop w:val="0"/>
                      <w:marBottom w:val="0"/>
                      <w:divBdr>
                        <w:top w:val="none" w:sz="0" w:space="0" w:color="auto"/>
                        <w:left w:val="none" w:sz="0" w:space="0" w:color="auto"/>
                        <w:bottom w:val="none" w:sz="0" w:space="0" w:color="auto"/>
                        <w:right w:val="none" w:sz="0" w:space="0" w:color="auto"/>
                      </w:divBdr>
                    </w:div>
                  </w:divsChild>
                </w:div>
                <w:div w:id="75886562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526020169">
          <w:marLeft w:val="0"/>
          <w:marRight w:val="0"/>
          <w:marTop w:val="0"/>
          <w:marBottom w:val="375"/>
          <w:divBdr>
            <w:top w:val="none" w:sz="0" w:space="0" w:color="auto"/>
            <w:left w:val="none" w:sz="0" w:space="0" w:color="auto"/>
            <w:bottom w:val="single" w:sz="18" w:space="15" w:color="CCCCCC"/>
            <w:right w:val="none" w:sz="0" w:space="0" w:color="auto"/>
          </w:divBdr>
          <w:divsChild>
            <w:div w:id="7722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69326">
      <w:bodyDiv w:val="1"/>
      <w:marLeft w:val="0"/>
      <w:marRight w:val="0"/>
      <w:marTop w:val="0"/>
      <w:marBottom w:val="0"/>
      <w:divBdr>
        <w:top w:val="none" w:sz="0" w:space="0" w:color="auto"/>
        <w:left w:val="none" w:sz="0" w:space="0" w:color="auto"/>
        <w:bottom w:val="none" w:sz="0" w:space="0" w:color="auto"/>
        <w:right w:val="none" w:sz="0" w:space="0" w:color="auto"/>
      </w:divBdr>
    </w:div>
    <w:div w:id="1710371499">
      <w:bodyDiv w:val="1"/>
      <w:marLeft w:val="0"/>
      <w:marRight w:val="0"/>
      <w:marTop w:val="0"/>
      <w:marBottom w:val="0"/>
      <w:divBdr>
        <w:top w:val="none" w:sz="0" w:space="0" w:color="auto"/>
        <w:left w:val="none" w:sz="0" w:space="0" w:color="auto"/>
        <w:bottom w:val="none" w:sz="0" w:space="0" w:color="auto"/>
        <w:right w:val="none" w:sz="0" w:space="0" w:color="auto"/>
      </w:divBdr>
    </w:div>
    <w:div w:id="1712268188">
      <w:bodyDiv w:val="1"/>
      <w:marLeft w:val="0"/>
      <w:marRight w:val="0"/>
      <w:marTop w:val="0"/>
      <w:marBottom w:val="0"/>
      <w:divBdr>
        <w:top w:val="none" w:sz="0" w:space="0" w:color="auto"/>
        <w:left w:val="none" w:sz="0" w:space="0" w:color="auto"/>
        <w:bottom w:val="none" w:sz="0" w:space="0" w:color="auto"/>
        <w:right w:val="none" w:sz="0" w:space="0" w:color="auto"/>
      </w:divBdr>
    </w:div>
    <w:div w:id="1755975577">
      <w:bodyDiv w:val="1"/>
      <w:marLeft w:val="0"/>
      <w:marRight w:val="0"/>
      <w:marTop w:val="0"/>
      <w:marBottom w:val="0"/>
      <w:divBdr>
        <w:top w:val="none" w:sz="0" w:space="0" w:color="auto"/>
        <w:left w:val="none" w:sz="0" w:space="0" w:color="auto"/>
        <w:bottom w:val="none" w:sz="0" w:space="0" w:color="auto"/>
        <w:right w:val="none" w:sz="0" w:space="0" w:color="auto"/>
      </w:divBdr>
    </w:div>
    <w:div w:id="1771124672">
      <w:bodyDiv w:val="1"/>
      <w:marLeft w:val="0"/>
      <w:marRight w:val="0"/>
      <w:marTop w:val="0"/>
      <w:marBottom w:val="0"/>
      <w:divBdr>
        <w:top w:val="none" w:sz="0" w:space="0" w:color="auto"/>
        <w:left w:val="none" w:sz="0" w:space="0" w:color="auto"/>
        <w:bottom w:val="none" w:sz="0" w:space="0" w:color="auto"/>
        <w:right w:val="none" w:sz="0" w:space="0" w:color="auto"/>
      </w:divBdr>
    </w:div>
    <w:div w:id="1776242293">
      <w:bodyDiv w:val="1"/>
      <w:marLeft w:val="0"/>
      <w:marRight w:val="0"/>
      <w:marTop w:val="0"/>
      <w:marBottom w:val="0"/>
      <w:divBdr>
        <w:top w:val="none" w:sz="0" w:space="0" w:color="auto"/>
        <w:left w:val="none" w:sz="0" w:space="0" w:color="auto"/>
        <w:bottom w:val="none" w:sz="0" w:space="0" w:color="auto"/>
        <w:right w:val="none" w:sz="0" w:space="0" w:color="auto"/>
      </w:divBdr>
    </w:div>
    <w:div w:id="1810319020">
      <w:bodyDiv w:val="1"/>
      <w:marLeft w:val="0"/>
      <w:marRight w:val="0"/>
      <w:marTop w:val="0"/>
      <w:marBottom w:val="0"/>
      <w:divBdr>
        <w:top w:val="none" w:sz="0" w:space="0" w:color="auto"/>
        <w:left w:val="none" w:sz="0" w:space="0" w:color="auto"/>
        <w:bottom w:val="none" w:sz="0" w:space="0" w:color="auto"/>
        <w:right w:val="none" w:sz="0" w:space="0" w:color="auto"/>
      </w:divBdr>
    </w:div>
    <w:div w:id="1827623052">
      <w:bodyDiv w:val="1"/>
      <w:marLeft w:val="0"/>
      <w:marRight w:val="0"/>
      <w:marTop w:val="0"/>
      <w:marBottom w:val="0"/>
      <w:divBdr>
        <w:top w:val="none" w:sz="0" w:space="0" w:color="auto"/>
        <w:left w:val="none" w:sz="0" w:space="0" w:color="auto"/>
        <w:bottom w:val="none" w:sz="0" w:space="0" w:color="auto"/>
        <w:right w:val="none" w:sz="0" w:space="0" w:color="auto"/>
      </w:divBdr>
    </w:div>
    <w:div w:id="1850560612">
      <w:bodyDiv w:val="1"/>
      <w:marLeft w:val="0"/>
      <w:marRight w:val="0"/>
      <w:marTop w:val="0"/>
      <w:marBottom w:val="0"/>
      <w:divBdr>
        <w:top w:val="none" w:sz="0" w:space="0" w:color="auto"/>
        <w:left w:val="none" w:sz="0" w:space="0" w:color="auto"/>
        <w:bottom w:val="none" w:sz="0" w:space="0" w:color="auto"/>
        <w:right w:val="none" w:sz="0" w:space="0" w:color="auto"/>
      </w:divBdr>
    </w:div>
    <w:div w:id="1854876199">
      <w:bodyDiv w:val="1"/>
      <w:marLeft w:val="0"/>
      <w:marRight w:val="0"/>
      <w:marTop w:val="0"/>
      <w:marBottom w:val="0"/>
      <w:divBdr>
        <w:top w:val="none" w:sz="0" w:space="0" w:color="auto"/>
        <w:left w:val="none" w:sz="0" w:space="0" w:color="auto"/>
        <w:bottom w:val="none" w:sz="0" w:space="0" w:color="auto"/>
        <w:right w:val="none" w:sz="0" w:space="0" w:color="auto"/>
      </w:divBdr>
    </w:div>
    <w:div w:id="1862621013">
      <w:bodyDiv w:val="1"/>
      <w:marLeft w:val="0"/>
      <w:marRight w:val="0"/>
      <w:marTop w:val="0"/>
      <w:marBottom w:val="0"/>
      <w:divBdr>
        <w:top w:val="none" w:sz="0" w:space="0" w:color="auto"/>
        <w:left w:val="none" w:sz="0" w:space="0" w:color="auto"/>
        <w:bottom w:val="none" w:sz="0" w:space="0" w:color="auto"/>
        <w:right w:val="none" w:sz="0" w:space="0" w:color="auto"/>
      </w:divBdr>
    </w:div>
    <w:div w:id="1871602052">
      <w:bodyDiv w:val="1"/>
      <w:marLeft w:val="0"/>
      <w:marRight w:val="0"/>
      <w:marTop w:val="0"/>
      <w:marBottom w:val="0"/>
      <w:divBdr>
        <w:top w:val="none" w:sz="0" w:space="0" w:color="auto"/>
        <w:left w:val="none" w:sz="0" w:space="0" w:color="auto"/>
        <w:bottom w:val="none" w:sz="0" w:space="0" w:color="auto"/>
        <w:right w:val="none" w:sz="0" w:space="0" w:color="auto"/>
      </w:divBdr>
      <w:divsChild>
        <w:div w:id="1290817147">
          <w:marLeft w:val="0"/>
          <w:marRight w:val="75"/>
          <w:marTop w:val="0"/>
          <w:marBottom w:val="0"/>
          <w:divBdr>
            <w:top w:val="none" w:sz="0" w:space="0" w:color="auto"/>
            <w:left w:val="none" w:sz="0" w:space="0" w:color="auto"/>
            <w:bottom w:val="none" w:sz="0" w:space="0" w:color="auto"/>
            <w:right w:val="none" w:sz="0" w:space="0" w:color="auto"/>
          </w:divBdr>
        </w:div>
        <w:div w:id="1975913302">
          <w:marLeft w:val="0"/>
          <w:marRight w:val="0"/>
          <w:marTop w:val="0"/>
          <w:marBottom w:val="300"/>
          <w:divBdr>
            <w:top w:val="none" w:sz="0" w:space="0" w:color="auto"/>
            <w:left w:val="none" w:sz="0" w:space="0" w:color="auto"/>
            <w:bottom w:val="none" w:sz="0" w:space="0" w:color="auto"/>
            <w:right w:val="none" w:sz="0" w:space="0" w:color="auto"/>
          </w:divBdr>
        </w:div>
      </w:divsChild>
    </w:div>
    <w:div w:id="1880632169">
      <w:bodyDiv w:val="1"/>
      <w:marLeft w:val="0"/>
      <w:marRight w:val="0"/>
      <w:marTop w:val="0"/>
      <w:marBottom w:val="0"/>
      <w:divBdr>
        <w:top w:val="none" w:sz="0" w:space="0" w:color="auto"/>
        <w:left w:val="none" w:sz="0" w:space="0" w:color="auto"/>
        <w:bottom w:val="none" w:sz="0" w:space="0" w:color="auto"/>
        <w:right w:val="none" w:sz="0" w:space="0" w:color="auto"/>
      </w:divBdr>
    </w:div>
    <w:div w:id="1897162905">
      <w:bodyDiv w:val="1"/>
      <w:marLeft w:val="0"/>
      <w:marRight w:val="0"/>
      <w:marTop w:val="0"/>
      <w:marBottom w:val="0"/>
      <w:divBdr>
        <w:top w:val="none" w:sz="0" w:space="0" w:color="auto"/>
        <w:left w:val="none" w:sz="0" w:space="0" w:color="auto"/>
        <w:bottom w:val="none" w:sz="0" w:space="0" w:color="auto"/>
        <w:right w:val="none" w:sz="0" w:space="0" w:color="auto"/>
      </w:divBdr>
    </w:div>
    <w:div w:id="1899589306">
      <w:bodyDiv w:val="1"/>
      <w:marLeft w:val="0"/>
      <w:marRight w:val="0"/>
      <w:marTop w:val="0"/>
      <w:marBottom w:val="0"/>
      <w:divBdr>
        <w:top w:val="none" w:sz="0" w:space="0" w:color="auto"/>
        <w:left w:val="none" w:sz="0" w:space="0" w:color="auto"/>
        <w:bottom w:val="none" w:sz="0" w:space="0" w:color="auto"/>
        <w:right w:val="none" w:sz="0" w:space="0" w:color="auto"/>
      </w:divBdr>
      <w:divsChild>
        <w:div w:id="1372728953">
          <w:marLeft w:val="0"/>
          <w:marRight w:val="0"/>
          <w:marTop w:val="0"/>
          <w:marBottom w:val="375"/>
          <w:divBdr>
            <w:top w:val="none" w:sz="0" w:space="0" w:color="auto"/>
            <w:left w:val="none" w:sz="0" w:space="0" w:color="auto"/>
            <w:bottom w:val="single" w:sz="18" w:space="15" w:color="CCCCCC"/>
            <w:right w:val="none" w:sz="0" w:space="0" w:color="auto"/>
          </w:divBdr>
          <w:divsChild>
            <w:div w:id="149447876">
              <w:marLeft w:val="0"/>
              <w:marRight w:val="0"/>
              <w:marTop w:val="0"/>
              <w:marBottom w:val="0"/>
              <w:divBdr>
                <w:top w:val="none" w:sz="0" w:space="0" w:color="auto"/>
                <w:left w:val="none" w:sz="0" w:space="0" w:color="auto"/>
                <w:bottom w:val="none" w:sz="0" w:space="0" w:color="auto"/>
                <w:right w:val="none" w:sz="0" w:space="0" w:color="auto"/>
              </w:divBdr>
              <w:divsChild>
                <w:div w:id="1530292689">
                  <w:marLeft w:val="0"/>
                  <w:marRight w:val="0"/>
                  <w:marTop w:val="0"/>
                  <w:marBottom w:val="0"/>
                  <w:divBdr>
                    <w:top w:val="none" w:sz="0" w:space="0" w:color="auto"/>
                    <w:left w:val="none" w:sz="0" w:space="0" w:color="auto"/>
                    <w:bottom w:val="none" w:sz="0" w:space="0" w:color="auto"/>
                    <w:right w:val="none" w:sz="0" w:space="0" w:color="auto"/>
                  </w:divBdr>
                  <w:divsChild>
                    <w:div w:id="655886469">
                      <w:marLeft w:val="0"/>
                      <w:marRight w:val="0"/>
                      <w:marTop w:val="0"/>
                      <w:marBottom w:val="0"/>
                      <w:divBdr>
                        <w:top w:val="none" w:sz="0" w:space="0" w:color="auto"/>
                        <w:left w:val="none" w:sz="0" w:space="0" w:color="auto"/>
                        <w:bottom w:val="none" w:sz="0" w:space="0" w:color="auto"/>
                        <w:right w:val="none" w:sz="0" w:space="0" w:color="auto"/>
                      </w:divBdr>
                    </w:div>
                  </w:divsChild>
                </w:div>
                <w:div w:id="72110422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902716313">
      <w:bodyDiv w:val="1"/>
      <w:marLeft w:val="0"/>
      <w:marRight w:val="0"/>
      <w:marTop w:val="0"/>
      <w:marBottom w:val="0"/>
      <w:divBdr>
        <w:top w:val="none" w:sz="0" w:space="0" w:color="auto"/>
        <w:left w:val="none" w:sz="0" w:space="0" w:color="auto"/>
        <w:bottom w:val="none" w:sz="0" w:space="0" w:color="auto"/>
        <w:right w:val="none" w:sz="0" w:space="0" w:color="auto"/>
      </w:divBdr>
    </w:div>
    <w:div w:id="1907572692">
      <w:bodyDiv w:val="1"/>
      <w:marLeft w:val="0"/>
      <w:marRight w:val="0"/>
      <w:marTop w:val="0"/>
      <w:marBottom w:val="0"/>
      <w:divBdr>
        <w:top w:val="none" w:sz="0" w:space="0" w:color="auto"/>
        <w:left w:val="none" w:sz="0" w:space="0" w:color="auto"/>
        <w:bottom w:val="none" w:sz="0" w:space="0" w:color="auto"/>
        <w:right w:val="none" w:sz="0" w:space="0" w:color="auto"/>
      </w:divBdr>
    </w:div>
    <w:div w:id="1907955244">
      <w:bodyDiv w:val="1"/>
      <w:marLeft w:val="0"/>
      <w:marRight w:val="0"/>
      <w:marTop w:val="0"/>
      <w:marBottom w:val="0"/>
      <w:divBdr>
        <w:top w:val="none" w:sz="0" w:space="0" w:color="auto"/>
        <w:left w:val="none" w:sz="0" w:space="0" w:color="auto"/>
        <w:bottom w:val="none" w:sz="0" w:space="0" w:color="auto"/>
        <w:right w:val="none" w:sz="0" w:space="0" w:color="auto"/>
      </w:divBdr>
    </w:div>
    <w:div w:id="1910654759">
      <w:bodyDiv w:val="1"/>
      <w:marLeft w:val="0"/>
      <w:marRight w:val="0"/>
      <w:marTop w:val="0"/>
      <w:marBottom w:val="0"/>
      <w:divBdr>
        <w:top w:val="none" w:sz="0" w:space="0" w:color="auto"/>
        <w:left w:val="none" w:sz="0" w:space="0" w:color="auto"/>
        <w:bottom w:val="none" w:sz="0" w:space="0" w:color="auto"/>
        <w:right w:val="none" w:sz="0" w:space="0" w:color="auto"/>
      </w:divBdr>
    </w:div>
    <w:div w:id="1923953669">
      <w:bodyDiv w:val="1"/>
      <w:marLeft w:val="0"/>
      <w:marRight w:val="0"/>
      <w:marTop w:val="0"/>
      <w:marBottom w:val="0"/>
      <w:divBdr>
        <w:top w:val="none" w:sz="0" w:space="0" w:color="auto"/>
        <w:left w:val="none" w:sz="0" w:space="0" w:color="auto"/>
        <w:bottom w:val="none" w:sz="0" w:space="0" w:color="auto"/>
        <w:right w:val="none" w:sz="0" w:space="0" w:color="auto"/>
      </w:divBdr>
    </w:div>
    <w:div w:id="1924608078">
      <w:bodyDiv w:val="1"/>
      <w:marLeft w:val="0"/>
      <w:marRight w:val="0"/>
      <w:marTop w:val="0"/>
      <w:marBottom w:val="0"/>
      <w:divBdr>
        <w:top w:val="none" w:sz="0" w:space="0" w:color="auto"/>
        <w:left w:val="none" w:sz="0" w:space="0" w:color="auto"/>
        <w:bottom w:val="none" w:sz="0" w:space="0" w:color="auto"/>
        <w:right w:val="none" w:sz="0" w:space="0" w:color="auto"/>
      </w:divBdr>
    </w:div>
    <w:div w:id="1938782004">
      <w:bodyDiv w:val="1"/>
      <w:marLeft w:val="0"/>
      <w:marRight w:val="0"/>
      <w:marTop w:val="0"/>
      <w:marBottom w:val="0"/>
      <w:divBdr>
        <w:top w:val="none" w:sz="0" w:space="0" w:color="auto"/>
        <w:left w:val="none" w:sz="0" w:space="0" w:color="auto"/>
        <w:bottom w:val="none" w:sz="0" w:space="0" w:color="auto"/>
        <w:right w:val="none" w:sz="0" w:space="0" w:color="auto"/>
      </w:divBdr>
    </w:div>
    <w:div w:id="1951277590">
      <w:bodyDiv w:val="1"/>
      <w:marLeft w:val="0"/>
      <w:marRight w:val="0"/>
      <w:marTop w:val="0"/>
      <w:marBottom w:val="0"/>
      <w:divBdr>
        <w:top w:val="none" w:sz="0" w:space="0" w:color="auto"/>
        <w:left w:val="none" w:sz="0" w:space="0" w:color="auto"/>
        <w:bottom w:val="none" w:sz="0" w:space="0" w:color="auto"/>
        <w:right w:val="none" w:sz="0" w:space="0" w:color="auto"/>
      </w:divBdr>
    </w:div>
    <w:div w:id="1957634986">
      <w:bodyDiv w:val="1"/>
      <w:marLeft w:val="0"/>
      <w:marRight w:val="0"/>
      <w:marTop w:val="0"/>
      <w:marBottom w:val="0"/>
      <w:divBdr>
        <w:top w:val="none" w:sz="0" w:space="0" w:color="auto"/>
        <w:left w:val="none" w:sz="0" w:space="0" w:color="auto"/>
        <w:bottom w:val="none" w:sz="0" w:space="0" w:color="auto"/>
        <w:right w:val="none" w:sz="0" w:space="0" w:color="auto"/>
      </w:divBdr>
    </w:div>
    <w:div w:id="1981810042">
      <w:bodyDiv w:val="1"/>
      <w:marLeft w:val="0"/>
      <w:marRight w:val="0"/>
      <w:marTop w:val="0"/>
      <w:marBottom w:val="0"/>
      <w:divBdr>
        <w:top w:val="none" w:sz="0" w:space="0" w:color="auto"/>
        <w:left w:val="none" w:sz="0" w:space="0" w:color="auto"/>
        <w:bottom w:val="none" w:sz="0" w:space="0" w:color="auto"/>
        <w:right w:val="none" w:sz="0" w:space="0" w:color="auto"/>
      </w:divBdr>
    </w:div>
    <w:div w:id="1986423043">
      <w:bodyDiv w:val="1"/>
      <w:marLeft w:val="0"/>
      <w:marRight w:val="0"/>
      <w:marTop w:val="0"/>
      <w:marBottom w:val="0"/>
      <w:divBdr>
        <w:top w:val="none" w:sz="0" w:space="0" w:color="auto"/>
        <w:left w:val="none" w:sz="0" w:space="0" w:color="auto"/>
        <w:bottom w:val="none" w:sz="0" w:space="0" w:color="auto"/>
        <w:right w:val="none" w:sz="0" w:space="0" w:color="auto"/>
      </w:divBdr>
    </w:div>
    <w:div w:id="1987390361">
      <w:bodyDiv w:val="1"/>
      <w:marLeft w:val="0"/>
      <w:marRight w:val="0"/>
      <w:marTop w:val="0"/>
      <w:marBottom w:val="0"/>
      <w:divBdr>
        <w:top w:val="none" w:sz="0" w:space="0" w:color="auto"/>
        <w:left w:val="none" w:sz="0" w:space="0" w:color="auto"/>
        <w:bottom w:val="none" w:sz="0" w:space="0" w:color="auto"/>
        <w:right w:val="none" w:sz="0" w:space="0" w:color="auto"/>
      </w:divBdr>
    </w:div>
    <w:div w:id="1993437118">
      <w:bodyDiv w:val="1"/>
      <w:marLeft w:val="0"/>
      <w:marRight w:val="0"/>
      <w:marTop w:val="0"/>
      <w:marBottom w:val="0"/>
      <w:divBdr>
        <w:top w:val="none" w:sz="0" w:space="0" w:color="auto"/>
        <w:left w:val="none" w:sz="0" w:space="0" w:color="auto"/>
        <w:bottom w:val="none" w:sz="0" w:space="0" w:color="auto"/>
        <w:right w:val="none" w:sz="0" w:space="0" w:color="auto"/>
      </w:divBdr>
    </w:div>
    <w:div w:id="2012484822">
      <w:bodyDiv w:val="1"/>
      <w:marLeft w:val="0"/>
      <w:marRight w:val="0"/>
      <w:marTop w:val="0"/>
      <w:marBottom w:val="0"/>
      <w:divBdr>
        <w:top w:val="none" w:sz="0" w:space="0" w:color="auto"/>
        <w:left w:val="none" w:sz="0" w:space="0" w:color="auto"/>
        <w:bottom w:val="none" w:sz="0" w:space="0" w:color="auto"/>
        <w:right w:val="none" w:sz="0" w:space="0" w:color="auto"/>
      </w:divBdr>
    </w:div>
    <w:div w:id="2028673818">
      <w:bodyDiv w:val="1"/>
      <w:marLeft w:val="0"/>
      <w:marRight w:val="0"/>
      <w:marTop w:val="0"/>
      <w:marBottom w:val="0"/>
      <w:divBdr>
        <w:top w:val="none" w:sz="0" w:space="0" w:color="auto"/>
        <w:left w:val="none" w:sz="0" w:space="0" w:color="auto"/>
        <w:bottom w:val="none" w:sz="0" w:space="0" w:color="auto"/>
        <w:right w:val="none" w:sz="0" w:space="0" w:color="auto"/>
      </w:divBdr>
    </w:div>
    <w:div w:id="2032561829">
      <w:bodyDiv w:val="1"/>
      <w:marLeft w:val="0"/>
      <w:marRight w:val="0"/>
      <w:marTop w:val="0"/>
      <w:marBottom w:val="0"/>
      <w:divBdr>
        <w:top w:val="none" w:sz="0" w:space="0" w:color="auto"/>
        <w:left w:val="none" w:sz="0" w:space="0" w:color="auto"/>
        <w:bottom w:val="none" w:sz="0" w:space="0" w:color="auto"/>
        <w:right w:val="none" w:sz="0" w:space="0" w:color="auto"/>
      </w:divBdr>
    </w:div>
    <w:div w:id="2046131037">
      <w:bodyDiv w:val="1"/>
      <w:marLeft w:val="0"/>
      <w:marRight w:val="0"/>
      <w:marTop w:val="0"/>
      <w:marBottom w:val="0"/>
      <w:divBdr>
        <w:top w:val="none" w:sz="0" w:space="0" w:color="auto"/>
        <w:left w:val="none" w:sz="0" w:space="0" w:color="auto"/>
        <w:bottom w:val="none" w:sz="0" w:space="0" w:color="auto"/>
        <w:right w:val="none" w:sz="0" w:space="0" w:color="auto"/>
      </w:divBdr>
    </w:div>
    <w:div w:id="2097314611">
      <w:bodyDiv w:val="1"/>
      <w:marLeft w:val="0"/>
      <w:marRight w:val="0"/>
      <w:marTop w:val="0"/>
      <w:marBottom w:val="0"/>
      <w:divBdr>
        <w:top w:val="none" w:sz="0" w:space="0" w:color="auto"/>
        <w:left w:val="none" w:sz="0" w:space="0" w:color="auto"/>
        <w:bottom w:val="none" w:sz="0" w:space="0" w:color="auto"/>
        <w:right w:val="none" w:sz="0" w:space="0" w:color="auto"/>
      </w:divBdr>
    </w:div>
    <w:div w:id="2103991422">
      <w:bodyDiv w:val="1"/>
      <w:marLeft w:val="0"/>
      <w:marRight w:val="0"/>
      <w:marTop w:val="0"/>
      <w:marBottom w:val="0"/>
      <w:divBdr>
        <w:top w:val="none" w:sz="0" w:space="0" w:color="auto"/>
        <w:left w:val="none" w:sz="0" w:space="0" w:color="auto"/>
        <w:bottom w:val="none" w:sz="0" w:space="0" w:color="auto"/>
        <w:right w:val="none" w:sz="0" w:space="0" w:color="auto"/>
      </w:divBdr>
    </w:div>
    <w:div w:id="2112239803">
      <w:bodyDiv w:val="1"/>
      <w:marLeft w:val="0"/>
      <w:marRight w:val="0"/>
      <w:marTop w:val="0"/>
      <w:marBottom w:val="0"/>
      <w:divBdr>
        <w:top w:val="none" w:sz="0" w:space="0" w:color="auto"/>
        <w:left w:val="none" w:sz="0" w:space="0" w:color="auto"/>
        <w:bottom w:val="none" w:sz="0" w:space="0" w:color="auto"/>
        <w:right w:val="none" w:sz="0" w:space="0" w:color="auto"/>
      </w:divBdr>
    </w:div>
    <w:div w:id="2113356503">
      <w:bodyDiv w:val="1"/>
      <w:marLeft w:val="0"/>
      <w:marRight w:val="0"/>
      <w:marTop w:val="0"/>
      <w:marBottom w:val="0"/>
      <w:divBdr>
        <w:top w:val="none" w:sz="0" w:space="0" w:color="auto"/>
        <w:left w:val="none" w:sz="0" w:space="0" w:color="auto"/>
        <w:bottom w:val="none" w:sz="0" w:space="0" w:color="auto"/>
        <w:right w:val="none" w:sz="0" w:space="0" w:color="auto"/>
      </w:divBdr>
    </w:div>
    <w:div w:id="2115902143">
      <w:bodyDiv w:val="1"/>
      <w:marLeft w:val="0"/>
      <w:marRight w:val="0"/>
      <w:marTop w:val="0"/>
      <w:marBottom w:val="0"/>
      <w:divBdr>
        <w:top w:val="none" w:sz="0" w:space="0" w:color="auto"/>
        <w:left w:val="none" w:sz="0" w:space="0" w:color="auto"/>
        <w:bottom w:val="none" w:sz="0" w:space="0" w:color="auto"/>
        <w:right w:val="none" w:sz="0" w:space="0" w:color="auto"/>
      </w:divBdr>
    </w:div>
    <w:div w:id="212002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luzbyzamestnanosti.gov.sk/?lang=uk" TargetMode="External"/><Relationship Id="rId117" Type="http://schemas.openxmlformats.org/officeDocument/2006/relationships/chart" Target="charts/chart90.xml"/><Relationship Id="rId21" Type="http://schemas.openxmlformats.org/officeDocument/2006/relationships/hyperlink" Target="http://www.sluzbyzamestnanosti.gov.sk/" TargetMode="Externa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7.xml"/><Relationship Id="rId89" Type="http://schemas.openxmlformats.org/officeDocument/2006/relationships/chart" Target="charts/chart62.xml"/><Relationship Id="rId112" Type="http://schemas.openxmlformats.org/officeDocument/2006/relationships/chart" Target="charts/chart85.xml"/><Relationship Id="rId133" Type="http://schemas.openxmlformats.org/officeDocument/2006/relationships/image" Target="media/image15.jpeg"/><Relationship Id="rId16" Type="http://schemas.openxmlformats.org/officeDocument/2006/relationships/image" Target="media/image9.png"/><Relationship Id="rId107" Type="http://schemas.openxmlformats.org/officeDocument/2006/relationships/chart" Target="charts/chart80.xml"/><Relationship Id="rId11" Type="http://schemas.openxmlformats.org/officeDocument/2006/relationships/image" Target="media/image4.png"/><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8.xml"/><Relationship Id="rId79" Type="http://schemas.openxmlformats.org/officeDocument/2006/relationships/chart" Target="charts/chart52.xml"/><Relationship Id="rId102" Type="http://schemas.openxmlformats.org/officeDocument/2006/relationships/chart" Target="charts/chart75.xml"/><Relationship Id="rId123" Type="http://schemas.openxmlformats.org/officeDocument/2006/relationships/chart" Target="charts/chart96.xml"/><Relationship Id="rId128" Type="http://schemas.openxmlformats.org/officeDocument/2006/relationships/chart" Target="charts/chart101.xml"/><Relationship Id="rId5" Type="http://schemas.openxmlformats.org/officeDocument/2006/relationships/settings" Target="settings.xml"/><Relationship Id="rId90" Type="http://schemas.openxmlformats.org/officeDocument/2006/relationships/chart" Target="charts/chart63.xml"/><Relationship Id="rId95" Type="http://schemas.openxmlformats.org/officeDocument/2006/relationships/chart" Target="charts/chart68.xml"/><Relationship Id="rId14" Type="http://schemas.openxmlformats.org/officeDocument/2006/relationships/image" Target="media/image7.png"/><Relationship Id="rId22" Type="http://schemas.openxmlformats.org/officeDocument/2006/relationships/hyperlink" Target="http://www.slovensko.sk/"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image" Target="media/image13.png"/><Relationship Id="rId100" Type="http://schemas.openxmlformats.org/officeDocument/2006/relationships/chart" Target="charts/chart73.xml"/><Relationship Id="rId105" Type="http://schemas.openxmlformats.org/officeDocument/2006/relationships/chart" Target="charts/chart78.xml"/><Relationship Id="rId113" Type="http://schemas.openxmlformats.org/officeDocument/2006/relationships/chart" Target="charts/chart86.xml"/><Relationship Id="rId118" Type="http://schemas.openxmlformats.org/officeDocument/2006/relationships/chart" Target="charts/chart91.xml"/><Relationship Id="rId126" Type="http://schemas.openxmlformats.org/officeDocument/2006/relationships/chart" Target="charts/chart99.xml"/><Relationship Id="rId134"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chart" Target="charts/chart46.xml"/><Relationship Id="rId80" Type="http://schemas.openxmlformats.org/officeDocument/2006/relationships/chart" Target="charts/chart53.xml"/><Relationship Id="rId85" Type="http://schemas.openxmlformats.org/officeDocument/2006/relationships/chart" Target="charts/chart58.xml"/><Relationship Id="rId93" Type="http://schemas.openxmlformats.org/officeDocument/2006/relationships/chart" Target="charts/chart66.xml"/><Relationship Id="rId98" Type="http://schemas.openxmlformats.org/officeDocument/2006/relationships/chart" Target="charts/chart71.xml"/><Relationship Id="rId121" Type="http://schemas.openxmlformats.org/officeDocument/2006/relationships/chart" Target="charts/chart94.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luzbyzamestnanosti.gov.sk" TargetMode="Externa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1.xml"/><Relationship Id="rId103" Type="http://schemas.openxmlformats.org/officeDocument/2006/relationships/chart" Target="charts/chart76.xml"/><Relationship Id="rId108" Type="http://schemas.openxmlformats.org/officeDocument/2006/relationships/chart" Target="charts/chart81.xml"/><Relationship Id="rId116" Type="http://schemas.openxmlformats.org/officeDocument/2006/relationships/chart" Target="charts/chart89.xml"/><Relationship Id="rId124" Type="http://schemas.openxmlformats.org/officeDocument/2006/relationships/chart" Target="charts/chart97.xml"/><Relationship Id="rId129" Type="http://schemas.openxmlformats.org/officeDocument/2006/relationships/chart" Target="charts/chart102.xml"/><Relationship Id="rId13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hyperlink" Target="http://www.sluzbyzamestnanosti.gov.sk" TargetMode="Externa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chart" Target="charts/chart56.xml"/><Relationship Id="rId88" Type="http://schemas.openxmlformats.org/officeDocument/2006/relationships/chart" Target="charts/chart61.xml"/><Relationship Id="rId91" Type="http://schemas.openxmlformats.org/officeDocument/2006/relationships/chart" Target="charts/chart64.xml"/><Relationship Id="rId96" Type="http://schemas.openxmlformats.org/officeDocument/2006/relationships/chart" Target="charts/chart69.xml"/><Relationship Id="rId111" Type="http://schemas.openxmlformats.org/officeDocument/2006/relationships/chart" Target="charts/chart84.xml"/><Relationship Id="rId13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luzbyzamestnanosti.gov.sk" TargetMode="Externa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chart" Target="charts/chart79.xml"/><Relationship Id="rId114" Type="http://schemas.openxmlformats.org/officeDocument/2006/relationships/chart" Target="charts/chart87.xml"/><Relationship Id="rId119" Type="http://schemas.openxmlformats.org/officeDocument/2006/relationships/chart" Target="charts/chart92.xml"/><Relationship Id="rId127" Type="http://schemas.openxmlformats.org/officeDocument/2006/relationships/chart" Target="charts/chart100.xml"/><Relationship Id="rId10" Type="http://schemas.openxmlformats.org/officeDocument/2006/relationships/image" Target="media/image3.pn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1.xml"/><Relationship Id="rId81" Type="http://schemas.openxmlformats.org/officeDocument/2006/relationships/chart" Target="charts/chart54.xml"/><Relationship Id="rId86" Type="http://schemas.openxmlformats.org/officeDocument/2006/relationships/chart" Target="charts/chart59.xml"/><Relationship Id="rId94" Type="http://schemas.openxmlformats.org/officeDocument/2006/relationships/chart" Target="charts/chart67.xml"/><Relationship Id="rId99" Type="http://schemas.openxmlformats.org/officeDocument/2006/relationships/chart" Target="charts/chart72.xml"/><Relationship Id="rId101" Type="http://schemas.openxmlformats.org/officeDocument/2006/relationships/chart" Target="charts/chart74.xml"/><Relationship Id="rId122" Type="http://schemas.openxmlformats.org/officeDocument/2006/relationships/chart" Target="charts/chart95.xml"/><Relationship Id="rId130" Type="http://schemas.openxmlformats.org/officeDocument/2006/relationships/chart" Target="charts/chart103.xml"/><Relationship Id="rId13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4.xml"/><Relationship Id="rId109" Type="http://schemas.openxmlformats.org/officeDocument/2006/relationships/chart" Target="charts/chart82.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0.xml"/><Relationship Id="rId97" Type="http://schemas.openxmlformats.org/officeDocument/2006/relationships/chart" Target="charts/chart70.xml"/><Relationship Id="rId104" Type="http://schemas.openxmlformats.org/officeDocument/2006/relationships/chart" Target="charts/chart77.xml"/><Relationship Id="rId120" Type="http://schemas.openxmlformats.org/officeDocument/2006/relationships/chart" Target="charts/chart93.xml"/><Relationship Id="rId125" Type="http://schemas.openxmlformats.org/officeDocument/2006/relationships/chart" Target="charts/chart98.xml"/><Relationship Id="rId7" Type="http://schemas.openxmlformats.org/officeDocument/2006/relationships/footnotes" Target="footnotes.xml"/><Relationship Id="rId71" Type="http://schemas.openxmlformats.org/officeDocument/2006/relationships/chart" Target="charts/chart45.xml"/><Relationship Id="rId92" Type="http://schemas.openxmlformats.org/officeDocument/2006/relationships/chart" Target="charts/chart65.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hyperlink" Target="http://www.sluzbyzamestnanosti.gov.sk/" TargetMode="Externa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40.xml"/><Relationship Id="rId87" Type="http://schemas.openxmlformats.org/officeDocument/2006/relationships/chart" Target="charts/chart60.xml"/><Relationship Id="rId110" Type="http://schemas.openxmlformats.org/officeDocument/2006/relationships/chart" Target="charts/chart83.xml"/><Relationship Id="rId115" Type="http://schemas.openxmlformats.org/officeDocument/2006/relationships/chart" Target="charts/chart88.xml"/><Relationship Id="rId131" Type="http://schemas.openxmlformats.org/officeDocument/2006/relationships/chart" Target="charts/chart104.xml"/><Relationship Id="rId136" Type="http://schemas.openxmlformats.org/officeDocument/2006/relationships/fontTable" Target="fontTable.xml"/><Relationship Id="rId61" Type="http://schemas.openxmlformats.org/officeDocument/2006/relationships/chart" Target="charts/chart36.xml"/><Relationship Id="rId82" Type="http://schemas.openxmlformats.org/officeDocument/2006/relationships/chart" Target="charts/chart55.xml"/><Relationship Id="rId19"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_rok_programu_Microsoft_Excel4.xlsx"/><Relationship Id="rId1" Type="http://schemas.openxmlformats.org/officeDocument/2006/relationships/themeOverride" Target="../theme/themeOverride9.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H_rok_programu_Microsoft_Excel79.xlsx"/><Relationship Id="rId1" Type="http://schemas.openxmlformats.org/officeDocument/2006/relationships/themeOverride" Target="../theme/themeOverride98.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H_rok_programu_Microsoft_Excel80.xlsx"/><Relationship Id="rId1" Type="http://schemas.openxmlformats.org/officeDocument/2006/relationships/themeOverride" Target="../theme/themeOverride99.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H_rok_programu_Microsoft_Excel81.xlsx"/><Relationship Id="rId1" Type="http://schemas.openxmlformats.org/officeDocument/2006/relationships/themeOverride" Target="../theme/themeOverride100.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H_rok_programu_Microsoft_Excel82.xlsx"/><Relationship Id="rId1" Type="http://schemas.openxmlformats.org/officeDocument/2006/relationships/themeOverride" Target="../theme/themeOverride101.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H_rok_programu_Microsoft_Excel83.xlsx"/><Relationship Id="rId1" Type="http://schemas.openxmlformats.org/officeDocument/2006/relationships/themeOverride" Target="../theme/themeOverride10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_rok_programu_Microsoft_Excel5.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_rok_programu_Microsoft_Excel6.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_rok_programu_Microsoft_Excel7.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_rok_programu_Microsoft_Excel8.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H_rok_programu_Microsoft_Excel9.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H_rok_programu_Microsoft_Excel10.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grfs01\gr\sszodpv\PORADENSTVO\VYHODNOTENIA_PODKLADY\ZA%20ROK%202024\08_zdrojove_podklady_NP_PkZ%20a%20IPS\2024_300%20Vyhodnotenie%20AOTP%20(3)%20projekty%202.&#269;as&#357;_GRAFY.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6.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grfs01\gr\sszodpv\PORADENSTVO\VYHODNOTENIA_PODKLADY\ZA%20ROK%202024\08_zdrojove_podklady_NP_PkZ%20a%20IPS\2024_300%20Vyhodnotenie%20AOTP%20(3)%20projekty%202.&#269;as&#357;_GRAF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7.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grfs01\gr\sszodpv\PORADENSTVO\VYHODNOTENIA_PODKLADY\ZA%20ROK%202024\09_Anal&#253;za%20situ&#225;cie\graf%20ostatn&#237;_2024.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jencovam\Desktop\Grafy_NP%20ZpTP%20UoZ%202024.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H_rok_programu_Microsoft_Excel11.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encovam\Desktop\Grafy_NP%20ZpTP%20UoZ%202024.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sgrfs01\gr\sszodpv\1_AOTP_VYHODNOTENIA_rocne\2024_Vyhodnotenie%20AOTP\07_AOTP\AOTP_Vzd\zdroj%20rk_UoZ\Grafy_NP%20ZpTP%20UoZ%202024.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jencovam\Desktop\Grafy_NP%20ZpTP%20ZoZ%202024.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jencovam\Desktop\Grafy_NP%20ZpTP%20ZoZ%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30.xml.rels><?xml version="1.0" encoding="UTF-8" standalone="yes"?>
<Relationships xmlns="http://schemas.openxmlformats.org/package/2006/relationships"><Relationship Id="rId2" Type="http://schemas.openxmlformats.org/officeDocument/2006/relationships/oleObject" Target="file:///\\sgrfs01\gr\sszodpv\1_AOTP_VYHODNOTENIA_rocne\2024_Vyhodnotenie%20AOTP\07_AOTP\AOTP_Vzd\zdroj%20mj_ZoZ\Grafy_NP%20ZpTP%20ZoZ%202024.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H_rok_programu_Microsoft_Excel12.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H_rok_programu_Microsoft_Excel13.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H_rok_programu_Microsoft_Excel14.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H_rok_programu_Microsoft_Excel15.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H_rok_programu_Microsoft_Excel16.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H_rok_programu_Microsoft_Excel17.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H_rok_programu_Microsoft_Excel1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H_rok_programu_Microsoft_Excel1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40.xml.rels><?xml version="1.0" encoding="UTF-8" standalone="yes"?>
<Relationships xmlns="http://schemas.openxmlformats.org/package/2006/relationships"><Relationship Id="rId2" Type="http://schemas.openxmlformats.org/officeDocument/2006/relationships/package" Target="../embeddings/H_rok_programu_Microsoft_Excel2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H_rok_programu_Microsoft_Excel2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H_rok_programu_Microsoft_Excel2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H_rok_programu_Microsoft_Excel2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H_rok_programu_Microsoft_Excel2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H_rok_programu_Microsoft_Excel2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H_rok_programu_Microsoft_Excel2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H_rok_programu_Microsoft_Excel2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H_rok_programu_Microsoft_Excel2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H_rok_programu_Microsoft_Excel2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50.xml.rels><?xml version="1.0" encoding="UTF-8" standalone="yes"?>
<Relationships xmlns="http://schemas.openxmlformats.org/package/2006/relationships"><Relationship Id="rId2" Type="http://schemas.openxmlformats.org/officeDocument/2006/relationships/package" Target="../embeddings/H_rok_programu_Microsoft_Excel3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H_rok_programu_Microsoft_Excel3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H_rok_programu_Microsoft_Excel32.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H_rok_programu_Microsoft_Excel33.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H_rok_programu_Microsoft_Excel34.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H_rok_programu_Microsoft_Excel35.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H_rok_programu_Microsoft_Excel36.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H_rok_programu_Microsoft_Excel37.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H_rok_programu_Microsoft_Excel38.xlsx"/><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H_rok_programu_Microsoft_Excel39.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60.xml.rels><?xml version="1.0" encoding="UTF-8" standalone="yes"?>
<Relationships xmlns="http://schemas.openxmlformats.org/package/2006/relationships"><Relationship Id="rId2" Type="http://schemas.openxmlformats.org/officeDocument/2006/relationships/package" Target="../embeddings/H_rok_programu_Microsoft_Excel40.xlsx"/><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H_rok_programu_Microsoft_Excel41.xlsx"/><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package" Target="../embeddings/H_rok_programu_Microsoft_Excel42.xlsx"/><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2" Type="http://schemas.openxmlformats.org/officeDocument/2006/relationships/package" Target="../embeddings/H_rok_programu_Microsoft_Excel43.xlsx"/><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package" Target="../embeddings/H_rok_programu_Microsoft_Excel44.xlsx"/><Relationship Id="rId1" Type="http://schemas.openxmlformats.org/officeDocument/2006/relationships/themeOverride" Target="../theme/themeOverride62.xml"/></Relationships>
</file>

<file path=word/charts/_rels/chart65.xml.rels><?xml version="1.0" encoding="UTF-8" standalone="yes"?>
<Relationships xmlns="http://schemas.openxmlformats.org/package/2006/relationships"><Relationship Id="rId2" Type="http://schemas.openxmlformats.org/officeDocument/2006/relationships/package" Target="../embeddings/H_rok_programu_Microsoft_Excel45.xlsx"/><Relationship Id="rId1" Type="http://schemas.openxmlformats.org/officeDocument/2006/relationships/themeOverride" Target="../theme/themeOverride63.xml"/></Relationships>
</file>

<file path=word/charts/_rels/chart66.xml.rels><?xml version="1.0" encoding="UTF-8" standalone="yes"?>
<Relationships xmlns="http://schemas.openxmlformats.org/package/2006/relationships"><Relationship Id="rId2" Type="http://schemas.openxmlformats.org/officeDocument/2006/relationships/package" Target="../embeddings/H_rok_programu_Microsoft_Excel46.xlsx"/><Relationship Id="rId1" Type="http://schemas.openxmlformats.org/officeDocument/2006/relationships/themeOverride" Target="../theme/themeOverride64.xml"/></Relationships>
</file>

<file path=word/charts/_rels/chart67.xml.rels><?xml version="1.0" encoding="UTF-8" standalone="yes"?>
<Relationships xmlns="http://schemas.openxmlformats.org/package/2006/relationships"><Relationship Id="rId2" Type="http://schemas.openxmlformats.org/officeDocument/2006/relationships/package" Target="../embeddings/H_rok_programu_Microsoft_Excel47.xlsx"/><Relationship Id="rId1" Type="http://schemas.openxmlformats.org/officeDocument/2006/relationships/themeOverride" Target="../theme/themeOverride65.xml"/></Relationships>
</file>

<file path=word/charts/_rels/chart68.xml.rels><?xml version="1.0" encoding="UTF-8" standalone="yes"?>
<Relationships xmlns="http://schemas.openxmlformats.org/package/2006/relationships"><Relationship Id="rId2" Type="http://schemas.openxmlformats.org/officeDocument/2006/relationships/package" Target="../embeddings/H_rok_programu_Microsoft_Excel48.xlsx"/><Relationship Id="rId1" Type="http://schemas.openxmlformats.org/officeDocument/2006/relationships/themeOverride" Target="../theme/themeOverride66.xml"/></Relationships>
</file>

<file path=word/charts/_rels/chart69.xml.rels><?xml version="1.0" encoding="UTF-8" standalone="yes"?>
<Relationships xmlns="http://schemas.openxmlformats.org/package/2006/relationships"><Relationship Id="rId2" Type="http://schemas.openxmlformats.org/officeDocument/2006/relationships/package" Target="../embeddings/H_rok_programu_Microsoft_Excel49.xlsx"/><Relationship Id="rId1" Type="http://schemas.openxmlformats.org/officeDocument/2006/relationships/themeOverride" Target="../theme/themeOverride67.xml"/></Relationships>
</file>

<file path=word/charts/_rels/chart7.xml.rels><?xml version="1.0" encoding="UTF-8" standalone="yes"?>
<Relationships xmlns="http://schemas.openxmlformats.org/package/2006/relationships"><Relationship Id="rId2" Type="http://schemas.openxmlformats.org/officeDocument/2006/relationships/package" Target="../embeddings/H_rok_programu_Microsoft_Excel1.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2" Type="http://schemas.openxmlformats.org/officeDocument/2006/relationships/package" Target="../embeddings/H_rok_programu_Microsoft_Excel50.xlsx"/><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H_rok_programu_Microsoft_Excel51.xlsx"/><Relationship Id="rId1" Type="http://schemas.openxmlformats.org/officeDocument/2006/relationships/themeOverride" Target="../theme/themeOverride69.xml"/></Relationships>
</file>

<file path=word/charts/_rels/chart72.xml.rels><?xml version="1.0" encoding="UTF-8" standalone="yes"?>
<Relationships xmlns="http://schemas.openxmlformats.org/package/2006/relationships"><Relationship Id="rId2" Type="http://schemas.openxmlformats.org/officeDocument/2006/relationships/package" Target="../embeddings/H_rok_programu_Microsoft_Excel52.xlsx"/><Relationship Id="rId1" Type="http://schemas.openxmlformats.org/officeDocument/2006/relationships/themeOverride" Target="../theme/themeOverride70.xml"/></Relationships>
</file>

<file path=word/charts/_rels/chart73.xml.rels><?xml version="1.0" encoding="UTF-8" standalone="yes"?>
<Relationships xmlns="http://schemas.openxmlformats.org/package/2006/relationships"><Relationship Id="rId2" Type="http://schemas.openxmlformats.org/officeDocument/2006/relationships/package" Target="../embeddings/H_rok_programu_Microsoft_Excel53.xlsx"/><Relationship Id="rId1" Type="http://schemas.openxmlformats.org/officeDocument/2006/relationships/themeOverride" Target="../theme/themeOverride7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H_rok_programu_Microsoft_Excel54.xlsx"/><Relationship Id="rId1" Type="http://schemas.openxmlformats.org/officeDocument/2006/relationships/themeOverride" Target="../theme/themeOverride7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H_rok_programu_Microsoft_Excel55.xlsx"/><Relationship Id="rId1" Type="http://schemas.openxmlformats.org/officeDocument/2006/relationships/themeOverride" Target="../theme/themeOverride73.xml"/></Relationships>
</file>

<file path=word/charts/_rels/chart76.xml.rels><?xml version="1.0" encoding="UTF-8" standalone="yes"?>
<Relationships xmlns="http://schemas.openxmlformats.org/package/2006/relationships"><Relationship Id="rId2" Type="http://schemas.openxmlformats.org/officeDocument/2006/relationships/package" Target="../embeddings/H_rok_programu_Microsoft_Excel56.xlsx"/><Relationship Id="rId1" Type="http://schemas.openxmlformats.org/officeDocument/2006/relationships/themeOverride" Target="../theme/themeOverride74.xml"/></Relationships>
</file>

<file path=word/charts/_rels/chart77.xml.rels><?xml version="1.0" encoding="UTF-8" standalone="yes"?>
<Relationships xmlns="http://schemas.openxmlformats.org/package/2006/relationships"><Relationship Id="rId2" Type="http://schemas.openxmlformats.org/officeDocument/2006/relationships/package" Target="../embeddings/H_rok_programu_Microsoft_Excel57.xlsx"/><Relationship Id="rId1" Type="http://schemas.openxmlformats.org/officeDocument/2006/relationships/themeOverride" Target="../theme/themeOverride75.xml"/></Relationships>
</file>

<file path=word/charts/_rels/chart78.xml.rels><?xml version="1.0" encoding="UTF-8" standalone="yes"?>
<Relationships xmlns="http://schemas.openxmlformats.org/package/2006/relationships"><Relationship Id="rId2" Type="http://schemas.openxmlformats.org/officeDocument/2006/relationships/package" Target="../embeddings/H_rok_programu_Microsoft_Excel58.xlsx"/><Relationship Id="rId1" Type="http://schemas.openxmlformats.org/officeDocument/2006/relationships/themeOverride" Target="../theme/themeOverride76.xml"/></Relationships>
</file>

<file path=word/charts/_rels/chart79.xml.rels><?xml version="1.0" encoding="UTF-8" standalone="yes"?>
<Relationships xmlns="http://schemas.openxmlformats.org/package/2006/relationships"><Relationship Id="rId2" Type="http://schemas.openxmlformats.org/officeDocument/2006/relationships/package" Target="../embeddings/H_rok_programu_Microsoft_Excel59.xlsx"/><Relationship Id="rId1" Type="http://schemas.openxmlformats.org/officeDocument/2006/relationships/themeOverride" Target="../theme/themeOverride7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_rok_programu_Microsoft_Excel2.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2" Type="http://schemas.openxmlformats.org/officeDocument/2006/relationships/package" Target="../embeddings/H_rok_programu_Microsoft_Excel60.xlsx"/><Relationship Id="rId1" Type="http://schemas.openxmlformats.org/officeDocument/2006/relationships/themeOverride" Target="../theme/themeOverride78.xml"/></Relationships>
</file>

<file path=word/charts/_rels/chart81.xml.rels><?xml version="1.0" encoding="UTF-8" standalone="yes"?>
<Relationships xmlns="http://schemas.openxmlformats.org/package/2006/relationships"><Relationship Id="rId2" Type="http://schemas.openxmlformats.org/officeDocument/2006/relationships/package" Target="../embeddings/H_rok_programu_Microsoft_Excel61.xlsx"/><Relationship Id="rId1" Type="http://schemas.openxmlformats.org/officeDocument/2006/relationships/themeOverride" Target="../theme/themeOverride79.xml"/></Relationships>
</file>

<file path=word/charts/_rels/chart82.xml.rels><?xml version="1.0" encoding="UTF-8" standalone="yes"?>
<Relationships xmlns="http://schemas.openxmlformats.org/package/2006/relationships"><Relationship Id="rId2" Type="http://schemas.openxmlformats.org/officeDocument/2006/relationships/package" Target="../embeddings/H_rok_programu_Microsoft_Excel62.xlsx"/><Relationship Id="rId1" Type="http://schemas.openxmlformats.org/officeDocument/2006/relationships/themeOverride" Target="../theme/themeOverride80.xml"/></Relationships>
</file>

<file path=word/charts/_rels/chart83.xml.rels><?xml version="1.0" encoding="UTF-8" standalone="yes"?>
<Relationships xmlns="http://schemas.openxmlformats.org/package/2006/relationships"><Relationship Id="rId2" Type="http://schemas.openxmlformats.org/officeDocument/2006/relationships/package" Target="../embeddings/H_rok_programu_Microsoft_Excel63.xlsx"/><Relationship Id="rId1" Type="http://schemas.openxmlformats.org/officeDocument/2006/relationships/themeOverride" Target="../theme/themeOverride81.xml"/></Relationships>
</file>

<file path=word/charts/_rels/chart84.xml.rels><?xml version="1.0" encoding="UTF-8" standalone="yes"?>
<Relationships xmlns="http://schemas.openxmlformats.org/package/2006/relationships"><Relationship Id="rId2" Type="http://schemas.openxmlformats.org/officeDocument/2006/relationships/package" Target="../embeddings/H_rok_programu_Microsoft_Excel64.xlsx"/><Relationship Id="rId1" Type="http://schemas.openxmlformats.org/officeDocument/2006/relationships/themeOverride" Target="../theme/themeOverride82.xml"/></Relationships>
</file>

<file path=word/charts/_rels/chart85.xml.rels><?xml version="1.0" encoding="UTF-8" standalone="yes"?>
<Relationships xmlns="http://schemas.openxmlformats.org/package/2006/relationships"><Relationship Id="rId2" Type="http://schemas.openxmlformats.org/officeDocument/2006/relationships/package" Target="../embeddings/H_rok_programu_Microsoft_Excel65.xlsx"/><Relationship Id="rId1" Type="http://schemas.openxmlformats.org/officeDocument/2006/relationships/themeOverride" Target="../theme/themeOverride83.xml"/></Relationships>
</file>

<file path=word/charts/_rels/chart86.xml.rels><?xml version="1.0" encoding="UTF-8" standalone="yes"?>
<Relationships xmlns="http://schemas.openxmlformats.org/package/2006/relationships"><Relationship Id="rId2" Type="http://schemas.openxmlformats.org/officeDocument/2006/relationships/package" Target="../embeddings/H_rok_programu_Microsoft_Excel66.xlsx"/><Relationship Id="rId1" Type="http://schemas.openxmlformats.org/officeDocument/2006/relationships/themeOverride" Target="../theme/themeOverride84.xml"/></Relationships>
</file>

<file path=word/charts/_rels/chart87.xml.rels><?xml version="1.0" encoding="UTF-8" standalone="yes"?>
<Relationships xmlns="http://schemas.openxmlformats.org/package/2006/relationships"><Relationship Id="rId2" Type="http://schemas.openxmlformats.org/officeDocument/2006/relationships/package" Target="../embeddings/H_rok_programu_Microsoft_Excel67.xlsx"/><Relationship Id="rId1" Type="http://schemas.openxmlformats.org/officeDocument/2006/relationships/themeOverride" Target="../theme/themeOverride85.xml"/></Relationships>
</file>

<file path=word/charts/_rels/chart88.xml.rels><?xml version="1.0" encoding="UTF-8" standalone="yes"?>
<Relationships xmlns="http://schemas.openxmlformats.org/package/2006/relationships"><Relationship Id="rId2" Type="http://schemas.openxmlformats.org/officeDocument/2006/relationships/package" Target="../embeddings/H_rok_programu_Microsoft_Excel68.xlsx"/><Relationship Id="rId1" Type="http://schemas.openxmlformats.org/officeDocument/2006/relationships/themeOverride" Target="../theme/themeOverride86.xml"/></Relationships>
</file>

<file path=word/charts/_rels/chart89.xml.rels><?xml version="1.0" encoding="UTF-8" standalone="yes"?>
<Relationships xmlns="http://schemas.openxmlformats.org/package/2006/relationships"><Relationship Id="rId2" Type="http://schemas.openxmlformats.org/officeDocument/2006/relationships/package" Target="../embeddings/H_rok_programu_Microsoft_Excel69.xlsx"/><Relationship Id="rId1" Type="http://schemas.openxmlformats.org/officeDocument/2006/relationships/themeOverride" Target="../theme/themeOverride87.xml"/></Relationships>
</file>

<file path=word/charts/_rels/chart9.xml.rels><?xml version="1.0" encoding="UTF-8" standalone="yes"?>
<Relationships xmlns="http://schemas.openxmlformats.org/package/2006/relationships"><Relationship Id="rId2" Type="http://schemas.openxmlformats.org/officeDocument/2006/relationships/package" Target="../embeddings/H_rok_programu_Microsoft_Excel3.xlsx"/><Relationship Id="rId1" Type="http://schemas.openxmlformats.org/officeDocument/2006/relationships/themeOverride" Target="../theme/themeOverride8.xml"/></Relationships>
</file>

<file path=word/charts/_rels/chart90.xml.rels><?xml version="1.0" encoding="UTF-8" standalone="yes"?>
<Relationships xmlns="http://schemas.openxmlformats.org/package/2006/relationships"><Relationship Id="rId2" Type="http://schemas.openxmlformats.org/officeDocument/2006/relationships/package" Target="../embeddings/H_rok_programu_Microsoft_Excel70.xlsx"/><Relationship Id="rId1" Type="http://schemas.openxmlformats.org/officeDocument/2006/relationships/themeOverride" Target="../theme/themeOverride88.xml"/></Relationships>
</file>

<file path=word/charts/_rels/chart91.xml.rels><?xml version="1.0" encoding="UTF-8" standalone="yes"?>
<Relationships xmlns="http://schemas.openxmlformats.org/package/2006/relationships"><Relationship Id="rId2" Type="http://schemas.openxmlformats.org/officeDocument/2006/relationships/package" Target="../embeddings/H_rok_programu_Microsoft_Excel71.xlsx"/><Relationship Id="rId1" Type="http://schemas.openxmlformats.org/officeDocument/2006/relationships/themeOverride" Target="../theme/themeOverride89.xml"/></Relationships>
</file>

<file path=word/charts/_rels/chart92.xml.rels><?xml version="1.0" encoding="UTF-8" standalone="yes"?>
<Relationships xmlns="http://schemas.openxmlformats.org/package/2006/relationships"><Relationship Id="rId2" Type="http://schemas.openxmlformats.org/officeDocument/2006/relationships/package" Target="../embeddings/H_rok_programu_Microsoft_Excel72.xlsx"/><Relationship Id="rId1" Type="http://schemas.openxmlformats.org/officeDocument/2006/relationships/themeOverride" Target="../theme/themeOverride90.xml"/></Relationships>
</file>

<file path=word/charts/_rels/chart93.xml.rels><?xml version="1.0" encoding="UTF-8" standalone="yes"?>
<Relationships xmlns="http://schemas.openxmlformats.org/package/2006/relationships"><Relationship Id="rId2" Type="http://schemas.openxmlformats.org/officeDocument/2006/relationships/package" Target="../embeddings/H_rok_programu_Microsoft_Excel73.xlsx"/><Relationship Id="rId1" Type="http://schemas.openxmlformats.org/officeDocument/2006/relationships/themeOverride" Target="../theme/themeOverride91.xml"/></Relationships>
</file>

<file path=word/charts/_rels/chart94.xml.rels><?xml version="1.0" encoding="UTF-8" standalone="yes"?>
<Relationships xmlns="http://schemas.openxmlformats.org/package/2006/relationships"><Relationship Id="rId2" Type="http://schemas.openxmlformats.org/officeDocument/2006/relationships/oleObject" Target="file:///C:\Users\becakr\Desktop\Vyhodnotenie%20%20AOTPP\Grafy%20-%20projekt.xlsx" TargetMode="External"/><Relationship Id="rId1" Type="http://schemas.openxmlformats.org/officeDocument/2006/relationships/themeOverride" Target="../theme/themeOverride92.xml"/></Relationships>
</file>

<file path=word/charts/_rels/chart95.xml.rels><?xml version="1.0" encoding="UTF-8" standalone="yes"?>
<Relationships xmlns="http://schemas.openxmlformats.org/package/2006/relationships"><Relationship Id="rId2" Type="http://schemas.openxmlformats.org/officeDocument/2006/relationships/package" Target="../embeddings/H_rok_programu_Microsoft_Excel74.xlsx"/><Relationship Id="rId1" Type="http://schemas.openxmlformats.org/officeDocument/2006/relationships/themeOverride" Target="../theme/themeOverride93.xml"/></Relationships>
</file>

<file path=word/charts/_rels/chart96.xml.rels><?xml version="1.0" encoding="UTF-8" standalone="yes"?>
<Relationships xmlns="http://schemas.openxmlformats.org/package/2006/relationships"><Relationship Id="rId2" Type="http://schemas.openxmlformats.org/officeDocument/2006/relationships/package" Target="../embeddings/H_rok_programu_Microsoft_Excel75.xlsx"/><Relationship Id="rId1" Type="http://schemas.openxmlformats.org/officeDocument/2006/relationships/themeOverride" Target="../theme/themeOverride94.xml"/></Relationships>
</file>

<file path=word/charts/_rels/chart97.xml.rels><?xml version="1.0" encoding="UTF-8" standalone="yes"?>
<Relationships xmlns="http://schemas.openxmlformats.org/package/2006/relationships"><Relationship Id="rId2" Type="http://schemas.openxmlformats.org/officeDocument/2006/relationships/package" Target="../embeddings/H_rok_programu_Microsoft_Excel76.xlsx"/><Relationship Id="rId1" Type="http://schemas.openxmlformats.org/officeDocument/2006/relationships/themeOverride" Target="../theme/themeOverride95.xml"/></Relationships>
</file>

<file path=word/charts/_rels/chart98.xml.rels><?xml version="1.0" encoding="UTF-8" standalone="yes"?>
<Relationships xmlns="http://schemas.openxmlformats.org/package/2006/relationships"><Relationship Id="rId2" Type="http://schemas.openxmlformats.org/officeDocument/2006/relationships/package" Target="../embeddings/H_rok_programu_Microsoft_Excel77.xlsx"/><Relationship Id="rId1" Type="http://schemas.openxmlformats.org/officeDocument/2006/relationships/themeOverride" Target="../theme/themeOverride96.xml"/></Relationships>
</file>

<file path=word/charts/_rels/chart99.xml.rels><?xml version="1.0" encoding="UTF-8" standalone="yes"?>
<Relationships xmlns="http://schemas.openxmlformats.org/package/2006/relationships"><Relationship Id="rId2" Type="http://schemas.openxmlformats.org/officeDocument/2006/relationships/package" Target="../embeddings/H_rok_programu_Microsoft_Excel78.xlsx"/><Relationship Id="rId1" Type="http://schemas.openxmlformats.org/officeDocument/2006/relationships/themeOverride" Target="../theme/themeOverride9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300">
                <a:solidFill>
                  <a:sysClr val="windowText" lastClr="000000"/>
                </a:solidFill>
              </a:rPr>
              <a:t>CCP vypočítaná z priemernej mzdy v hospodárstve SR za 1.-</a:t>
            </a:r>
            <a:r>
              <a:rPr lang="sk-SK" sz="1300">
                <a:solidFill>
                  <a:sysClr val="windowText" lastClr="000000"/>
                </a:solidFill>
              </a:rPr>
              <a:t> </a:t>
            </a:r>
            <a:r>
              <a:rPr lang="en-US" sz="1300">
                <a:solidFill>
                  <a:sysClr val="windowText" lastClr="000000"/>
                </a:solidFill>
              </a:rPr>
              <a:t>3.</a:t>
            </a:r>
            <a:r>
              <a:rPr lang="sk-SK" sz="1300">
                <a:solidFill>
                  <a:sysClr val="windowText" lastClr="000000"/>
                </a:solidFill>
              </a:rPr>
              <a:t> </a:t>
            </a:r>
            <a:r>
              <a:rPr lang="en-US" sz="1300">
                <a:solidFill>
                  <a:sysClr val="windowText" lastClr="000000"/>
                </a:solidFill>
              </a:rPr>
              <a:t>Q</a:t>
            </a:r>
            <a:r>
              <a:rPr lang="sk-SK" sz="1300">
                <a:solidFill>
                  <a:sysClr val="windowText" lastClr="000000"/>
                </a:solidFill>
              </a:rPr>
              <a:t>.</a:t>
            </a:r>
            <a:r>
              <a:rPr lang="en-US" sz="1300">
                <a:solidFill>
                  <a:sysClr val="windowText" lastClr="000000"/>
                </a:solidFill>
              </a:rPr>
              <a:t> </a:t>
            </a:r>
            <a:endParaRPr lang="sk-SK" sz="1300">
              <a:solidFill>
                <a:sysClr val="windowText" lastClr="000000"/>
              </a:solidFill>
            </a:endParaRPr>
          </a:p>
          <a:p>
            <a:pPr>
              <a:defRPr>
                <a:solidFill>
                  <a:sysClr val="windowText" lastClr="000000"/>
                </a:solidFill>
              </a:defRPr>
            </a:pPr>
            <a:r>
              <a:rPr lang="sk-SK" sz="1200" b="0">
                <a:solidFill>
                  <a:sysClr val="windowText" lastClr="000000"/>
                </a:solidFill>
              </a:rPr>
              <a:t>(</a:t>
            </a:r>
            <a:r>
              <a:rPr lang="en-US" sz="1200" b="0">
                <a:solidFill>
                  <a:sysClr val="windowText" lastClr="000000"/>
                </a:solidFill>
              </a:rPr>
              <a:t>v </a:t>
            </a:r>
            <a:r>
              <a:rPr lang="sk-SK" sz="1200" b="0" i="0" u="none" strike="noStrike" kern="1200" baseline="0">
                <a:solidFill>
                  <a:sysClr val="windowText" lastClr="000000"/>
                </a:solidFill>
                <a:latin typeface="+mn-lt"/>
                <a:ea typeface="+mn-ea"/>
                <a:cs typeface="+mn-cs"/>
              </a:rPr>
              <a:t>eur</a:t>
            </a:r>
            <a:r>
              <a:rPr lang="sk-SK" sz="1200" b="0">
                <a:solidFill>
                  <a:sysClr val="windowText" lastClr="000000"/>
                </a:solidFill>
              </a:rPr>
              <a:t>)</a:t>
            </a:r>
            <a:endParaRPr lang="en-US" sz="1200" b="0">
              <a:solidFill>
                <a:sysClr val="windowText" lastClr="000000"/>
              </a:solidFill>
            </a:endParaRPr>
          </a:p>
        </c:rich>
      </c:tx>
      <c:overlay val="1"/>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64475849498902"/>
          <c:y val="0.14741510741510741"/>
          <c:w val="0.83376302870714913"/>
          <c:h val="0.78550722739699119"/>
        </c:manualLayout>
      </c:layout>
      <c:bar3DChart>
        <c:barDir val="col"/>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'Vývoj CCP v NH'!$H$16:$O$16</c:f>
              <c:numCache>
                <c:formatCode>General</c:formatCode>
                <c:ptCount val="8"/>
                <c:pt idx="0">
                  <c:v>2017</c:v>
                </c:pt>
                <c:pt idx="1">
                  <c:v>2018</c:v>
                </c:pt>
                <c:pt idx="2">
                  <c:v>2019</c:v>
                </c:pt>
                <c:pt idx="3">
                  <c:v>2020</c:v>
                </c:pt>
                <c:pt idx="4">
                  <c:v>2021</c:v>
                </c:pt>
                <c:pt idx="5">
                  <c:v>2022</c:v>
                </c:pt>
                <c:pt idx="6">
                  <c:v>2023</c:v>
                </c:pt>
                <c:pt idx="7">
                  <c:v>2024</c:v>
                </c:pt>
              </c:numCache>
            </c:numRef>
          </c:cat>
          <c:val>
            <c:numRef>
              <c:f>'Vývoj CCP v NH'!$H$17:$O$17</c:f>
              <c:numCache>
                <c:formatCode>#,##0.00</c:formatCode>
                <c:ptCount val="8"/>
                <c:pt idx="0">
                  <c:v>1250.5900000000001</c:v>
                </c:pt>
                <c:pt idx="1">
                  <c:v>1330.36</c:v>
                </c:pt>
                <c:pt idx="2">
                  <c:v>1438.52</c:v>
                </c:pt>
                <c:pt idx="3">
                  <c:v>1481.78</c:v>
                </c:pt>
                <c:pt idx="4">
                  <c:v>1581.83</c:v>
                </c:pt>
                <c:pt idx="5">
                  <c:v>1711.61</c:v>
                </c:pt>
                <c:pt idx="6">
                  <c:v>1883.6200000000001</c:v>
                </c:pt>
                <c:pt idx="7">
                  <c:v>2021.2</c:v>
                </c:pt>
              </c:numCache>
            </c:numRef>
          </c:val>
          <c:extLst>
            <c:ext xmlns:c16="http://schemas.microsoft.com/office/drawing/2014/chart" uri="{C3380CC4-5D6E-409C-BE32-E72D297353CC}">
              <c16:uniqueId val="{00000000-5FD8-45B1-9C30-9E5D433DB7A9}"/>
            </c:ext>
          </c:extLst>
        </c:ser>
        <c:dLbls>
          <c:showLegendKey val="0"/>
          <c:showVal val="1"/>
          <c:showCatName val="0"/>
          <c:showSerName val="0"/>
          <c:showPercent val="0"/>
          <c:showBubbleSize val="0"/>
        </c:dLbls>
        <c:gapWidth val="150"/>
        <c:shape val="box"/>
        <c:axId val="430377024"/>
        <c:axId val="430374728"/>
        <c:axId val="0"/>
      </c:bar3DChart>
      <c:catAx>
        <c:axId val="430377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430374728"/>
        <c:crosses val="autoZero"/>
        <c:auto val="0"/>
        <c:lblAlgn val="ctr"/>
        <c:lblOffset val="100"/>
        <c:noMultiLvlLbl val="0"/>
      </c:catAx>
      <c:valAx>
        <c:axId val="430374728"/>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4303770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C00000"/>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20610886489833199"/>
          <c:y val="6.1641725032989661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54147364298159"/>
          <c:y val="0.25767243406300361"/>
          <c:w val="0.47090003423485111"/>
          <c:h val="0.61024844335402961"/>
        </c:manualLayout>
      </c:layout>
      <c:pie3DChart>
        <c:varyColors val="1"/>
        <c:ser>
          <c:idx val="0"/>
          <c:order val="0"/>
          <c:explosion val="25"/>
          <c:dPt>
            <c:idx val="0"/>
            <c:bubble3D val="0"/>
            <c:explosion val="14"/>
            <c:extLst>
              <c:ext xmlns:c16="http://schemas.microsoft.com/office/drawing/2014/chart" uri="{C3380CC4-5D6E-409C-BE32-E72D297353CC}">
                <c16:uniqueId val="{00000001-4A5E-43A4-8AC0-876820F8B758}"/>
              </c:ext>
            </c:extLst>
          </c:dPt>
          <c:dPt>
            <c:idx val="1"/>
            <c:bubble3D val="0"/>
            <c:explosion val="3"/>
            <c:extLst>
              <c:ext xmlns:c16="http://schemas.microsoft.com/office/drawing/2014/chart" uri="{C3380CC4-5D6E-409C-BE32-E72D297353CC}">
                <c16:uniqueId val="{00000003-4A5E-43A4-8AC0-876820F8B758}"/>
              </c:ext>
            </c:extLst>
          </c:dPt>
          <c:dPt>
            <c:idx val="2"/>
            <c:bubble3D val="0"/>
            <c:explosion val="6"/>
            <c:extLst>
              <c:ext xmlns:c16="http://schemas.microsoft.com/office/drawing/2014/chart" uri="{C3380CC4-5D6E-409C-BE32-E72D297353CC}">
                <c16:uniqueId val="{00000005-4A5E-43A4-8AC0-876820F8B758}"/>
              </c:ext>
            </c:extLst>
          </c:dPt>
          <c:dPt>
            <c:idx val="3"/>
            <c:bubble3D val="0"/>
            <c:explosion val="16"/>
            <c:extLst>
              <c:ext xmlns:c16="http://schemas.microsoft.com/office/drawing/2014/chart" uri="{C3380CC4-5D6E-409C-BE32-E72D297353CC}">
                <c16:uniqueId val="{00000007-4A5E-43A4-8AC0-876820F8B758}"/>
              </c:ext>
            </c:extLst>
          </c:dPt>
          <c:dLbls>
            <c:dLbl>
              <c:idx val="0"/>
              <c:layout>
                <c:manualLayout>
                  <c:x val="1.3906127541487106E-2"/>
                  <c:y val="-5.89793506474674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5E-43A4-8AC0-876820F8B758}"/>
                </c:ext>
              </c:extLst>
            </c:dLbl>
            <c:dLbl>
              <c:idx val="1"/>
              <c:layout>
                <c:manualLayout>
                  <c:x val="-0.13112858618222381"/>
                  <c:y val="-5.73247922738939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5E-43A4-8AC0-876820F8B758}"/>
                </c:ext>
              </c:extLst>
            </c:dLbl>
            <c:dLbl>
              <c:idx val="2"/>
              <c:layout>
                <c:manualLayout>
                  <c:x val="0.11258964123040344"/>
                  <c:y val="-0.145931758530183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5E-43A4-8AC0-876820F8B758}"/>
                </c:ext>
              </c:extLst>
            </c:dLbl>
            <c:dLbl>
              <c:idx val="3"/>
              <c:layout>
                <c:manualLayout>
                  <c:x val="-1.1119137022201282E-2"/>
                  <c:y val="-2.17064717739011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5E-43A4-8AC0-876820F8B758}"/>
                </c:ext>
              </c:extLst>
            </c:dLbl>
            <c:dLbl>
              <c:idx val="4"/>
              <c:layout>
                <c:manualLayout>
                  <c:x val="3.1930997253091654E-2"/>
                  <c:y val="-3.59605429155609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A5E-43A4-8AC0-876820F8B758}"/>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776</c:v>
                </c:pt>
                <c:pt idx="1">
                  <c:v>9825</c:v>
                </c:pt>
                <c:pt idx="2">
                  <c:v>7423</c:v>
                </c:pt>
                <c:pt idx="3">
                  <c:v>2666</c:v>
                </c:pt>
                <c:pt idx="4">
                  <c:v>1576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9-4A5E-43A4-8AC0-876820F8B758}"/>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                          Veková štruktúra UoZ pred zaradením do projektu</a:t>
            </a:r>
          </a:p>
        </c:rich>
      </c:tx>
      <c:layout>
        <c:manualLayout>
          <c:xMode val="edge"/>
          <c:yMode val="edge"/>
          <c:x val="0.12125503919853156"/>
          <c:y val="9.655346903073884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9539756059904273"/>
          <c:y val="0.29746021747281592"/>
          <c:w val="0.46294031873466795"/>
          <c:h val="0.53133106468186775"/>
        </c:manualLayout>
      </c:layout>
      <c:pie3DChart>
        <c:varyColors val="1"/>
        <c:ser>
          <c:idx val="0"/>
          <c:order val="0"/>
          <c:explosion val="9"/>
          <c:dPt>
            <c:idx val="0"/>
            <c:bubble3D val="0"/>
            <c:extLst>
              <c:ext xmlns:c16="http://schemas.microsoft.com/office/drawing/2014/chart" uri="{C3380CC4-5D6E-409C-BE32-E72D297353CC}">
                <c16:uniqueId val="{00000000-267F-4E56-8016-CE3DF68C1A1A}"/>
              </c:ext>
            </c:extLst>
          </c:dPt>
          <c:dPt>
            <c:idx val="1"/>
            <c:bubble3D val="0"/>
            <c:extLst>
              <c:ext xmlns:c16="http://schemas.microsoft.com/office/drawing/2014/chart" uri="{C3380CC4-5D6E-409C-BE32-E72D297353CC}">
                <c16:uniqueId val="{00000001-267F-4E56-8016-CE3DF68C1A1A}"/>
              </c:ext>
            </c:extLst>
          </c:dPt>
          <c:dPt>
            <c:idx val="2"/>
            <c:bubble3D val="0"/>
            <c:extLst>
              <c:ext xmlns:c16="http://schemas.microsoft.com/office/drawing/2014/chart" uri="{C3380CC4-5D6E-409C-BE32-E72D297353CC}">
                <c16:uniqueId val="{00000002-267F-4E56-8016-CE3DF68C1A1A}"/>
              </c:ext>
            </c:extLst>
          </c:dPt>
          <c:dPt>
            <c:idx val="3"/>
            <c:bubble3D val="0"/>
            <c:extLst>
              <c:ext xmlns:c16="http://schemas.microsoft.com/office/drawing/2014/chart" uri="{C3380CC4-5D6E-409C-BE32-E72D297353CC}">
                <c16:uniqueId val="{00000003-267F-4E56-8016-CE3DF68C1A1A}"/>
              </c:ext>
            </c:extLst>
          </c:dPt>
          <c:dLbls>
            <c:dLbl>
              <c:idx val="0"/>
              <c:layout>
                <c:manualLayout>
                  <c:x val="-0.13261832467020054"/>
                  <c:y val="-0.1762453035119520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67F-4E56-8016-CE3DF68C1A1A}"/>
                </c:ext>
              </c:extLst>
            </c:dLbl>
            <c:dLbl>
              <c:idx val="1"/>
              <c:layout>
                <c:manualLayout>
                  <c:x val="0.12401591957868012"/>
                  <c:y val="8.93567957436580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7F-4E56-8016-CE3DF68C1A1A}"/>
                </c:ext>
              </c:extLst>
            </c:dLbl>
            <c:dLbl>
              <c:idx val="3"/>
              <c:layout>
                <c:manualLayout>
                  <c:x val="7.1368839311752655E-2"/>
                  <c:y val="0.10039396238260916"/>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7F-4E56-8016-CE3DF68C1A1A}"/>
                </c:ext>
              </c:extLst>
            </c:dLbl>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0"/>
            <c:extLst>
              <c:ext xmlns:c15="http://schemas.microsoft.com/office/drawing/2012/chart" uri="{CE6537A1-D6FC-4f65-9D91-7224C49458BB}"/>
            </c:extLst>
          </c:dLbls>
          <c:cat>
            <c:strRef>
              <c:f>Hárok1!$A$6:$A$7</c:f>
              <c:strCache>
                <c:ptCount val="2"/>
                <c:pt idx="0">
                  <c:v>UoZ do 24 rokov</c:v>
                </c:pt>
                <c:pt idx="1">
                  <c:v>UoZ od 25 do 29 rokov</c:v>
                </c:pt>
              </c:strCache>
            </c:strRef>
          </c:cat>
          <c:val>
            <c:numRef>
              <c:f>Hárok1!$B$6:$B$7</c:f>
              <c:numCache>
                <c:formatCode>#,##0</c:formatCode>
                <c:ptCount val="2"/>
                <c:pt idx="0">
                  <c:v>550</c:v>
                </c:pt>
                <c:pt idx="1">
                  <c:v>197</c:v>
                </c:pt>
              </c:numCache>
            </c:numRef>
          </c:val>
          <c:extLst>
            <c:ext xmlns:c16="http://schemas.microsoft.com/office/drawing/2014/chart" uri="{C3380CC4-5D6E-409C-BE32-E72D297353CC}">
              <c16:uniqueId val="{00000004-267F-4E56-8016-CE3DF68C1A1A}"/>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68763745218122252"/>
          <c:y val="0.27977304653290569"/>
          <c:w val="0.22916703120443271"/>
          <c:h val="0.44420775709300847"/>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4081420893699495"/>
          <c:y val="7.776180661981010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5186870947736858"/>
          <c:y val="0.29367642408754208"/>
          <c:w val="0.43197666344943819"/>
          <c:h val="0.4988167905524778"/>
        </c:manualLayout>
      </c:layout>
      <c:pie3DChart>
        <c:varyColors val="1"/>
        <c:ser>
          <c:idx val="0"/>
          <c:order val="0"/>
          <c:explosion val="8"/>
          <c:dPt>
            <c:idx val="0"/>
            <c:bubble3D val="0"/>
            <c:explosion val="3"/>
            <c:extLst>
              <c:ext xmlns:c16="http://schemas.microsoft.com/office/drawing/2014/chart" uri="{C3380CC4-5D6E-409C-BE32-E72D297353CC}">
                <c16:uniqueId val="{00000000-9F66-48AE-AAFA-891C69EB7DE4}"/>
              </c:ext>
            </c:extLst>
          </c:dPt>
          <c:dPt>
            <c:idx val="1"/>
            <c:bubble3D val="0"/>
            <c:extLst>
              <c:ext xmlns:c16="http://schemas.microsoft.com/office/drawing/2014/chart" uri="{C3380CC4-5D6E-409C-BE32-E72D297353CC}">
                <c16:uniqueId val="{00000001-9F66-48AE-AAFA-891C69EB7DE4}"/>
              </c:ext>
            </c:extLst>
          </c:dPt>
          <c:dPt>
            <c:idx val="2"/>
            <c:bubble3D val="0"/>
            <c:extLst>
              <c:ext xmlns:c16="http://schemas.microsoft.com/office/drawing/2014/chart" uri="{C3380CC4-5D6E-409C-BE32-E72D297353CC}">
                <c16:uniqueId val="{00000002-9F66-48AE-AAFA-891C69EB7DE4}"/>
              </c:ext>
            </c:extLst>
          </c:dPt>
          <c:dPt>
            <c:idx val="3"/>
            <c:bubble3D val="0"/>
            <c:extLst>
              <c:ext xmlns:c16="http://schemas.microsoft.com/office/drawing/2014/chart" uri="{C3380CC4-5D6E-409C-BE32-E72D297353CC}">
                <c16:uniqueId val="{00000003-9F66-48AE-AAFA-891C69EB7DE4}"/>
              </c:ext>
            </c:extLst>
          </c:dPt>
          <c:dPt>
            <c:idx val="4"/>
            <c:bubble3D val="0"/>
            <c:extLst>
              <c:ext xmlns:c16="http://schemas.microsoft.com/office/drawing/2014/chart" uri="{C3380CC4-5D6E-409C-BE32-E72D297353CC}">
                <c16:uniqueId val="{00000004-9F66-48AE-AAFA-891C69EB7DE4}"/>
              </c:ext>
            </c:extLst>
          </c:dPt>
          <c:dLbls>
            <c:dLbl>
              <c:idx val="0"/>
              <c:layout>
                <c:manualLayout>
                  <c:x val="-0.13702719463714752"/>
                  <c:y val="3.2244711021860523E-2"/>
                </c:manualLayout>
              </c:layout>
              <c:tx>
                <c:rich>
                  <a:bodyPr/>
                  <a:lstStyle/>
                  <a:p>
                    <a:r>
                      <a:rPr lang="en-US" sz="1000"/>
                      <a:t>41,23 %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6-48AE-AAFA-891C69EB7DE4}"/>
                </c:ext>
              </c:extLst>
            </c:dLbl>
            <c:dLbl>
              <c:idx val="1"/>
              <c:layout>
                <c:manualLayout>
                  <c:x val="-3.5608940272541516E-2"/>
                  <c:y val="-0.20114628528576786"/>
                </c:manualLayout>
              </c:layout>
              <c:numFmt formatCode="0.00%" sourceLinked="0"/>
              <c:spPr>
                <a:noFill/>
                <a:ln w="25400">
                  <a:noFill/>
                </a:ln>
              </c:spPr>
              <c:txPr>
                <a:bodyPr wrap="square" lIns="38100" tIns="19050" rIns="38100" bIns="19050" anchor="ctr">
                  <a:noAutofit/>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15:layout>
                    <c:manualLayout>
                      <c:w val="0.11375843875578648"/>
                      <c:h val="9.0402860716235989E-2"/>
                    </c:manualLayout>
                  </c15:layout>
                </c:ext>
                <c:ext xmlns:c16="http://schemas.microsoft.com/office/drawing/2014/chart" uri="{C3380CC4-5D6E-409C-BE32-E72D297353CC}">
                  <c16:uniqueId val="{00000001-9F66-48AE-AAFA-891C69EB7DE4}"/>
                </c:ext>
              </c:extLst>
            </c:dLbl>
            <c:dLbl>
              <c:idx val="2"/>
              <c:layout>
                <c:manualLayout>
                  <c:x val="0.11591148050299166"/>
                  <c:y val="-0.121719952791136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F66-48AE-AAFA-891C69EB7DE4}"/>
                </c:ext>
              </c:extLst>
            </c:dLbl>
            <c:dLbl>
              <c:idx val="3"/>
              <c:layout>
                <c:manualLayout>
                  <c:x val="9.9229503968921398E-2"/>
                  <c:y val="5.6058059856611886E-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66-48AE-AAFA-891C69EB7DE4}"/>
                </c:ext>
              </c:extLst>
            </c:dLbl>
            <c:dLbl>
              <c:idx val="4"/>
              <c:layout>
                <c:manualLayout>
                  <c:x val="5.2816713717554899E-2"/>
                  <c:y val="8.4712431080343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F66-48AE-AAFA-891C69EB7DE4}"/>
                </c:ext>
              </c:extLst>
            </c:dLbl>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308</c:v>
                </c:pt>
                <c:pt idx="1">
                  <c:v>113</c:v>
                </c:pt>
                <c:pt idx="2">
                  <c:v>156</c:v>
                </c:pt>
                <c:pt idx="3">
                  <c:v>95</c:v>
                </c:pt>
                <c:pt idx="4">
                  <c:v>75</c:v>
                </c:pt>
              </c:numCache>
            </c:numRef>
          </c:val>
          <c:extLst>
            <c:ext xmlns:c16="http://schemas.microsoft.com/office/drawing/2014/chart" uri="{C3380CC4-5D6E-409C-BE32-E72D297353CC}">
              <c16:uniqueId val="{00000005-9F66-48AE-AAFA-891C69EB7DE4}"/>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340199916679821"/>
          <c:y val="0.22521376103154891"/>
          <c:w val="0.30555610236220476"/>
          <c:h val="0.69845760890626918"/>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dosiahnutého stupňa vzdelania</a:t>
            </a:r>
          </a:p>
        </c:rich>
      </c:tx>
      <c:layout>
        <c:manualLayout>
          <c:xMode val="edge"/>
          <c:yMode val="edge"/>
          <c:x val="2.0378096323807136E-3"/>
          <c:y val="4.018004386619814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5252277858582201E-2"/>
          <c:y val="0.32691685404445625"/>
          <c:w val="0.61184007903071169"/>
          <c:h val="0.50607088054249272"/>
        </c:manualLayout>
      </c:layout>
      <c:pie3DChart>
        <c:varyColors val="1"/>
        <c:ser>
          <c:idx val="0"/>
          <c:order val="0"/>
          <c:explosion val="13"/>
          <c:dPt>
            <c:idx val="0"/>
            <c:bubble3D val="0"/>
            <c:explosion val="14"/>
            <c:extLst>
              <c:ext xmlns:c16="http://schemas.microsoft.com/office/drawing/2014/chart" uri="{C3380CC4-5D6E-409C-BE32-E72D297353CC}">
                <c16:uniqueId val="{00000001-0C98-4AB1-AF95-7EF8680F58FB}"/>
              </c:ext>
            </c:extLst>
          </c:dPt>
          <c:dPt>
            <c:idx val="1"/>
            <c:bubble3D val="0"/>
            <c:explosion val="15"/>
            <c:extLst>
              <c:ext xmlns:c16="http://schemas.microsoft.com/office/drawing/2014/chart" uri="{C3380CC4-5D6E-409C-BE32-E72D297353CC}">
                <c16:uniqueId val="{00000003-0C98-4AB1-AF95-7EF8680F58FB}"/>
              </c:ext>
            </c:extLst>
          </c:dPt>
          <c:dPt>
            <c:idx val="2"/>
            <c:bubble3D val="0"/>
            <c:explosion val="12"/>
            <c:extLst>
              <c:ext xmlns:c16="http://schemas.microsoft.com/office/drawing/2014/chart" uri="{C3380CC4-5D6E-409C-BE32-E72D297353CC}">
                <c16:uniqueId val="{00000005-0C98-4AB1-AF95-7EF8680F58FB}"/>
              </c:ext>
            </c:extLst>
          </c:dPt>
          <c:dPt>
            <c:idx val="3"/>
            <c:bubble3D val="0"/>
            <c:explosion val="10"/>
            <c:extLst>
              <c:ext xmlns:c16="http://schemas.microsoft.com/office/drawing/2014/chart" uri="{C3380CC4-5D6E-409C-BE32-E72D297353CC}">
                <c16:uniqueId val="{00000007-0C98-4AB1-AF95-7EF8680F58FB}"/>
              </c:ext>
            </c:extLst>
          </c:dPt>
          <c:dPt>
            <c:idx val="4"/>
            <c:bubble3D val="0"/>
            <c:explosion val="14"/>
            <c:extLst>
              <c:ext xmlns:c16="http://schemas.microsoft.com/office/drawing/2014/chart" uri="{C3380CC4-5D6E-409C-BE32-E72D297353CC}">
                <c16:uniqueId val="{00000009-0C98-4AB1-AF95-7EF8680F58FB}"/>
              </c:ext>
            </c:extLst>
          </c:dPt>
          <c:dPt>
            <c:idx val="5"/>
            <c:bubble3D val="0"/>
            <c:explosion val="16"/>
            <c:extLst>
              <c:ext xmlns:c16="http://schemas.microsoft.com/office/drawing/2014/chart" uri="{C3380CC4-5D6E-409C-BE32-E72D297353CC}">
                <c16:uniqueId val="{0000000B-0C98-4AB1-AF95-7EF8680F58FB}"/>
              </c:ext>
            </c:extLst>
          </c:dPt>
          <c:dPt>
            <c:idx val="6"/>
            <c:bubble3D val="0"/>
            <c:extLst>
              <c:ext xmlns:c16="http://schemas.microsoft.com/office/drawing/2014/chart" uri="{C3380CC4-5D6E-409C-BE32-E72D297353CC}">
                <c16:uniqueId val="{0000000C-0C98-4AB1-AF95-7EF8680F58FB}"/>
              </c:ext>
            </c:extLst>
          </c:dPt>
          <c:dPt>
            <c:idx val="7"/>
            <c:bubble3D val="0"/>
            <c:extLst>
              <c:ext xmlns:c16="http://schemas.microsoft.com/office/drawing/2014/chart" uri="{C3380CC4-5D6E-409C-BE32-E72D297353CC}">
                <c16:uniqueId val="{0000000D-0C98-4AB1-AF95-7EF8680F58FB}"/>
              </c:ext>
            </c:extLst>
          </c:dPt>
          <c:dPt>
            <c:idx val="8"/>
            <c:bubble3D val="0"/>
            <c:extLst>
              <c:ext xmlns:c16="http://schemas.microsoft.com/office/drawing/2014/chart" uri="{C3380CC4-5D6E-409C-BE32-E72D297353CC}">
                <c16:uniqueId val="{0000000E-0C98-4AB1-AF95-7EF8680F58FB}"/>
              </c:ext>
            </c:extLst>
          </c:dPt>
          <c:dPt>
            <c:idx val="9"/>
            <c:bubble3D val="0"/>
            <c:extLst>
              <c:ext xmlns:c16="http://schemas.microsoft.com/office/drawing/2014/chart" uri="{C3380CC4-5D6E-409C-BE32-E72D297353CC}">
                <c16:uniqueId val="{0000000F-0C98-4AB1-AF95-7EF8680F58FB}"/>
              </c:ext>
            </c:extLst>
          </c:dPt>
          <c:dLbls>
            <c:dLbl>
              <c:idx val="0"/>
              <c:layout>
                <c:manualLayout>
                  <c:x val="-5.8766959685594859E-2"/>
                  <c:y val="7.52628227311441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98-4AB1-AF95-7EF8680F58FB}"/>
                </c:ext>
              </c:extLst>
            </c:dLbl>
            <c:dLbl>
              <c:idx val="1"/>
              <c:layout>
                <c:manualLayout>
                  <c:x val="2.04286964129483E-2"/>
                  <c:y val="-3.1993130918356469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98-4AB1-AF95-7EF8680F58FB}"/>
                </c:ext>
              </c:extLst>
            </c:dLbl>
            <c:dLbl>
              <c:idx val="2"/>
              <c:layout>
                <c:manualLayout>
                  <c:x val="2.610758816998842E-2"/>
                  <c:y val="8.8399038765152246E-3"/>
                </c:manualLayout>
              </c:layout>
              <c:numFmt formatCode="0.00%" sourceLinked="0"/>
              <c:spPr>
                <a:noFill/>
                <a:ln w="25400">
                  <a:noFill/>
                </a:ln>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98-4AB1-AF95-7EF8680F58FB}"/>
                </c:ext>
              </c:extLst>
            </c:dLbl>
            <c:dLbl>
              <c:idx val="3"/>
              <c:layout>
                <c:manualLayout>
                  <c:x val="-9.7451342600512664E-2"/>
                  <c:y val="8.7930386920293396E-3"/>
                </c:manualLayout>
              </c:layout>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98-4AB1-AF95-7EF8680F58FB}"/>
                </c:ext>
              </c:extLst>
            </c:dLbl>
            <c:dLbl>
              <c:idx val="4"/>
              <c:layout>
                <c:manualLayout>
                  <c:x val="9.2093168731594718E-2"/>
                  <c:y val="-0.17069604971665159"/>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C98-4AB1-AF95-7EF8680F58FB}"/>
                </c:ext>
              </c:extLst>
            </c:dLbl>
            <c:dLbl>
              <c:idx val="5"/>
              <c:layout>
                <c:manualLayout>
                  <c:x val="5.9782722993789658E-2"/>
                  <c:y val="8.4018307335897074E-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C98-4AB1-AF95-7EF8680F58FB}"/>
                </c:ext>
              </c:extLst>
            </c:dLbl>
            <c:dLbl>
              <c:idx val="6"/>
              <c:layout>
                <c:manualLayout>
                  <c:x val="-4.3448966427532217E-2"/>
                  <c:y val="-4.43733526555276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C98-4AB1-AF95-7EF8680F58FB}"/>
                </c:ext>
              </c:extLst>
            </c:dLbl>
            <c:dLbl>
              <c:idx val="7"/>
              <c:layout>
                <c:manualLayout>
                  <c:x val="5.1946778975026475E-2"/>
                  <c:y val="-4.6102046446389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C98-4AB1-AF95-7EF8680F58FB}"/>
                </c:ext>
              </c:extLst>
            </c:dLbl>
            <c:numFmt formatCode="0.00%" sourceLinked="0"/>
            <c:spPr>
              <a:noFill/>
              <a:ln w="25400">
                <a:noFill/>
              </a:ln>
            </c:spPr>
            <c:txPr>
              <a:bodyPr wrap="square" lIns="38100" tIns="19050" rIns="38100" bIns="19050" anchor="ctr">
                <a:spAutoFit/>
              </a:bodyPr>
              <a:lstStyle/>
              <a:p>
                <a:pPr>
                  <a:defRPr sz="10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Hárok1!$A$7:$A$14</c:f>
              <c:strCache>
                <c:ptCount val="8"/>
                <c:pt idx="0">
                  <c:v>základné vzdelanie</c:v>
                </c:pt>
                <c:pt idx="1">
                  <c:v>Neukončené 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druhého stupňa</c:v>
                </c:pt>
              </c:strCache>
            </c:strRef>
          </c:cat>
          <c:val>
            <c:numRef>
              <c:f>Hárok1!$B$7:$B$14</c:f>
              <c:numCache>
                <c:formatCode>#,##0</c:formatCode>
                <c:ptCount val="8"/>
                <c:pt idx="0" formatCode="General">
                  <c:v>77</c:v>
                </c:pt>
                <c:pt idx="1">
                  <c:v>21</c:v>
                </c:pt>
                <c:pt idx="2">
                  <c:v>23</c:v>
                </c:pt>
                <c:pt idx="3">
                  <c:v>88</c:v>
                </c:pt>
                <c:pt idx="4">
                  <c:v>449</c:v>
                </c:pt>
                <c:pt idx="5">
                  <c:v>86</c:v>
                </c:pt>
                <c:pt idx="6">
                  <c:v>2</c:v>
                </c:pt>
                <c:pt idx="7">
                  <c:v>1</c:v>
                </c:pt>
              </c:numCache>
            </c:numRef>
          </c:val>
          <c:extLst>
            <c:ext xmlns:c16="http://schemas.microsoft.com/office/drawing/2014/chart" uri="{C3380CC4-5D6E-409C-BE32-E72D297353CC}">
              <c16:uniqueId val="{00000010-0C98-4AB1-AF95-7EF8680F58FB}"/>
            </c:ext>
          </c:extLst>
        </c:ser>
        <c:dLbls>
          <c:showLegendKey val="0"/>
          <c:showVal val="0"/>
          <c:showCatName val="0"/>
          <c:showSerName val="0"/>
          <c:showPercent val="0"/>
          <c:showBubbleSize val="0"/>
          <c:showLeaderLines val="1"/>
        </c:dLbls>
      </c:pie3DChart>
      <c:spPr>
        <a:noFill/>
        <a:ln w="25400">
          <a:noFill/>
        </a:ln>
      </c:spPr>
    </c:plotArea>
    <c:legend>
      <c:legendPos val="r"/>
      <c:legendEntry>
        <c:idx val="1"/>
        <c:delete val="1"/>
      </c:legendEntry>
      <c:layout>
        <c:manualLayout>
          <c:xMode val="edge"/>
          <c:yMode val="edge"/>
          <c:x val="0.70771609105623245"/>
          <c:y val="0.10235457293502029"/>
          <c:w val="0.28307800721640908"/>
          <c:h val="0.85103219737887348"/>
        </c:manualLayout>
      </c:layout>
      <c:overlay val="0"/>
      <c:txPr>
        <a:bodyPr/>
        <a:lstStyle/>
        <a:p>
          <a:pPr rtl="0">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profesie (SK ISCO - 08) </a:t>
            </a:r>
          </a:p>
        </c:rich>
      </c:tx>
      <c:layout>
        <c:manualLayout>
          <c:xMode val="edge"/>
          <c:yMode val="edge"/>
          <c:x val="0.1327934138980067"/>
          <c:y val="7.160635505668173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6310031465298438E-2"/>
          <c:y val="0.30871424090856564"/>
          <c:w val="0.64345492737002408"/>
          <c:h val="0.52211327357665205"/>
        </c:manualLayout>
      </c:layout>
      <c:pie3DChart>
        <c:varyColors val="1"/>
        <c:ser>
          <c:idx val="0"/>
          <c:order val="0"/>
          <c:dPt>
            <c:idx val="0"/>
            <c:bubble3D val="0"/>
            <c:explosion val="3"/>
            <c:extLst>
              <c:ext xmlns:c16="http://schemas.microsoft.com/office/drawing/2014/chart" uri="{C3380CC4-5D6E-409C-BE32-E72D297353CC}">
                <c16:uniqueId val="{00000000-26B9-46A7-B3F6-EAD03E45A41A}"/>
              </c:ext>
            </c:extLst>
          </c:dPt>
          <c:dPt>
            <c:idx val="1"/>
            <c:bubble3D val="0"/>
            <c:explosion val="5"/>
            <c:extLst>
              <c:ext xmlns:c16="http://schemas.microsoft.com/office/drawing/2014/chart" uri="{C3380CC4-5D6E-409C-BE32-E72D297353CC}">
                <c16:uniqueId val="{00000001-26B9-46A7-B3F6-EAD03E45A41A}"/>
              </c:ext>
            </c:extLst>
          </c:dPt>
          <c:dPt>
            <c:idx val="2"/>
            <c:bubble3D val="0"/>
            <c:explosion val="18"/>
            <c:extLst>
              <c:ext xmlns:c16="http://schemas.microsoft.com/office/drawing/2014/chart" uri="{C3380CC4-5D6E-409C-BE32-E72D297353CC}">
                <c16:uniqueId val="{00000002-26B9-46A7-B3F6-EAD03E45A41A}"/>
              </c:ext>
            </c:extLst>
          </c:dPt>
          <c:dPt>
            <c:idx val="3"/>
            <c:bubble3D val="0"/>
            <c:explosion val="8"/>
            <c:extLst>
              <c:ext xmlns:c16="http://schemas.microsoft.com/office/drawing/2014/chart" uri="{C3380CC4-5D6E-409C-BE32-E72D297353CC}">
                <c16:uniqueId val="{00000003-26B9-46A7-B3F6-EAD03E45A41A}"/>
              </c:ext>
            </c:extLst>
          </c:dPt>
          <c:dPt>
            <c:idx val="4"/>
            <c:bubble3D val="0"/>
            <c:explosion val="10"/>
            <c:extLst>
              <c:ext xmlns:c16="http://schemas.microsoft.com/office/drawing/2014/chart" uri="{C3380CC4-5D6E-409C-BE32-E72D297353CC}">
                <c16:uniqueId val="{00000004-26B9-46A7-B3F6-EAD03E45A41A}"/>
              </c:ext>
            </c:extLst>
          </c:dPt>
          <c:dPt>
            <c:idx val="5"/>
            <c:bubble3D val="0"/>
            <c:extLst>
              <c:ext xmlns:c16="http://schemas.microsoft.com/office/drawing/2014/chart" uri="{C3380CC4-5D6E-409C-BE32-E72D297353CC}">
                <c16:uniqueId val="{00000005-26B9-46A7-B3F6-EAD03E45A41A}"/>
              </c:ext>
            </c:extLst>
          </c:dPt>
          <c:dPt>
            <c:idx val="6"/>
            <c:bubble3D val="0"/>
            <c:extLst>
              <c:ext xmlns:c16="http://schemas.microsoft.com/office/drawing/2014/chart" uri="{C3380CC4-5D6E-409C-BE32-E72D297353CC}">
                <c16:uniqueId val="{00000006-26B9-46A7-B3F6-EAD03E45A41A}"/>
              </c:ext>
            </c:extLst>
          </c:dPt>
          <c:dPt>
            <c:idx val="7"/>
            <c:bubble3D val="0"/>
            <c:extLst>
              <c:ext xmlns:c16="http://schemas.microsoft.com/office/drawing/2014/chart" uri="{C3380CC4-5D6E-409C-BE32-E72D297353CC}">
                <c16:uniqueId val="{00000007-26B9-46A7-B3F6-EAD03E45A41A}"/>
              </c:ext>
            </c:extLst>
          </c:dPt>
          <c:dPt>
            <c:idx val="8"/>
            <c:bubble3D val="0"/>
            <c:extLst>
              <c:ext xmlns:c16="http://schemas.microsoft.com/office/drawing/2014/chart" uri="{C3380CC4-5D6E-409C-BE32-E72D297353CC}">
                <c16:uniqueId val="{00000008-26B9-46A7-B3F6-EAD03E45A41A}"/>
              </c:ext>
            </c:extLst>
          </c:dPt>
          <c:dLbls>
            <c:dLbl>
              <c:idx val="0"/>
              <c:layout>
                <c:manualLayout>
                  <c:x val="-5.3938631558617577E-2"/>
                  <c:y val="7.2339589626768355E-2"/>
                </c:manualLayout>
              </c:layout>
              <c:tx>
                <c:rich>
                  <a:bodyPr/>
                  <a:lstStyle/>
                  <a:p>
                    <a:pPr>
                      <a:defRPr sz="1000" b="0"/>
                    </a:pPr>
                    <a:r>
                      <a:rPr lang="en-US" sz="1000" b="0"/>
                      <a:t>10,44%</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B9-46A7-B3F6-EAD03E45A41A}"/>
                </c:ext>
              </c:extLst>
            </c:dLbl>
            <c:dLbl>
              <c:idx val="1"/>
              <c:layout>
                <c:manualLayout>
                  <c:x val="-0.1173867565447308"/>
                  <c:y val="5.1975106885223483E-3"/>
                </c:manualLayout>
              </c:layout>
              <c:tx>
                <c:rich>
                  <a:bodyPr/>
                  <a:lstStyle/>
                  <a:p>
                    <a:pPr>
                      <a:defRPr sz="1000" b="0"/>
                    </a:pPr>
                    <a:r>
                      <a:rPr lang="en-US" sz="1000" b="0"/>
                      <a:t>23,83%</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B9-46A7-B3F6-EAD03E45A41A}"/>
                </c:ext>
              </c:extLst>
            </c:dLbl>
            <c:dLbl>
              <c:idx val="2"/>
              <c:layout>
                <c:manualLayout>
                  <c:x val="3.2643922548535348E-2"/>
                  <c:y val="-0.1753769458063025"/>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B9-46A7-B3F6-EAD03E45A41A}"/>
                </c:ext>
              </c:extLst>
            </c:dLbl>
            <c:dLbl>
              <c:idx val="3"/>
              <c:layout>
                <c:manualLayout>
                  <c:x val="8.0511170095489748E-2"/>
                  <c:y val="-7.0717905544825765E-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B9-46A7-B3F6-EAD03E45A41A}"/>
                </c:ext>
              </c:extLst>
            </c:dLbl>
            <c:dLbl>
              <c:idx val="4"/>
              <c:layout>
                <c:manualLayout>
                  <c:x val="8.7107994911623146E-2"/>
                  <c:y val="5.8137232017421131E-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6B9-46A7-B3F6-EAD03E45A41A}"/>
                </c:ext>
              </c:extLst>
            </c:dLbl>
            <c:dLbl>
              <c:idx val="5"/>
              <c:layout>
                <c:manualLayout>
                  <c:x val="9.0358149675734981E-2"/>
                  <c:y val="-7.7654548500586368E-2"/>
                </c:manualLayout>
              </c:layout>
              <c:tx>
                <c:rich>
                  <a:bodyPr/>
                  <a:lstStyle/>
                  <a:p>
                    <a:pPr>
                      <a:defRPr sz="1000" b="0"/>
                    </a:pPr>
                    <a:r>
                      <a:rPr lang="en-US" sz="1000" b="0"/>
                      <a:t>0,82%</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B9-46A7-B3F6-EAD03E45A41A}"/>
                </c:ext>
              </c:extLst>
            </c:dLbl>
            <c:dLbl>
              <c:idx val="6"/>
              <c:layout>
                <c:manualLayout>
                  <c:x val="5.6198038714836245E-2"/>
                  <c:y val="7.217138996865903E-2"/>
                </c:manualLayout>
              </c:layout>
              <c:tx>
                <c:rich>
                  <a:bodyPr/>
                  <a:lstStyle/>
                  <a:p>
                    <a:pPr>
                      <a:defRPr sz="1000" b="0"/>
                    </a:pPr>
                    <a:r>
                      <a:rPr lang="en-US" sz="1000" b="0"/>
                      <a:t>7,51 %</a:t>
                    </a:r>
                  </a:p>
                </c:rich>
              </c:tx>
              <c:numFmt formatCode="0.00%" sourceLinked="0"/>
              <c:sp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6B9-46A7-B3F6-EAD03E45A41A}"/>
                </c:ext>
              </c:extLst>
            </c:dLbl>
            <c:dLbl>
              <c:idx val="7"/>
              <c:layout>
                <c:manualLayout>
                  <c:x val="-2.9009414745075963E-2"/>
                  <c:y val="-0.13252163348577062"/>
                </c:manualLayout>
              </c:layout>
              <c:tx>
                <c:rich>
                  <a:bodyPr/>
                  <a:lstStyle/>
                  <a:p>
                    <a:pPr>
                      <a:defRPr sz="1000" b="0"/>
                    </a:pPr>
                    <a:r>
                      <a:rPr lang="en-US" sz="1000" b="0"/>
                      <a:t>1,60%</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B9-46A7-B3F6-EAD03E45A41A}"/>
                </c:ext>
              </c:extLst>
            </c:dLbl>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špecialisti</c:v>
                </c:pt>
                <c:pt idx="1">
                  <c:v>technici a odborní pracovníci</c:v>
                </c:pt>
                <c:pt idx="2">
                  <c:v>administratívni pracovníci</c:v>
                </c:pt>
                <c:pt idx="3">
                  <c:v>pracovníci v službách a obchode</c:v>
                </c:pt>
                <c:pt idx="4">
                  <c:v>Pomocní a nekvalifikovaní pracovníci </c:v>
                </c:pt>
              </c:strCache>
            </c:strRef>
          </c:cat>
          <c:val>
            <c:numRef>
              <c:f>Hárok1!$B$6:$B$10</c:f>
              <c:numCache>
                <c:formatCode>#,##0</c:formatCode>
                <c:ptCount val="5"/>
                <c:pt idx="0">
                  <c:v>78</c:v>
                </c:pt>
                <c:pt idx="1">
                  <c:v>178</c:v>
                </c:pt>
                <c:pt idx="2">
                  <c:v>261</c:v>
                </c:pt>
                <c:pt idx="3">
                  <c:v>68</c:v>
                </c:pt>
                <c:pt idx="4">
                  <c:v>162</c:v>
                </c:pt>
              </c:numCache>
            </c:numRef>
          </c:val>
          <c:extLst>
            <c:ext xmlns:c16="http://schemas.microsoft.com/office/drawing/2014/chart" uri="{C3380CC4-5D6E-409C-BE32-E72D297353CC}">
              <c16:uniqueId val="{00000009-26B9-46A7-B3F6-EAD03E45A41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554531020067024"/>
          <c:y val="0.19479693404241105"/>
          <c:w val="0.19169873868185305"/>
          <c:h val="0.64348997598704416"/>
        </c:manualLayout>
      </c:layout>
      <c:overlay val="0"/>
      <c:txPr>
        <a:bodyPr/>
        <a:lstStyle/>
        <a:p>
          <a:pPr rtl="0">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Veľkosť podnikov  v rámci projektu</a:t>
            </a:r>
          </a:p>
        </c:rich>
      </c:tx>
      <c:layout>
        <c:manualLayout>
          <c:xMode val="edge"/>
          <c:yMode val="edge"/>
          <c:x val="0.25494244389559467"/>
          <c:y val="8.020170192336950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5024673876657427E-2"/>
          <c:y val="0.25944662134064506"/>
          <c:w val="0.65129865467904058"/>
          <c:h val="0.53727685551038973"/>
        </c:manualLayout>
      </c:layout>
      <c:pie3DChart>
        <c:varyColors val="1"/>
        <c:ser>
          <c:idx val="0"/>
          <c:order val="0"/>
          <c:dPt>
            <c:idx val="0"/>
            <c:bubble3D val="0"/>
            <c:explosion val="5"/>
            <c:extLst>
              <c:ext xmlns:c16="http://schemas.microsoft.com/office/drawing/2014/chart" uri="{C3380CC4-5D6E-409C-BE32-E72D297353CC}">
                <c16:uniqueId val="{00000001-E8DA-4388-BEDE-484170EEE26D}"/>
              </c:ext>
            </c:extLst>
          </c:dPt>
          <c:dPt>
            <c:idx val="1"/>
            <c:bubble3D val="0"/>
            <c:explosion val="11"/>
            <c:extLst>
              <c:ext xmlns:c16="http://schemas.microsoft.com/office/drawing/2014/chart" uri="{C3380CC4-5D6E-409C-BE32-E72D297353CC}">
                <c16:uniqueId val="{00000003-E8DA-4388-BEDE-484170EEE26D}"/>
              </c:ext>
            </c:extLst>
          </c:dPt>
          <c:dPt>
            <c:idx val="2"/>
            <c:bubble3D val="0"/>
            <c:explosion val="17"/>
            <c:extLst>
              <c:ext xmlns:c16="http://schemas.microsoft.com/office/drawing/2014/chart" uri="{C3380CC4-5D6E-409C-BE32-E72D297353CC}">
                <c16:uniqueId val="{00000005-E8DA-4388-BEDE-484170EEE26D}"/>
              </c:ext>
            </c:extLst>
          </c:dPt>
          <c:dPt>
            <c:idx val="3"/>
            <c:bubble3D val="0"/>
            <c:explosion val="11"/>
            <c:extLst>
              <c:ext xmlns:c16="http://schemas.microsoft.com/office/drawing/2014/chart" uri="{C3380CC4-5D6E-409C-BE32-E72D297353CC}">
                <c16:uniqueId val="{00000007-E8DA-4388-BEDE-484170EEE26D}"/>
              </c:ext>
            </c:extLst>
          </c:dPt>
          <c:dPt>
            <c:idx val="4"/>
            <c:bubble3D val="0"/>
            <c:explosion val="10"/>
            <c:extLst>
              <c:ext xmlns:c16="http://schemas.microsoft.com/office/drawing/2014/chart" uri="{C3380CC4-5D6E-409C-BE32-E72D297353CC}">
                <c16:uniqueId val="{00000009-E8DA-4388-BEDE-484170EEE26D}"/>
              </c:ext>
            </c:extLst>
          </c:dPt>
          <c:dLbls>
            <c:dLbl>
              <c:idx val="0"/>
              <c:layout>
                <c:manualLayout>
                  <c:x val="-0.10302220361358791"/>
                  <c:y val="5.7009508513601821E-2"/>
                </c:manualLayout>
              </c:layout>
              <c:numFmt formatCode="0.00%" sourceLinked="0"/>
              <c:spPr/>
              <c:txPr>
                <a:bodyPr/>
                <a:lstStyle/>
                <a:p>
                  <a:pPr>
                    <a:defRPr sz="9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DA-4388-BEDE-484170EEE26D}"/>
                </c:ext>
              </c:extLst>
            </c:dLbl>
            <c:dLbl>
              <c:idx val="1"/>
              <c:layout>
                <c:manualLayout>
                  <c:x val="-8.0492975838198186E-2"/>
                  <c:y val="-0.14688201768100287"/>
                </c:manualLayout>
              </c:layout>
              <c:numFmt formatCode="0.00%" sourceLinked="0"/>
              <c:spPr/>
              <c:txPr>
                <a:bodyPr/>
                <a:lstStyle/>
                <a:p>
                  <a:pPr>
                    <a:defRPr sz="900" b="1"/>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DA-4388-BEDE-484170EEE26D}"/>
                </c:ext>
              </c:extLst>
            </c:dLbl>
            <c:dLbl>
              <c:idx val="2"/>
              <c:layout>
                <c:manualLayout>
                  <c:x val="3.3785231123395675E-2"/>
                  <c:y val="-0.17980817017881359"/>
                </c:manualLayout>
              </c:layout>
              <c:numFmt formatCode="0.00%" sourceLinked="0"/>
              <c:spPr/>
              <c:txPr>
                <a:bodyPr/>
                <a:lstStyle/>
                <a:p>
                  <a:pPr>
                    <a:defRPr sz="900" b="1"/>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DA-4388-BEDE-484170EEE26D}"/>
                </c:ext>
              </c:extLst>
            </c:dLbl>
            <c:dLbl>
              <c:idx val="3"/>
              <c:layout>
                <c:manualLayout>
                  <c:x val="0.103613719868104"/>
                  <c:y val="-0.13657411007393941"/>
                </c:manualLayout>
              </c:layout>
              <c:numFmt formatCode="0.00%" sourceLinked="0"/>
              <c:spPr/>
              <c:txPr>
                <a:bodyPr/>
                <a:lstStyle/>
                <a:p>
                  <a:pPr>
                    <a:defRPr sz="9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8DA-4388-BEDE-484170EEE26D}"/>
                </c:ext>
              </c:extLst>
            </c:dLbl>
            <c:dLbl>
              <c:idx val="4"/>
              <c:layout>
                <c:manualLayout>
                  <c:x val="0.10753846219575239"/>
                  <c:y val="4.3928551124250224E-2"/>
                </c:manualLayout>
              </c:layout>
              <c:numFmt formatCode="0.00%" sourceLinked="0"/>
              <c:spPr/>
              <c:txPr>
                <a:bodyPr/>
                <a:lstStyle/>
                <a:p>
                  <a:pPr>
                    <a:defRPr sz="9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8DA-4388-BEDE-484170EEE26D}"/>
                </c:ext>
              </c:extLst>
            </c:dLbl>
            <c:numFmt formatCode="0.00%" sourceLinked="0"/>
            <c:spPr>
              <a:noFill/>
              <a:ln w="25400">
                <a:noFill/>
              </a:ln>
            </c:spPr>
            <c:txPr>
              <a:bodyPr wrap="square" lIns="38100" tIns="19050" rIns="38100" bIns="19050" anchor="ctr">
                <a:spAutoFit/>
              </a:bodyPr>
              <a:lstStyle/>
              <a:p>
                <a:pPr>
                  <a:defRPr sz="900" b="1"/>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mikropodnik </c:v>
                </c:pt>
                <c:pt idx="1">
                  <c:v>malý podnik</c:v>
                </c:pt>
                <c:pt idx="2">
                  <c:v>stredný podnik</c:v>
                </c:pt>
                <c:pt idx="3">
                  <c:v>veľký</c:v>
                </c:pt>
                <c:pt idx="4">
                  <c:v>nezadaná veľkosť podniku </c:v>
                </c:pt>
              </c:strCache>
            </c:strRef>
          </c:cat>
          <c:val>
            <c:numRef>
              <c:f>Hárok1!$B$6:$B$10</c:f>
              <c:numCache>
                <c:formatCode>#,##0</c:formatCode>
                <c:ptCount val="5"/>
                <c:pt idx="0">
                  <c:v>130</c:v>
                </c:pt>
                <c:pt idx="1">
                  <c:v>67</c:v>
                </c:pt>
                <c:pt idx="2">
                  <c:v>81</c:v>
                </c:pt>
                <c:pt idx="3">
                  <c:v>45</c:v>
                </c:pt>
                <c:pt idx="4">
                  <c:v>138</c:v>
                </c:pt>
              </c:numCache>
            </c:numRef>
          </c:val>
          <c:extLst>
            <c:ext xmlns:c16="http://schemas.microsoft.com/office/drawing/2014/chart" uri="{C3380CC4-5D6E-409C-BE32-E72D297353CC}">
              <c16:uniqueId val="{0000000A-E8DA-4388-BEDE-484170EEE26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867568637253674"/>
          <c:y val="0.19072990988942271"/>
          <c:w val="0.23272229194199812"/>
          <c:h val="0.67582897467238989"/>
        </c:manualLayout>
      </c:layout>
      <c:overlay val="0"/>
      <c:txPr>
        <a:bodyPr/>
        <a:lstStyle/>
        <a:p>
          <a:pPr>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sk-SK" sz="1100" b="1" i="0" baseline="0">
                <a:effectLst/>
              </a:rPr>
              <a:t>Štruktúra zaradených UoZ podľa veku</a:t>
            </a:r>
            <a:endParaRPr lang="sk-SK" sz="1100">
              <a:effectLst/>
            </a:endParaRPr>
          </a:p>
        </c:rich>
      </c:tx>
      <c:layout>
        <c:manualLayout>
          <c:xMode val="edge"/>
          <c:yMode val="edge"/>
          <c:x val="0.27759158990645499"/>
          <c:y val="8.0392582506134111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624551953750286"/>
          <c:y val="0.23487392211490726"/>
          <c:w val="0.47956465638914164"/>
          <c:h val="0.61549787205475248"/>
        </c:manualLayout>
      </c:layout>
      <c:pie3DChart>
        <c:varyColors val="1"/>
        <c:ser>
          <c:idx val="0"/>
          <c:order val="0"/>
          <c:explosion val="25"/>
          <c:dPt>
            <c:idx val="0"/>
            <c:bubble3D val="0"/>
            <c:explosion val="14"/>
            <c:extLst>
              <c:ext xmlns:c16="http://schemas.microsoft.com/office/drawing/2014/chart" uri="{C3380CC4-5D6E-409C-BE32-E72D297353CC}">
                <c16:uniqueId val="{00000001-22A2-4E5B-90B8-D32EF3935073}"/>
              </c:ext>
            </c:extLst>
          </c:dPt>
          <c:dPt>
            <c:idx val="1"/>
            <c:bubble3D val="0"/>
            <c:explosion val="7"/>
            <c:extLst>
              <c:ext xmlns:c16="http://schemas.microsoft.com/office/drawing/2014/chart" uri="{C3380CC4-5D6E-409C-BE32-E72D297353CC}">
                <c16:uniqueId val="{00000003-22A2-4E5B-90B8-D32EF3935073}"/>
              </c:ext>
            </c:extLst>
          </c:dPt>
          <c:dPt>
            <c:idx val="2"/>
            <c:bubble3D val="0"/>
            <c:explosion val="12"/>
            <c:extLst>
              <c:ext xmlns:c16="http://schemas.microsoft.com/office/drawing/2014/chart" uri="{C3380CC4-5D6E-409C-BE32-E72D297353CC}">
                <c16:uniqueId val="{00000005-22A2-4E5B-90B8-D32EF3935073}"/>
              </c:ext>
            </c:extLst>
          </c:dPt>
          <c:dPt>
            <c:idx val="3"/>
            <c:bubble3D val="0"/>
            <c:explosion val="16"/>
            <c:extLst>
              <c:ext xmlns:c16="http://schemas.microsoft.com/office/drawing/2014/chart" uri="{C3380CC4-5D6E-409C-BE32-E72D297353CC}">
                <c16:uniqueId val="{00000007-22A2-4E5B-90B8-D32EF3935073}"/>
              </c:ext>
            </c:extLst>
          </c:dPt>
          <c:dLbls>
            <c:dLbl>
              <c:idx val="1"/>
              <c:layout>
                <c:manualLayout>
                  <c:x val="-0.10950877160066895"/>
                  <c:y val="-0.151358050294690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A2-4E5B-90B8-D32EF3935073}"/>
                </c:ext>
              </c:extLst>
            </c:dLbl>
            <c:dLbl>
              <c:idx val="2"/>
              <c:layout>
                <c:manualLayout>
                  <c:x val="0.11449789398008338"/>
                  <c:y val="-4.81987436362298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A2-4E5B-90B8-D32EF3935073}"/>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37</c:v>
                </c:pt>
                <c:pt idx="1">
                  <c:v>70</c:v>
                </c:pt>
                <c:pt idx="2">
                  <c:v>72</c:v>
                </c:pt>
                <c:pt idx="3">
                  <c:v>16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22A2-4E5B-90B8-D32EF3935073}"/>
            </c:ext>
          </c:extLst>
        </c:ser>
        <c:dLbls>
          <c:showLegendKey val="0"/>
          <c:showVal val="1"/>
          <c:showCatName val="0"/>
          <c:showSerName val="0"/>
          <c:showPercent val="0"/>
          <c:showBubbleSize val="0"/>
          <c:showLeaderLines val="1"/>
        </c:dLbls>
      </c:pie3DChart>
    </c:plotArea>
    <c:legend>
      <c:legendPos val="r"/>
      <c:layout>
        <c:manualLayout>
          <c:xMode val="edge"/>
          <c:yMode val="edge"/>
          <c:x val="0.75857703154808453"/>
          <c:y val="0.16299179707799683"/>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znevýhodnenia</a:t>
            </a:r>
            <a:endParaRPr lang="sk-SK" sz="1100">
              <a:effectLst/>
            </a:endParaRPr>
          </a:p>
        </c:rich>
      </c:tx>
      <c:layout>
        <c:manualLayout>
          <c:xMode val="edge"/>
          <c:yMode val="edge"/>
          <c:x val="0.14112456943640195"/>
          <c:y val="8.121975967061625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624551953750286"/>
          <c:y val="0.31281225629543907"/>
          <c:w val="0.41024807456308293"/>
          <c:h val="0.53380311588035623"/>
        </c:manualLayout>
      </c:layout>
      <c:pie3DChart>
        <c:varyColors val="1"/>
        <c:ser>
          <c:idx val="0"/>
          <c:order val="0"/>
          <c:explosion val="25"/>
          <c:dPt>
            <c:idx val="0"/>
            <c:bubble3D val="0"/>
            <c:explosion val="14"/>
            <c:extLst>
              <c:ext xmlns:c16="http://schemas.microsoft.com/office/drawing/2014/chart" uri="{C3380CC4-5D6E-409C-BE32-E72D297353CC}">
                <c16:uniqueId val="{00000001-3BDF-4ED3-A375-2740D82DEFD3}"/>
              </c:ext>
            </c:extLst>
          </c:dPt>
          <c:dPt>
            <c:idx val="1"/>
            <c:bubble3D val="0"/>
            <c:explosion val="7"/>
            <c:extLst>
              <c:ext xmlns:c16="http://schemas.microsoft.com/office/drawing/2014/chart" uri="{C3380CC4-5D6E-409C-BE32-E72D297353CC}">
                <c16:uniqueId val="{00000003-3BDF-4ED3-A375-2740D82DEFD3}"/>
              </c:ext>
            </c:extLst>
          </c:dPt>
          <c:dPt>
            <c:idx val="2"/>
            <c:bubble3D val="0"/>
            <c:explosion val="12"/>
            <c:extLst>
              <c:ext xmlns:c16="http://schemas.microsoft.com/office/drawing/2014/chart" uri="{C3380CC4-5D6E-409C-BE32-E72D297353CC}">
                <c16:uniqueId val="{00000005-3BDF-4ED3-A375-2740D82DEFD3}"/>
              </c:ext>
            </c:extLst>
          </c:dPt>
          <c:dPt>
            <c:idx val="3"/>
            <c:bubble3D val="0"/>
            <c:explosion val="16"/>
            <c:extLst>
              <c:ext xmlns:c16="http://schemas.microsoft.com/office/drawing/2014/chart" uri="{C3380CC4-5D6E-409C-BE32-E72D297353CC}">
                <c16:uniqueId val="{00000007-3BDF-4ED3-A375-2740D82DEFD3}"/>
              </c:ext>
            </c:extLst>
          </c:dPt>
          <c:dLbls>
            <c:dLbl>
              <c:idx val="0"/>
              <c:layout>
                <c:manualLayout>
                  <c:x val="-0.11562616462176496"/>
                  <c:y val="4.94460822728912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DF-4ED3-A375-2740D82DEFD3}"/>
                </c:ext>
              </c:extLst>
            </c:dLbl>
            <c:dLbl>
              <c:idx val="2"/>
              <c:layout>
                <c:manualLayout>
                  <c:x val="-6.828229109723688E-2"/>
                  <c:y val="-0.183779024427058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DF-4ED3-A375-2740D82DEFD3}"/>
                </c:ext>
              </c:extLst>
            </c:dLbl>
            <c:dLbl>
              <c:idx val="3"/>
              <c:layout>
                <c:manualLayout>
                  <c:x val="0.1305722114530983"/>
                  <c:y val="-6.35313157740266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DF-4ED3-A375-2740D82DEFD3}"/>
                </c:ext>
              </c:extLst>
            </c:dLbl>
            <c:dLbl>
              <c:idx val="4"/>
              <c:layout>
                <c:manualLayout>
                  <c:x val="-3.8484347909885031E-2"/>
                  <c:y val="-3.360823972832779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BDF-4ED3-A375-2740D82DEFD3}"/>
                </c:ext>
              </c:extLst>
            </c:dLbl>
            <c:dLbl>
              <c:idx val="5"/>
              <c:layout>
                <c:manualLayout>
                  <c:x val="7.0895307912136454E-2"/>
                  <c:y val="-2.189882015546778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BDF-4ED3-A375-2740D82DEFD3}"/>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Hárok1!$A$1:$A$6</c:f>
              <c:strCache>
                <c:ptCount val="6"/>
                <c:pt idx="0">
                  <c:v>absolventi škôl</c:v>
                </c:pt>
                <c:pt idx="1">
                  <c:v>občan starší ako 50 rokov veku</c:v>
                </c:pt>
                <c:pt idx="2">
                  <c:v>dlhodobo nezamestnaný občan</c:v>
                </c:pt>
                <c:pt idx="3">
                  <c:v>občan - 12 kal.mesiacov nemal pravidelne plat.zam.</c:v>
                </c:pt>
                <c:pt idx="4">
                  <c:v>občan so zdravotným postihnutím</c:v>
                </c:pt>
                <c:pt idx="5">
                  <c:v>ukončil poberanie materského alebo poberanie rodičovského príspevku</c:v>
                </c:pt>
              </c:strCache>
            </c:strRef>
          </c:cat>
          <c:val>
            <c:numRef>
              <c:f>Hárok1!$B$1:$B$6</c:f>
              <c:numCache>
                <c:formatCode>General</c:formatCode>
                <c:ptCount val="6"/>
                <c:pt idx="0">
                  <c:v>59</c:v>
                </c:pt>
                <c:pt idx="1">
                  <c:v>16</c:v>
                </c:pt>
                <c:pt idx="2">
                  <c:v>24</c:v>
                </c:pt>
                <c:pt idx="3">
                  <c:v>101</c:v>
                </c:pt>
                <c:pt idx="4">
                  <c:v>1</c:v>
                </c:pt>
                <c:pt idx="5">
                  <c:v>2</c:v>
                </c:pt>
              </c:numCache>
            </c:numRef>
          </c:val>
          <c:extLst>
            <c:ext xmlns:c16="http://schemas.microsoft.com/office/drawing/2014/chart" uri="{C3380CC4-5D6E-409C-BE32-E72D297353CC}">
              <c16:uniqueId val="{0000000A-3BDF-4ED3-A375-2740D82DEFD3}"/>
            </c:ext>
          </c:extLst>
        </c:ser>
        <c:dLbls>
          <c:showLegendKey val="0"/>
          <c:showVal val="1"/>
          <c:showCatName val="0"/>
          <c:showSerName val="0"/>
          <c:showPercent val="0"/>
          <c:showBubbleSize val="0"/>
          <c:showLeaderLines val="1"/>
        </c:dLbls>
      </c:pie3DChart>
    </c:plotArea>
    <c:legend>
      <c:legendPos val="r"/>
      <c:layout>
        <c:manualLayout>
          <c:xMode val="edge"/>
          <c:yMode val="edge"/>
          <c:x val="0.73057067639100093"/>
          <c:y val="0.14253603682926216"/>
          <c:w val="0.21960803042151952"/>
          <c:h val="0.77865840911910622"/>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5.0146555789699891E-2"/>
          <c:y val="4.3461441714751782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057780590163155"/>
          <c:y val="0.2849052145345336"/>
          <c:w val="0.41674650410927594"/>
          <c:h val="0.53563277968763112"/>
        </c:manualLayout>
      </c:layout>
      <c:pie3DChart>
        <c:varyColors val="1"/>
        <c:ser>
          <c:idx val="0"/>
          <c:order val="0"/>
          <c:explosion val="25"/>
          <c:dPt>
            <c:idx val="0"/>
            <c:bubble3D val="0"/>
            <c:explosion val="14"/>
            <c:extLst>
              <c:ext xmlns:c16="http://schemas.microsoft.com/office/drawing/2014/chart" uri="{C3380CC4-5D6E-409C-BE32-E72D297353CC}">
                <c16:uniqueId val="{00000001-F1B4-47DC-AAFF-F7EC11EBBF12}"/>
              </c:ext>
            </c:extLst>
          </c:dPt>
          <c:dPt>
            <c:idx val="1"/>
            <c:bubble3D val="0"/>
            <c:explosion val="7"/>
            <c:extLst>
              <c:ext xmlns:c16="http://schemas.microsoft.com/office/drawing/2014/chart" uri="{C3380CC4-5D6E-409C-BE32-E72D297353CC}">
                <c16:uniqueId val="{00000003-F1B4-47DC-AAFF-F7EC11EBBF12}"/>
              </c:ext>
            </c:extLst>
          </c:dPt>
          <c:dPt>
            <c:idx val="2"/>
            <c:bubble3D val="0"/>
            <c:explosion val="12"/>
            <c:extLst>
              <c:ext xmlns:c16="http://schemas.microsoft.com/office/drawing/2014/chart" uri="{C3380CC4-5D6E-409C-BE32-E72D297353CC}">
                <c16:uniqueId val="{00000005-F1B4-47DC-AAFF-F7EC11EBBF12}"/>
              </c:ext>
            </c:extLst>
          </c:dPt>
          <c:dPt>
            <c:idx val="3"/>
            <c:bubble3D val="0"/>
            <c:explosion val="16"/>
            <c:extLst>
              <c:ext xmlns:c16="http://schemas.microsoft.com/office/drawing/2014/chart" uri="{C3380CC4-5D6E-409C-BE32-E72D297353CC}">
                <c16:uniqueId val="{00000007-F1B4-47DC-AAFF-F7EC11EBBF12}"/>
              </c:ext>
            </c:extLst>
          </c:dPt>
          <c:dLbls>
            <c:dLbl>
              <c:idx val="0"/>
              <c:layout>
                <c:manualLayout>
                  <c:x val="3.0494179129807411E-2"/>
                  <c:y val="-3.00258532642820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B4-47DC-AAFF-F7EC11EBBF12}"/>
                </c:ext>
              </c:extLst>
            </c:dLbl>
            <c:dLbl>
              <c:idx val="2"/>
              <c:layout>
                <c:manualLayout>
                  <c:x val="-2.7608774073824546E-2"/>
                  <c:y val="-6.7143074948236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B4-47DC-AAFF-F7EC11EBBF12}"/>
                </c:ext>
              </c:extLst>
            </c:dLbl>
            <c:dLbl>
              <c:idx val="3"/>
              <c:layout>
                <c:manualLayout>
                  <c:x val="2.6778305478983607E-5"/>
                  <c:y val="-2.62618015970989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B4-47DC-AAFF-F7EC11EBBF12}"/>
                </c:ext>
              </c:extLst>
            </c:dLbl>
            <c:dLbl>
              <c:idx val="5"/>
              <c:layout>
                <c:manualLayout>
                  <c:x val="0.12549917234568575"/>
                  <c:y val="-0.172294865856700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1B4-47DC-AAFF-F7EC11EBBF12}"/>
                </c:ext>
              </c:extLst>
            </c:dLbl>
            <c:dLbl>
              <c:idx val="6"/>
              <c:layout>
                <c:manualLayout>
                  <c:x val="-4.5268810693583739E-2"/>
                  <c:y val="-5.33590390520360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B4-47DC-AAFF-F7EC11EBBF12}"/>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Hárok1!$A$1:$A$7</c:f>
              <c:strCache>
                <c:ptCount val="7"/>
                <c:pt idx="0">
                  <c:v>Stredné odborné vzdelanie</c:v>
                </c:pt>
                <c:pt idx="1">
                  <c:v>Úpné stredné odborné vzdelanie</c:v>
                </c:pt>
                <c:pt idx="2">
                  <c:v>Úplné stredné všeobecné vzdelanie</c:v>
                </c:pt>
                <c:pt idx="3">
                  <c:v>Vyššie odborné vzdelanie</c:v>
                </c:pt>
                <c:pt idx="4">
                  <c:v>Vysokoškolské vzdelanie prvého stupňa</c:v>
                </c:pt>
                <c:pt idx="5">
                  <c:v>Vysokoškolské vzdelanie druhého stupňa</c:v>
                </c:pt>
                <c:pt idx="6">
                  <c:v>Vysokoškolské vzdelanie tretieho stupňa</c:v>
                </c:pt>
              </c:strCache>
            </c:strRef>
          </c:cat>
          <c:val>
            <c:numRef>
              <c:f>Hárok1!$B$1:$B$7</c:f>
              <c:numCache>
                <c:formatCode>General</c:formatCode>
                <c:ptCount val="7"/>
                <c:pt idx="0">
                  <c:v>7</c:v>
                </c:pt>
                <c:pt idx="1">
                  <c:v>27</c:v>
                </c:pt>
                <c:pt idx="2">
                  <c:v>3</c:v>
                </c:pt>
                <c:pt idx="3">
                  <c:v>2</c:v>
                </c:pt>
                <c:pt idx="4">
                  <c:v>13</c:v>
                </c:pt>
                <c:pt idx="5">
                  <c:v>138</c:v>
                </c:pt>
                <c:pt idx="6">
                  <c:v>5</c:v>
                </c:pt>
              </c:numCache>
            </c:numRef>
          </c:val>
          <c:extLst>
            <c:ext xmlns:c16="http://schemas.microsoft.com/office/drawing/2014/chart" uri="{C3380CC4-5D6E-409C-BE32-E72D297353CC}">
              <c16:uniqueId val="{0000000A-F1B4-47DC-AAFF-F7EC11EBBF12}"/>
            </c:ext>
          </c:extLst>
        </c:ser>
        <c:dLbls>
          <c:showLegendKey val="0"/>
          <c:showVal val="1"/>
          <c:showCatName val="0"/>
          <c:showSerName val="0"/>
          <c:showPercent val="0"/>
          <c:showBubbleSize val="0"/>
          <c:showLeaderLines val="1"/>
        </c:dLbls>
      </c:pie3DChart>
    </c:plotArea>
    <c:legend>
      <c:legendPos val="r"/>
      <c:layout>
        <c:manualLayout>
          <c:xMode val="edge"/>
          <c:yMode val="edge"/>
          <c:x val="0.72190610366274344"/>
          <c:y val="0.1076716390606063"/>
          <c:w val="0.24126946224216284"/>
          <c:h val="0.8152178884222240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357466499401753"/>
          <c:y val="0.28295064608329418"/>
          <c:w val="0.44274022229404797"/>
          <c:h val="0.57485927883888122"/>
        </c:manualLayout>
      </c:layout>
      <c:pie3DChart>
        <c:varyColors val="1"/>
        <c:ser>
          <c:idx val="0"/>
          <c:order val="0"/>
          <c:explosion val="25"/>
          <c:dPt>
            <c:idx val="0"/>
            <c:bubble3D val="0"/>
            <c:explosion val="14"/>
            <c:extLst>
              <c:ext xmlns:c16="http://schemas.microsoft.com/office/drawing/2014/chart" uri="{C3380CC4-5D6E-409C-BE32-E72D297353CC}">
                <c16:uniqueId val="{00000001-0240-4622-94B6-5780B60A7FCC}"/>
              </c:ext>
            </c:extLst>
          </c:dPt>
          <c:dPt>
            <c:idx val="1"/>
            <c:bubble3D val="0"/>
            <c:explosion val="7"/>
            <c:extLst>
              <c:ext xmlns:c16="http://schemas.microsoft.com/office/drawing/2014/chart" uri="{C3380CC4-5D6E-409C-BE32-E72D297353CC}">
                <c16:uniqueId val="{00000003-0240-4622-94B6-5780B60A7FCC}"/>
              </c:ext>
            </c:extLst>
          </c:dPt>
          <c:dPt>
            <c:idx val="2"/>
            <c:bubble3D val="0"/>
            <c:explosion val="12"/>
            <c:extLst>
              <c:ext xmlns:c16="http://schemas.microsoft.com/office/drawing/2014/chart" uri="{C3380CC4-5D6E-409C-BE32-E72D297353CC}">
                <c16:uniqueId val="{00000005-0240-4622-94B6-5780B60A7FCC}"/>
              </c:ext>
            </c:extLst>
          </c:dPt>
          <c:dPt>
            <c:idx val="3"/>
            <c:bubble3D val="0"/>
            <c:explosion val="16"/>
            <c:extLst>
              <c:ext xmlns:c16="http://schemas.microsoft.com/office/drawing/2014/chart" uri="{C3380CC4-5D6E-409C-BE32-E72D297353CC}">
                <c16:uniqueId val="{00000007-0240-4622-94B6-5780B60A7FCC}"/>
              </c:ext>
            </c:extLst>
          </c:dPt>
          <c:dLbls>
            <c:dLbl>
              <c:idx val="0"/>
              <c:layout>
                <c:manualLayout>
                  <c:x val="7.8890423003417212E-2"/>
                  <c:y val="-3.23467592334578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40-4622-94B6-5780B60A7FCC}"/>
                </c:ext>
              </c:extLst>
            </c:dLbl>
            <c:dLbl>
              <c:idx val="1"/>
              <c:layout>
                <c:manualLayout>
                  <c:x val="-0.14412544527460983"/>
                  <c:y val="-0.140197720450689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40-4622-94B6-5780B60A7FCC}"/>
                </c:ext>
              </c:extLst>
            </c:dLbl>
            <c:dLbl>
              <c:idx val="2"/>
              <c:layout>
                <c:manualLayout>
                  <c:x val="0.11042349804833911"/>
                  <c:y val="1.06059946926523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40-4622-94B6-5780B60A7FCC}"/>
                </c:ext>
              </c:extLst>
            </c:dLbl>
            <c:dLbl>
              <c:idx val="3"/>
              <c:layout>
                <c:manualLayout>
                  <c:x val="-3.0614425660780271E-2"/>
                  <c:y val="-4.24687308424161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40-4622-94B6-5780B60A7FCC}"/>
                </c:ext>
              </c:extLst>
            </c:dLbl>
            <c:dLbl>
              <c:idx val="4"/>
              <c:layout>
                <c:manualLayout>
                  <c:x val="3.4097140435155909E-2"/>
                  <c:y val="-3.78553856197702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240-4622-94B6-5780B60A7FCC}"/>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5</c:v>
                </c:pt>
                <c:pt idx="1">
                  <c:v>122</c:v>
                </c:pt>
                <c:pt idx="2">
                  <c:v>44</c:v>
                </c:pt>
                <c:pt idx="3">
                  <c:v>15</c:v>
                </c:pt>
                <c:pt idx="4">
                  <c:v>9</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9-0240-4622-94B6-5780B60A7FCC}"/>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sk-SK" sz="1200" b="1" i="0" baseline="0">
                <a:effectLst/>
              </a:rPr>
              <a:t>Štruktúra </a:t>
            </a:r>
            <a:r>
              <a:rPr lang="sk-SK" sz="1200" b="1" i="0" u="none" strike="noStrike" baseline="0">
                <a:effectLst/>
              </a:rPr>
              <a:t>osôb so ZP, ktorým bola poskytovaná pracovná asistencia </a:t>
            </a:r>
            <a:endParaRPr lang="sk-SK" sz="1200">
              <a:effectLst/>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2706709124849017E-2"/>
          <c:y val="0.34492825493587498"/>
          <c:w val="0.8923904688701001"/>
          <c:h val="0.49773254149682905"/>
        </c:manualLayout>
      </c:layout>
      <c:pie3DChart>
        <c:varyColors val="1"/>
        <c:ser>
          <c:idx val="0"/>
          <c:order val="0"/>
          <c:explosion val="20"/>
          <c:dPt>
            <c:idx val="3"/>
            <c:bubble3D val="0"/>
            <c:explosion val="14"/>
            <c:extLst>
              <c:ext xmlns:c16="http://schemas.microsoft.com/office/drawing/2014/chart" uri="{C3380CC4-5D6E-409C-BE32-E72D297353CC}">
                <c16:uniqueId val="{00000001-9D60-4E7E-8608-4D1C44C19158}"/>
              </c:ext>
            </c:extLst>
          </c:dPt>
          <c:dLbls>
            <c:dLbl>
              <c:idx val="0"/>
              <c:layout>
                <c:manualLayout>
                  <c:x val="-2.5358554318641206E-2"/>
                  <c:y val="6.95005832604257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D60-4E7E-8608-4D1C44C19158}"/>
                </c:ext>
              </c:extLst>
            </c:dLbl>
            <c:dLbl>
              <c:idx val="1"/>
              <c:layout>
                <c:manualLayout>
                  <c:x val="-3.7054401437847516E-2"/>
                  <c:y val="3.89458199494016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60-4E7E-8608-4D1C44C19158}"/>
                </c:ext>
              </c:extLst>
            </c:dLbl>
            <c:dLbl>
              <c:idx val="2"/>
              <c:layout>
                <c:manualLayout>
                  <c:x val="-0.11806333357722708"/>
                  <c:y val="-0.1402935700275733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D60-4E7E-8608-4D1C44C19158}"/>
                </c:ext>
              </c:extLst>
            </c:dLbl>
            <c:dLbl>
              <c:idx val="3"/>
              <c:layout>
                <c:manualLayout>
                  <c:x val="8.350525149873507E-2"/>
                  <c:y val="4.16947360746573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60-4E7E-8608-4D1C44C19158}"/>
                </c:ext>
              </c:extLst>
            </c:dLbl>
            <c:spPr>
              <a:noFill/>
              <a:ln>
                <a:noFill/>
              </a:ln>
              <a:effectLst/>
            </c:spPr>
            <c:txPr>
              <a:bodyPr wrap="square" lIns="38100" tIns="19050" rIns="38100" bIns="19050" anchor="ctr">
                <a:spAutoFit/>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Hárok2!$A$38:$A$41</c:f>
              <c:strCache>
                <c:ptCount val="4"/>
                <c:pt idx="0">
                  <c:v>do 24 r. </c:v>
                </c:pt>
                <c:pt idx="1">
                  <c:v>25 - 29 r. </c:v>
                </c:pt>
                <c:pt idx="2">
                  <c:v>30 - 49 r.</c:v>
                </c:pt>
                <c:pt idx="3">
                  <c:v>50 a viac r. </c:v>
                </c:pt>
              </c:strCache>
            </c:strRef>
          </c:cat>
          <c:val>
            <c:numRef>
              <c:f>Hárok2!$B$38:$B$41</c:f>
              <c:numCache>
                <c:formatCode>General</c:formatCode>
                <c:ptCount val="4"/>
                <c:pt idx="0">
                  <c:v>107</c:v>
                </c:pt>
                <c:pt idx="1">
                  <c:v>141</c:v>
                </c:pt>
                <c:pt idx="2">
                  <c:v>994</c:v>
                </c:pt>
                <c:pt idx="3">
                  <c:v>686</c:v>
                </c:pt>
              </c:numCache>
            </c:numRef>
          </c:val>
          <c:extLst>
            <c:ext xmlns:c16="http://schemas.microsoft.com/office/drawing/2014/chart" uri="{C3380CC4-5D6E-409C-BE32-E72D297353CC}">
              <c16:uniqueId val="{00000005-9D60-4E7E-8608-4D1C44C19158}"/>
            </c:ext>
          </c:extLst>
        </c:ser>
        <c:dLbls>
          <c:showLegendKey val="0"/>
          <c:showVal val="0"/>
          <c:showCatName val="0"/>
          <c:showSerName val="0"/>
          <c:showPercent val="1"/>
          <c:showBubbleSize val="0"/>
          <c:showLeaderLines val="1"/>
        </c:dLbls>
      </c:pie3DChart>
      <c:spPr>
        <a:noFill/>
        <a:ln w="25400">
          <a:noFill/>
        </a:ln>
      </c:spPr>
    </c:plotArea>
    <c:legend>
      <c:legendPos val="t"/>
      <c:layout>
        <c:manualLayout>
          <c:xMode val="edge"/>
          <c:yMode val="edge"/>
          <c:x val="0.24025824358162126"/>
          <c:y val="0.16595105195362816"/>
          <c:w val="0.51948351283675742"/>
          <c:h val="7.7642393240990856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P</a:t>
            </a:r>
            <a:r>
              <a:rPr lang="sk-SK" sz="1200"/>
              <a:t>odporení</a:t>
            </a:r>
            <a:r>
              <a:rPr lang="sk-SK" sz="1200" baseline="0"/>
              <a:t> zamestnávatelia a SZČO so ZP podľa vekovej štruktúry </a:t>
            </a:r>
            <a:endParaRPr lang="en-US" sz="1200"/>
          </a:p>
        </c:rich>
      </c:tx>
      <c:layout>
        <c:manualLayout>
          <c:xMode val="edge"/>
          <c:yMode val="edge"/>
          <c:x val="0.13274258884578871"/>
          <c:y val="6.635731854272933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018212229477159"/>
          <c:y val="0.26844555321673902"/>
          <c:w val="0.41226662758487298"/>
          <c:h val="0.478087002993758"/>
        </c:manualLayout>
      </c:layout>
      <c:pie3DChart>
        <c:varyColors val="1"/>
        <c:ser>
          <c:idx val="0"/>
          <c:order val="0"/>
          <c:tx>
            <c:strRef>
              <c:f>Hárok1!$B$1</c:f>
              <c:strCache>
                <c:ptCount val="1"/>
                <c:pt idx="0">
                  <c:v>Predaj</c:v>
                </c:pt>
              </c:strCache>
            </c:strRef>
          </c:tx>
          <c:explosion val="1"/>
          <c:dPt>
            <c:idx val="0"/>
            <c:bubble3D val="0"/>
            <c:extLst>
              <c:ext xmlns:c16="http://schemas.microsoft.com/office/drawing/2014/chart" uri="{C3380CC4-5D6E-409C-BE32-E72D297353CC}">
                <c16:uniqueId val="{00000000-0F0D-4901-B6EC-2B8EB008CA53}"/>
              </c:ext>
            </c:extLst>
          </c:dPt>
          <c:dPt>
            <c:idx val="1"/>
            <c:bubble3D val="0"/>
            <c:extLst>
              <c:ext xmlns:c16="http://schemas.microsoft.com/office/drawing/2014/chart" uri="{C3380CC4-5D6E-409C-BE32-E72D297353CC}">
                <c16:uniqueId val="{00000001-0F0D-4901-B6EC-2B8EB008CA53}"/>
              </c:ext>
            </c:extLst>
          </c:dPt>
          <c:dPt>
            <c:idx val="2"/>
            <c:bubble3D val="0"/>
            <c:explosion val="4"/>
            <c:extLst>
              <c:ext xmlns:c16="http://schemas.microsoft.com/office/drawing/2014/chart" uri="{C3380CC4-5D6E-409C-BE32-E72D297353CC}">
                <c16:uniqueId val="{00000003-0F0D-4901-B6EC-2B8EB008CA53}"/>
              </c:ext>
            </c:extLst>
          </c:dPt>
          <c:dPt>
            <c:idx val="3"/>
            <c:bubble3D val="0"/>
            <c:explosion val="3"/>
            <c:extLst>
              <c:ext xmlns:c16="http://schemas.microsoft.com/office/drawing/2014/chart" uri="{C3380CC4-5D6E-409C-BE32-E72D297353CC}">
                <c16:uniqueId val="{00000005-0F0D-4901-B6EC-2B8EB008CA53}"/>
              </c:ext>
            </c:extLst>
          </c:dPt>
          <c:dPt>
            <c:idx val="4"/>
            <c:bubble3D val="0"/>
            <c:extLst>
              <c:ext xmlns:c16="http://schemas.microsoft.com/office/drawing/2014/chart" uri="{C3380CC4-5D6E-409C-BE32-E72D297353CC}">
                <c16:uniqueId val="{00000006-0F0D-4901-B6EC-2B8EB008CA53}"/>
              </c:ext>
            </c:extLst>
          </c:dPt>
          <c:dLbls>
            <c:dLbl>
              <c:idx val="0"/>
              <c:layout>
                <c:manualLayout>
                  <c:x val="-9.1458445576861877E-2"/>
                  <c:y val="3.5505353397843943E-3"/>
                </c:manualLayout>
              </c:layout>
              <c:tx>
                <c:rich>
                  <a:bodyPr/>
                  <a:lstStyle/>
                  <a:p>
                    <a:r>
                      <a:rPr lang="en-US"/>
                      <a:t>0,99%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0D-4901-B6EC-2B8EB008CA53}"/>
                </c:ext>
              </c:extLst>
            </c:dLbl>
            <c:dLbl>
              <c:idx val="1"/>
              <c:layout>
                <c:manualLayout>
                  <c:x val="4.7469887952595408E-2"/>
                  <c:y val="-2.9738869247313273E-3"/>
                </c:manualLayout>
              </c:layout>
              <c:tx>
                <c:rich>
                  <a:bodyPr/>
                  <a:lstStyle/>
                  <a:p>
                    <a:r>
                      <a:rPr lang="en-US"/>
                      <a:t>2,71 %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0D-4901-B6EC-2B8EB008CA53}"/>
                </c:ext>
              </c:extLst>
            </c:dLbl>
            <c:dLbl>
              <c:idx val="2"/>
              <c:layout>
                <c:manualLayout>
                  <c:x val="-0.1556380825531137"/>
                  <c:y val="3.3204518377182371E-2"/>
                </c:manualLayout>
              </c:layout>
              <c:tx>
                <c:rich>
                  <a:bodyPr/>
                  <a:lstStyle/>
                  <a:p>
                    <a:r>
                      <a:rPr lang="en-US"/>
                      <a:t>38,93 %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0D-4901-B6EC-2B8EB008CA53}"/>
                </c:ext>
              </c:extLst>
            </c:dLbl>
            <c:dLbl>
              <c:idx val="3"/>
              <c:layout>
                <c:manualLayout>
                  <c:x val="0.16428060920245666"/>
                  <c:y val="-7.3782841991167566E-2"/>
                </c:manualLayout>
              </c:layout>
              <c:tx>
                <c:rich>
                  <a:bodyPr/>
                  <a:lstStyle/>
                  <a:p>
                    <a:r>
                      <a:rPr lang="en-US"/>
                      <a:t>57,37 %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0D-4901-B6EC-2B8EB008CA53}"/>
                </c:ext>
              </c:extLst>
            </c:dLbl>
            <c:dLbl>
              <c:idx val="4"/>
              <c:layout>
                <c:manualLayout>
                  <c:x val="0.11850027526825126"/>
                  <c:y val="7.6623404204484852E-2"/>
                </c:manualLayout>
              </c:layout>
              <c:tx>
                <c:rich>
                  <a:bodyPr/>
                  <a:lstStyle/>
                  <a:p>
                    <a:r>
                      <a:rPr lang="en-US"/>
                      <a:t>25,35</a:t>
                    </a:r>
                    <a:r>
                      <a:rPr lang="sk-SK"/>
                      <a:t> </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0D-4901-B6EC-2B8EB008CA53}"/>
                </c:ext>
              </c:extLst>
            </c:dLbl>
            <c:spPr>
              <a:noFill/>
              <a:ln>
                <a:noFill/>
              </a:ln>
              <a:effectLst/>
            </c:spPr>
            <c:txPr>
              <a:bodyPr wrap="square" lIns="38100" tIns="19050" rIns="38100" bIns="19050" anchor="ctr">
                <a:spAutoFit/>
              </a:bodyPr>
              <a:lstStyle/>
              <a:p>
                <a:pPr>
                  <a:defRPr sz="1000"/>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Hárok1!$A$2:$A$5</c:f>
              <c:strCache>
                <c:ptCount val="4"/>
                <c:pt idx="0">
                  <c:v>vek do 24 rokov</c:v>
                </c:pt>
                <c:pt idx="1">
                  <c:v>vek od 25 do 29 rokov </c:v>
                </c:pt>
                <c:pt idx="2">
                  <c:v>vek od 30 do 49 rokov </c:v>
                </c:pt>
                <c:pt idx="3">
                  <c:v>vek nad 50 rokov</c:v>
                </c:pt>
              </c:strCache>
            </c:strRef>
          </c:cat>
          <c:val>
            <c:numRef>
              <c:f>Hárok1!$B$2:$B$5</c:f>
              <c:numCache>
                <c:formatCode>0.00%</c:formatCode>
                <c:ptCount val="4"/>
                <c:pt idx="0">
                  <c:v>9.9000000000000008E-3</c:v>
                </c:pt>
                <c:pt idx="1">
                  <c:v>2.7099999999999999E-2</c:v>
                </c:pt>
                <c:pt idx="2">
                  <c:v>0.38929999999999998</c:v>
                </c:pt>
                <c:pt idx="3">
                  <c:v>0.57369999999999999</c:v>
                </c:pt>
              </c:numCache>
            </c:numRef>
          </c:val>
          <c:extLst>
            <c:ext xmlns:c16="http://schemas.microsoft.com/office/drawing/2014/chart" uri="{C3380CC4-5D6E-409C-BE32-E72D297353CC}">
              <c16:uniqueId val="{00000007-0F0D-4901-B6EC-2B8EB008CA53}"/>
            </c:ext>
          </c:extLst>
        </c:ser>
        <c:dLbls>
          <c:showLegendKey val="0"/>
          <c:showVal val="0"/>
          <c:showCatName val="0"/>
          <c:showSerName val="0"/>
          <c:showPercent val="0"/>
          <c:showBubbleSize val="0"/>
          <c:showLeaderLines val="1"/>
        </c:dLbls>
      </c:pie3DChart>
    </c:plotArea>
    <c:legend>
      <c:legendPos val="r"/>
      <c:layout>
        <c:manualLayout>
          <c:xMode val="edge"/>
          <c:yMode val="edge"/>
          <c:x val="0.7072166879303754"/>
          <c:y val="0.20654597133887947"/>
          <c:w val="0.25419138831177501"/>
          <c:h val="0.63596320084562818"/>
        </c:manualLayout>
      </c:layout>
      <c:overlay val="0"/>
      <c:txPr>
        <a:bodyPr/>
        <a:lstStyle/>
        <a:p>
          <a:pPr>
            <a:defRPr sz="1000"/>
          </a:pPr>
          <a:endParaRPr lang="sk-SK"/>
        </a:p>
      </c:txPr>
    </c:legend>
    <c:plotVisOnly val="1"/>
    <c:dispBlanksAs val="zero"/>
    <c:showDLblsOverMax val="0"/>
  </c:chart>
  <c:spPr>
    <a:gradFill flip="none" rotWithShape="1">
      <a:gsLst>
        <a:gs pos="0">
          <a:srgbClr val="5E9EFF"/>
        </a:gs>
        <a:gs pos="39999">
          <a:srgbClr val="85C2FF"/>
        </a:gs>
        <a:gs pos="70000">
          <a:srgbClr val="C4D6EB"/>
        </a:gs>
        <a:gs pos="100000">
          <a:srgbClr val="FFEBFA"/>
        </a:gs>
      </a:gsLst>
      <a:lin ang="2700000" scaled="0"/>
      <a:tileRect/>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rgbClr val="002060"/>
                </a:solidFill>
                <a:latin typeface="+mn-lt"/>
                <a:ea typeface="+mn-ea"/>
                <a:cs typeface="+mn-cs"/>
              </a:defRPr>
            </a:pPr>
            <a:r>
              <a:rPr lang="sk-SK" sz="1200" b="1" i="0" baseline="0">
                <a:solidFill>
                  <a:srgbClr val="002060"/>
                </a:solidFill>
                <a:effectLst/>
              </a:rPr>
              <a:t>Štruktúra </a:t>
            </a:r>
            <a:r>
              <a:rPr lang="sk-SK" sz="1200" b="1" i="0" u="none" strike="noStrike" baseline="0">
                <a:solidFill>
                  <a:srgbClr val="002060"/>
                </a:solidFill>
              </a:rPr>
              <a:t>znevýhodnených</a:t>
            </a:r>
            <a:r>
              <a:rPr lang="sk-SK" sz="1200" b="1" i="0" baseline="0">
                <a:solidFill>
                  <a:srgbClr val="002060"/>
                </a:solidFill>
                <a:effectLst/>
              </a:rPr>
              <a:t> UoZ, ktorým boli v roku 2024 poskytnuté OPS v rámci akcie č. 1 – Individualizované poradenstvo pre ZUoZ</a:t>
            </a:r>
            <a:endParaRPr lang="sk-SK" sz="1200">
              <a:solidFill>
                <a:srgbClr val="002060"/>
              </a:solidFill>
              <a:effectLst/>
            </a:endParaRPr>
          </a:p>
        </c:rich>
      </c:tx>
      <c:layout>
        <c:manualLayout>
          <c:xMode val="edge"/>
          <c:yMode val="edge"/>
          <c:x val="0.11828521434820648"/>
          <c:y val="2.1640337589266392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sk-SK"/>
        </a:p>
      </c:txPr>
    </c:title>
    <c:autoTitleDeleted val="0"/>
    <c:plotArea>
      <c:layout>
        <c:manualLayout>
          <c:layoutTarget val="inner"/>
          <c:xMode val="edge"/>
          <c:yMode val="edge"/>
          <c:x val="0.47593643036467409"/>
          <c:y val="0.20338056609362343"/>
          <c:w val="0.47388370332325952"/>
          <c:h val="0.6891440378918553"/>
        </c:manualLayout>
      </c:layout>
      <c:barChart>
        <c:barDir val="bar"/>
        <c:grouping val="clustered"/>
        <c:varyColors val="0"/>
        <c:ser>
          <c:idx val="0"/>
          <c:order val="0"/>
          <c:spPr>
            <a:solidFill>
              <a:schemeClr val="tx2">
                <a:lumMod val="60000"/>
                <a:lumOff val="40000"/>
              </a:schemeClr>
            </a:solidFill>
            <a:ln>
              <a:noFill/>
            </a:ln>
            <a:effectLst>
              <a:outerShdw blurRad="39000" dist="25400" dir="5400000">
                <a:srgbClr val="000000">
                  <a:alpha val="35000"/>
                </a:srgbClr>
              </a:outerShdw>
            </a:effectLst>
          </c:spPr>
          <c:invertIfNegative val="0"/>
          <c:dLbls>
            <c:dLbl>
              <c:idx val="2"/>
              <c:layout>
                <c:manualLayout>
                  <c:x val="8.453665078698954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CC-4235-A751-B8B533AA1EB3}"/>
                </c:ext>
              </c:extLst>
            </c:dLbl>
            <c:dLbl>
              <c:idx val="3"/>
              <c:layout>
                <c:manualLayout>
                  <c:x val="2.14869301211956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CC-4235-A751-B8B533AA1EB3}"/>
                </c:ext>
              </c:extLst>
            </c:dLbl>
            <c:dLbl>
              <c:idx val="4"/>
              <c:layout>
                <c:manualLayout>
                  <c:x val="-9.7526994078718217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CC-4235-A751-B8B533AA1EB3}"/>
                </c:ext>
              </c:extLst>
            </c:dLbl>
            <c:dLbl>
              <c:idx val="5"/>
              <c:layout>
                <c:manualLayout>
                  <c:x val="7.6628352490421458E-4"/>
                  <c:y val="3.3840947546531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CC-4235-A751-B8B533AA1EB3}"/>
                </c:ext>
              </c:extLst>
            </c:dLbl>
            <c:dLbl>
              <c:idx val="6"/>
              <c:layout>
                <c:manualLayout>
                  <c:x val="2.5078369905956114E-3"/>
                  <c:y val="-6.20410204654781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CC-4235-A751-B8B533AA1EB3}"/>
                </c:ext>
              </c:extLst>
            </c:dLbl>
            <c:dLbl>
              <c:idx val="7"/>
              <c:layout>
                <c:manualLayout>
                  <c:x val="1.53256704980842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CC-4235-A751-B8B533AA1EB3}"/>
                </c:ext>
              </c:extLst>
            </c:dLbl>
            <c:dLbl>
              <c:idx val="8"/>
              <c:layout>
                <c:manualLayout>
                  <c:x val="5.3639846743295016E-3"/>
                  <c:y val="-6.20410204654781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CC-4235-A751-B8B533AA1EB3}"/>
                </c:ext>
              </c:extLst>
            </c:dLbl>
            <c:dLbl>
              <c:idx val="9"/>
              <c:layout>
                <c:manualLayout>
                  <c:x val="7.1055381400208983E-3"/>
                  <c:y val="3.3840947546530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CC-4235-A751-B8B533AA1E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'NP_PkZ_401DWW400001, 401DWW40'!$BQ$67:$BQ$74</c:f>
              <c:strCache>
                <c:ptCount val="8"/>
                <c:pt idx="0">
                  <c:v>Absolventi školy</c:v>
                </c:pt>
                <c:pt idx="1">
                  <c:v>Občania, ktorí žijú v domácnosti s osobami odkázanými na starostlivosť</c:v>
                </c:pt>
                <c:pt idx="2">
                  <c:v>Občania so zdravotným postihnutím</c:v>
                </c:pt>
                <c:pt idx="3">
                  <c:v>Občan, ktorý ukončil poberanie materského alebo poberanie rodičovského príspevku </c:v>
                </c:pt>
                <c:pt idx="4">
                  <c:v>Občania s nižším vzdelaním ako stredné odborné</c:v>
                </c:pt>
                <c:pt idx="5">
                  <c:v>Občania starší ako 50 rokov veku</c:v>
                </c:pt>
                <c:pt idx="6">
                  <c:v>Občania, ktorí nemali pravidelne platené zamestnanie</c:v>
                </c:pt>
                <c:pt idx="7">
                  <c:v>Dlhodobo nezamestnaní občania</c:v>
                </c:pt>
              </c:strCache>
            </c:strRef>
          </c:cat>
          <c:val>
            <c:numRef>
              <c:f>'NP_PkZ_401DWW400001, 401DWW40'!$BR$67:$BR$74</c:f>
              <c:numCache>
                <c:formatCode>0.00%</c:formatCode>
                <c:ptCount val="8"/>
                <c:pt idx="0">
                  <c:v>4.5019696117051212E-3</c:v>
                </c:pt>
                <c:pt idx="1">
                  <c:v>1.1442506096417183E-2</c:v>
                </c:pt>
                <c:pt idx="2">
                  <c:v>3.9017069968111051E-2</c:v>
                </c:pt>
                <c:pt idx="3">
                  <c:v>4.351903957981617E-2</c:v>
                </c:pt>
                <c:pt idx="4">
                  <c:v>0.33014443819170886</c:v>
                </c:pt>
                <c:pt idx="5">
                  <c:v>0.37966610392046518</c:v>
                </c:pt>
                <c:pt idx="6">
                  <c:v>0.63834177452635532</c:v>
                </c:pt>
                <c:pt idx="7">
                  <c:v>0.79178390545863819</c:v>
                </c:pt>
              </c:numCache>
            </c:numRef>
          </c:val>
          <c:extLst>
            <c:ext xmlns:c16="http://schemas.microsoft.com/office/drawing/2014/chart" uri="{C3380CC4-5D6E-409C-BE32-E72D297353CC}">
              <c16:uniqueId val="{00000008-D8CC-4235-A751-B8B533AA1EB3}"/>
            </c:ext>
          </c:extLst>
        </c:ser>
        <c:dLbls>
          <c:dLblPos val="inEnd"/>
          <c:showLegendKey val="0"/>
          <c:showVal val="1"/>
          <c:showCatName val="0"/>
          <c:showSerName val="0"/>
          <c:showPercent val="0"/>
          <c:showBubbleSize val="0"/>
        </c:dLbls>
        <c:gapWidth val="9"/>
        <c:overlap val="45"/>
        <c:axId val="593567528"/>
        <c:axId val="452558968"/>
      </c:barChart>
      <c:catAx>
        <c:axId val="5935675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k-SK"/>
          </a:p>
        </c:txPr>
        <c:crossAx val="452558968"/>
        <c:crossesAt val="0"/>
        <c:auto val="1"/>
        <c:lblAlgn val="ctr"/>
        <c:lblOffset val="100"/>
        <c:noMultiLvlLbl val="0"/>
      </c:catAx>
      <c:valAx>
        <c:axId val="452558968"/>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k-SK"/>
          </a:p>
        </c:txPr>
        <c:crossAx val="593567528"/>
        <c:crosses val="autoZero"/>
        <c:crossBetween val="between"/>
      </c:valAx>
      <c:spPr>
        <a:noFill/>
        <a:ln>
          <a:noFill/>
        </a:ln>
        <a:effectLst/>
      </c:spPr>
    </c:plotArea>
    <c:plotVisOnly val="1"/>
    <c:dispBlanksAs val="gap"/>
    <c:showDLblsOverMax val="0"/>
  </c:chart>
  <c:spPr>
    <a:gradFill flip="none" rotWithShape="1">
      <a:gsLst>
        <a:gs pos="0">
          <a:schemeClr val="tx2">
            <a:lumMod val="40000"/>
            <a:lumOff val="60000"/>
            <a:alpha val="9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ln w="9525" cap="flat" cmpd="sng" algn="ctr">
      <a:solidFill>
        <a:schemeClr val="tx2">
          <a:lumMod val="15000"/>
          <a:lumOff val="85000"/>
        </a:schemeClr>
      </a:solidFill>
      <a:round/>
    </a:ln>
    <a:effectLst/>
  </c:spPr>
  <c:txPr>
    <a:bodyPr/>
    <a:lstStyle/>
    <a:p>
      <a:pPr>
        <a:defRPr/>
      </a:pPr>
      <a:endParaRPr lang="sk-S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002060"/>
                </a:solidFill>
                <a:latin typeface="+mn-lt"/>
                <a:ea typeface="+mn-ea"/>
                <a:cs typeface="+mn-cs"/>
              </a:defRPr>
            </a:pPr>
            <a:r>
              <a:rPr lang="sk-SK" sz="1200">
                <a:solidFill>
                  <a:srgbClr val="002060"/>
                </a:solidFill>
              </a:rPr>
              <a:t>Štruktúra </a:t>
            </a:r>
            <a:r>
              <a:rPr lang="sk-SK" sz="1200" b="1" i="0" u="none" strike="noStrike" baseline="0">
                <a:solidFill>
                  <a:srgbClr val="002060"/>
                </a:solidFill>
                <a:effectLst/>
              </a:rPr>
              <a:t>znevýhodnených </a:t>
            </a:r>
            <a:r>
              <a:rPr lang="sk-SK" sz="1200">
                <a:solidFill>
                  <a:srgbClr val="002060"/>
                </a:solidFill>
              </a:rPr>
              <a:t>UoZ, ktorým boli v roku 2024 poskytnuté OPS v rámci akcie č. 2 </a:t>
            </a:r>
            <a:r>
              <a:rPr lang="sk-SK" sz="1200">
                <a:solidFill>
                  <a:srgbClr val="002060"/>
                </a:solidFill>
                <a:effectLst/>
              </a:rPr>
              <a:t>–</a:t>
            </a:r>
            <a:r>
              <a:rPr lang="sk-SK" sz="1200" baseline="0">
                <a:solidFill>
                  <a:srgbClr val="002060"/>
                </a:solidFill>
                <a:effectLst/>
              </a:rPr>
              <a:t> </a:t>
            </a:r>
            <a:r>
              <a:rPr lang="sk-SK" sz="1200" baseline="0">
                <a:solidFill>
                  <a:srgbClr val="002060"/>
                </a:solidFill>
              </a:rPr>
              <a:t>Profesijné poradenstvo pre UoZ</a:t>
            </a:r>
            <a:endParaRPr lang="sk-SK" sz="1200">
              <a:solidFill>
                <a:srgbClr val="002060"/>
              </a:solidFill>
            </a:endParaRPr>
          </a:p>
        </c:rich>
      </c:tx>
      <c:layout>
        <c:manualLayout>
          <c:xMode val="edge"/>
          <c:yMode val="edge"/>
          <c:x val="0.15679229948731599"/>
          <c:y val="2.79776267104825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002060"/>
              </a:solidFill>
              <a:latin typeface="+mn-lt"/>
              <a:ea typeface="+mn-ea"/>
              <a:cs typeface="+mn-cs"/>
            </a:defRPr>
          </a:pPr>
          <a:endParaRPr lang="sk-SK"/>
        </a:p>
      </c:txPr>
    </c:title>
    <c:autoTitleDeleted val="0"/>
    <c:plotArea>
      <c:layout>
        <c:manualLayout>
          <c:layoutTarget val="inner"/>
          <c:xMode val="edge"/>
          <c:yMode val="edge"/>
          <c:x val="0.46384087309050492"/>
          <c:y val="0.23119527407846135"/>
          <c:w val="0.49420913515888043"/>
          <c:h val="0.67608580099252913"/>
        </c:manualLayout>
      </c:layout>
      <c:barChart>
        <c:barDir val="bar"/>
        <c:grouping val="clustered"/>
        <c:varyColors val="0"/>
        <c:ser>
          <c:idx val="0"/>
          <c:order val="0"/>
          <c:spPr>
            <a:solidFill>
              <a:schemeClr val="tx2">
                <a:lumMod val="60000"/>
                <a:lumOff val="40000"/>
              </a:schemeClr>
            </a:solidFill>
            <a:ln>
              <a:noFill/>
            </a:ln>
            <a:effectLst>
              <a:outerShdw blurRad="39000" dist="25400" dir="5400000">
                <a:srgbClr val="000000">
                  <a:alpha val="35000"/>
                </a:srgbClr>
              </a:outerShdw>
            </a:effectLst>
          </c:spPr>
          <c:invertIfNegative val="0"/>
          <c:dLbls>
            <c:dLbl>
              <c:idx val="1"/>
              <c:layout>
                <c:manualLayout>
                  <c:x val="-2.4644104253857034E-3"/>
                  <c:y val="-1.2548185651726948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4A-49F5-8277-8AADB121E6AC}"/>
                </c:ext>
              </c:extLst>
            </c:dLbl>
            <c:dLbl>
              <c:idx val="2"/>
              <c:layout>
                <c:manualLayout>
                  <c:x val="8.453665078698954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4A-49F5-8277-8AADB121E6AC}"/>
                </c:ext>
              </c:extLst>
            </c:dLbl>
            <c:dLbl>
              <c:idx val="3"/>
              <c:layout>
                <c:manualLayout>
                  <c:x val="2.14869301211956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4A-49F5-8277-8AADB121E6AC}"/>
                </c:ext>
              </c:extLst>
            </c:dLbl>
            <c:dLbl>
              <c:idx val="4"/>
              <c:layout>
                <c:manualLayout>
                  <c:x val="-9.7526994078718217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4A-49F5-8277-8AADB121E6AC}"/>
                </c:ext>
              </c:extLst>
            </c:dLbl>
            <c:dLbl>
              <c:idx val="5"/>
              <c:layout>
                <c:manualLayout>
                  <c:x val="7.6628352490421458E-4"/>
                  <c:y val="3.3840947546531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4A-49F5-8277-8AADB121E6AC}"/>
                </c:ext>
              </c:extLst>
            </c:dLbl>
            <c:dLbl>
              <c:idx val="6"/>
              <c:layout>
                <c:manualLayout>
                  <c:x val="2.5078369905956114E-3"/>
                  <c:y val="-6.20410204654781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4A-49F5-8277-8AADB121E6AC}"/>
                </c:ext>
              </c:extLst>
            </c:dLbl>
            <c:dLbl>
              <c:idx val="7"/>
              <c:layout>
                <c:manualLayout>
                  <c:x val="1.53256704980842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4A-49F5-8277-8AADB121E6AC}"/>
                </c:ext>
              </c:extLst>
            </c:dLbl>
            <c:dLbl>
              <c:idx val="8"/>
              <c:layout>
                <c:manualLayout>
                  <c:x val="5.3639846743295016E-3"/>
                  <c:y val="-6.20410204654781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4A-49F5-8277-8AADB121E6AC}"/>
                </c:ext>
              </c:extLst>
            </c:dLbl>
            <c:dLbl>
              <c:idx val="9"/>
              <c:layout>
                <c:manualLayout>
                  <c:x val="7.1055381400208983E-3"/>
                  <c:y val="3.3840947546530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4A-49F5-8277-8AADB121E6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'NP_PkZ_401DWW400005, 401DWW40'!$BR$67:$BR$74</c:f>
              <c:strCache>
                <c:ptCount val="8"/>
                <c:pt idx="0">
                  <c:v>Občania, ktorí žijú v domácnosti s osobami odkázanými na starostlivosť</c:v>
                </c:pt>
                <c:pt idx="1">
                  <c:v>Občania so zdravotným postihnutím</c:v>
                </c:pt>
                <c:pt idx="2">
                  <c:v>Občan, ktorý ukončil poberanie materského alebo poberanie rodičovského príspevku </c:v>
                </c:pt>
                <c:pt idx="3">
                  <c:v>Občania s nižším vzdelaním ako stredné odborné</c:v>
                </c:pt>
                <c:pt idx="4">
                  <c:v>Absolventi školy</c:v>
                </c:pt>
                <c:pt idx="5">
                  <c:v>Občania starší ako 50 rokov veku</c:v>
                </c:pt>
                <c:pt idx="6">
                  <c:v>Občania, ktorí nemali pravidelne platené zamestnanie</c:v>
                </c:pt>
                <c:pt idx="7">
                  <c:v>Dlhodobo nezamestnaní občania</c:v>
                </c:pt>
              </c:strCache>
            </c:strRef>
          </c:cat>
          <c:val>
            <c:numRef>
              <c:f>'NP_PkZ_401DWW400005, 401DWW40'!$BS$67:$BS$74</c:f>
              <c:numCache>
                <c:formatCode>0.00%</c:formatCode>
                <c:ptCount val="8"/>
                <c:pt idx="0">
                  <c:v>2.549659057219093E-2</c:v>
                </c:pt>
                <c:pt idx="1">
                  <c:v>4.180254965905722E-2</c:v>
                </c:pt>
                <c:pt idx="2">
                  <c:v>4.4174325526237769E-2</c:v>
                </c:pt>
                <c:pt idx="3">
                  <c:v>5.1586125111176995E-2</c:v>
                </c:pt>
                <c:pt idx="4">
                  <c:v>0.10524755410613697</c:v>
                </c:pt>
                <c:pt idx="5">
                  <c:v>0.15920545508449452</c:v>
                </c:pt>
                <c:pt idx="6">
                  <c:v>0.5360213459828046</c:v>
                </c:pt>
                <c:pt idx="7">
                  <c:v>0.56240735250518825</c:v>
                </c:pt>
              </c:numCache>
            </c:numRef>
          </c:val>
          <c:extLst>
            <c:ext xmlns:c16="http://schemas.microsoft.com/office/drawing/2014/chart" uri="{C3380CC4-5D6E-409C-BE32-E72D297353CC}">
              <c16:uniqueId val="{00000009-204A-49F5-8277-8AADB121E6AC}"/>
            </c:ext>
          </c:extLst>
        </c:ser>
        <c:dLbls>
          <c:dLblPos val="inEnd"/>
          <c:showLegendKey val="0"/>
          <c:showVal val="1"/>
          <c:showCatName val="0"/>
          <c:showSerName val="0"/>
          <c:showPercent val="0"/>
          <c:showBubbleSize val="0"/>
        </c:dLbls>
        <c:gapWidth val="9"/>
        <c:overlap val="45"/>
        <c:axId val="593567528"/>
        <c:axId val="452558968"/>
      </c:barChart>
      <c:catAx>
        <c:axId val="5935675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452558968"/>
        <c:crossesAt val="0"/>
        <c:auto val="1"/>
        <c:lblAlgn val="ctr"/>
        <c:lblOffset val="100"/>
        <c:noMultiLvlLbl val="0"/>
      </c:catAx>
      <c:valAx>
        <c:axId val="452558968"/>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593567528"/>
        <c:crosses val="autoZero"/>
        <c:crossBetween val="between"/>
      </c:valAx>
      <c:spPr>
        <a:noFill/>
        <a:ln>
          <a:noFill/>
        </a:ln>
        <a:effectLst/>
      </c:spPr>
    </c:plotArea>
    <c:plotVisOnly val="1"/>
    <c:dispBlanksAs val="gap"/>
    <c:showDLblsOverMax val="0"/>
  </c:chart>
  <c:spPr>
    <a:gradFill flip="none" rotWithShape="1">
      <a:gsLst>
        <a:gs pos="0">
          <a:schemeClr val="tx2">
            <a:lumMod val="40000"/>
            <a:lumOff val="60000"/>
            <a:alpha val="9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ln w="9525" cap="flat" cmpd="sng" algn="ctr">
      <a:solidFill>
        <a:schemeClr val="tx2">
          <a:lumMod val="15000"/>
          <a:lumOff val="85000"/>
        </a:schemeClr>
      </a:solidFill>
      <a:round/>
    </a:ln>
    <a:effectLst/>
  </c:spPr>
  <c:txPr>
    <a:bodyPr/>
    <a:lstStyle/>
    <a:p>
      <a:pPr>
        <a:defRPr/>
      </a:pPr>
      <a:endParaRPr lang="sk-S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r>
              <a:rPr lang="sk-SK" sz="1200" b="1" i="0" baseline="0">
                <a:solidFill>
                  <a:srgbClr val="002060"/>
                </a:solidFill>
                <a:effectLst/>
              </a:rPr>
              <a:t>Štruktúra </a:t>
            </a:r>
            <a:r>
              <a:rPr lang="sk-SK" sz="1200" b="1" i="0" u="none" strike="noStrike" baseline="0">
                <a:solidFill>
                  <a:srgbClr val="002060"/>
                </a:solidFill>
                <a:effectLst/>
              </a:rPr>
              <a:t>znevýhodnených </a:t>
            </a:r>
            <a:r>
              <a:rPr lang="sk-SK" sz="1200" b="1" i="0" baseline="0">
                <a:solidFill>
                  <a:srgbClr val="002060"/>
                </a:solidFill>
                <a:effectLst/>
              </a:rPr>
              <a:t>UoZ, ktorým boli v roku 2024 poskytnuté OPS v rámci akcie č. 3 – Individualizované poradenstvo pre MUoZ</a:t>
            </a:r>
            <a:endParaRPr lang="sk-SK" sz="1200">
              <a:solidFill>
                <a:srgbClr val="002060"/>
              </a:solidFill>
              <a:effectLst/>
            </a:endParaRPr>
          </a:p>
        </c:rich>
      </c:tx>
      <c:layout>
        <c:manualLayout>
          <c:xMode val="edge"/>
          <c:yMode val="edge"/>
          <c:x val="0.13965269851096621"/>
          <c:y val="3.8253012048192772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endParaRPr lang="sk-SK"/>
        </a:p>
      </c:txPr>
    </c:title>
    <c:autoTitleDeleted val="0"/>
    <c:plotArea>
      <c:layout>
        <c:manualLayout>
          <c:layoutTarget val="inner"/>
          <c:xMode val="edge"/>
          <c:yMode val="edge"/>
          <c:x val="0.46168516950619792"/>
          <c:y val="0.21991231593038821"/>
          <c:w val="0.49144983457096747"/>
          <c:h val="0.68148728246318613"/>
        </c:manualLayout>
      </c:layout>
      <c:barChart>
        <c:barDir val="bar"/>
        <c:grouping val="clustered"/>
        <c:varyColors val="0"/>
        <c:ser>
          <c:idx val="0"/>
          <c:order val="0"/>
          <c:spPr>
            <a:solidFill>
              <a:schemeClr val="tx2">
                <a:lumMod val="60000"/>
                <a:lumOff val="40000"/>
              </a:schemeClr>
            </a:solidFill>
            <a:ln>
              <a:noFill/>
            </a:ln>
            <a:effectLst>
              <a:outerShdw blurRad="39000" dist="25400" dir="5400000">
                <a:srgbClr val="000000">
                  <a:alpha val="35000"/>
                </a:srgbClr>
              </a:outerShdw>
            </a:effectLst>
          </c:spPr>
          <c:invertIfNegative val="0"/>
          <c:dLbls>
            <c:dLbl>
              <c:idx val="2"/>
              <c:layout>
                <c:manualLayout>
                  <c:x val="8.453665078698954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3C-4BEB-BBC6-AE98B5F68CB2}"/>
                </c:ext>
              </c:extLst>
            </c:dLbl>
            <c:dLbl>
              <c:idx val="3"/>
              <c:layout>
                <c:manualLayout>
                  <c:x val="2.14869301211956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3C-4BEB-BBC6-AE98B5F68CB2}"/>
                </c:ext>
              </c:extLst>
            </c:dLbl>
            <c:dLbl>
              <c:idx val="4"/>
              <c:layout>
                <c:manualLayout>
                  <c:x val="-9.7526994078718217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3C-4BEB-BBC6-AE98B5F68CB2}"/>
                </c:ext>
              </c:extLst>
            </c:dLbl>
            <c:dLbl>
              <c:idx val="5"/>
              <c:layout>
                <c:manualLayout>
                  <c:x val="7.6628352490421458E-4"/>
                  <c:y val="3.3840947546531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3C-4BEB-BBC6-AE98B5F68CB2}"/>
                </c:ext>
              </c:extLst>
            </c:dLbl>
            <c:dLbl>
              <c:idx val="6"/>
              <c:layout>
                <c:manualLayout>
                  <c:x val="2.5078369905956114E-3"/>
                  <c:y val="-6.20410204654781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3C-4BEB-BBC6-AE98B5F68CB2}"/>
                </c:ext>
              </c:extLst>
            </c:dLbl>
            <c:dLbl>
              <c:idx val="7"/>
              <c:layout>
                <c:manualLayout>
                  <c:x val="1.53256704980842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3C-4BEB-BBC6-AE98B5F68CB2}"/>
                </c:ext>
              </c:extLst>
            </c:dLbl>
            <c:dLbl>
              <c:idx val="8"/>
              <c:layout>
                <c:manualLayout>
                  <c:x val="-1.07929485618421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3C-4BEB-BBC6-AE98B5F68CB2}"/>
                </c:ext>
              </c:extLst>
            </c:dLbl>
            <c:dLbl>
              <c:idx val="9"/>
              <c:layout>
                <c:manualLayout>
                  <c:x val="7.1055381400208983E-3"/>
                  <c:y val="3.3840947546530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3C-4BEB-BBC6-AE98B5F68C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'NP_PkZ_401DWW400003, 401DWW40'!$BQ$68:$BQ$74</c:f>
              <c:strCache>
                <c:ptCount val="7"/>
                <c:pt idx="0">
                  <c:v>Občania, ktorí žijú v domácnosti s osobami odkázanými na starostlivosť</c:v>
                </c:pt>
                <c:pt idx="1">
                  <c:v>Občania so zdravotným postihnutím</c:v>
                </c:pt>
                <c:pt idx="2">
                  <c:v>Občan, ktorý ukončil poberanie materského alebo poberanie rodičovského príspevku </c:v>
                </c:pt>
                <c:pt idx="3">
                  <c:v>Absolventi školy</c:v>
                </c:pt>
                <c:pt idx="4">
                  <c:v>Občania s nižším vzdelaním ako stredné odborné</c:v>
                </c:pt>
                <c:pt idx="5">
                  <c:v>Dlhodobo nezamestnaní občania</c:v>
                </c:pt>
                <c:pt idx="6">
                  <c:v>Občania, ktorí nemali pravidelne platené zamestnanie</c:v>
                </c:pt>
              </c:strCache>
            </c:strRef>
          </c:cat>
          <c:val>
            <c:numRef>
              <c:f>'NP_PkZ_401DWW400003, 401DWW40'!$BR$68:$BR$74</c:f>
              <c:numCache>
                <c:formatCode>0.00%</c:formatCode>
                <c:ptCount val="7"/>
                <c:pt idx="0">
                  <c:v>4.434589800443459E-3</c:v>
                </c:pt>
                <c:pt idx="1">
                  <c:v>1.0769718086791258E-2</c:v>
                </c:pt>
                <c:pt idx="2">
                  <c:v>2.9775102945834655E-2</c:v>
                </c:pt>
                <c:pt idx="3">
                  <c:v>0.29490022172949004</c:v>
                </c:pt>
                <c:pt idx="4">
                  <c:v>0.3775736458663288</c:v>
                </c:pt>
                <c:pt idx="5">
                  <c:v>0.38105796642382006</c:v>
                </c:pt>
                <c:pt idx="6">
                  <c:v>0.91289198606271782</c:v>
                </c:pt>
              </c:numCache>
            </c:numRef>
          </c:val>
          <c:extLst>
            <c:ext xmlns:c16="http://schemas.microsoft.com/office/drawing/2014/chart" uri="{C3380CC4-5D6E-409C-BE32-E72D297353CC}">
              <c16:uniqueId val="{00000008-B23C-4BEB-BBC6-AE98B5F68CB2}"/>
            </c:ext>
          </c:extLst>
        </c:ser>
        <c:dLbls>
          <c:dLblPos val="inEnd"/>
          <c:showLegendKey val="0"/>
          <c:showVal val="1"/>
          <c:showCatName val="0"/>
          <c:showSerName val="0"/>
          <c:showPercent val="0"/>
          <c:showBubbleSize val="0"/>
        </c:dLbls>
        <c:gapWidth val="9"/>
        <c:overlap val="45"/>
        <c:axId val="593567528"/>
        <c:axId val="452558968"/>
      </c:barChart>
      <c:catAx>
        <c:axId val="5935675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452558968"/>
        <c:crossesAt val="0"/>
        <c:auto val="1"/>
        <c:lblAlgn val="ctr"/>
        <c:lblOffset val="100"/>
        <c:noMultiLvlLbl val="0"/>
      </c:catAx>
      <c:valAx>
        <c:axId val="452558968"/>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k-SK"/>
          </a:p>
        </c:txPr>
        <c:crossAx val="593567528"/>
        <c:crosses val="autoZero"/>
        <c:crossBetween val="between"/>
      </c:valAx>
      <c:spPr>
        <a:noFill/>
        <a:ln>
          <a:noFill/>
        </a:ln>
        <a:effectLst/>
      </c:spPr>
    </c:plotArea>
    <c:plotVisOnly val="1"/>
    <c:dispBlanksAs val="gap"/>
    <c:showDLblsOverMax val="0"/>
  </c:chart>
  <c:spPr>
    <a:gradFill flip="none" rotWithShape="1">
      <a:gsLst>
        <a:gs pos="0">
          <a:schemeClr val="tx2">
            <a:lumMod val="40000"/>
            <a:lumOff val="60000"/>
            <a:alpha val="9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ln w="9525" cap="flat" cmpd="sng" algn="ctr">
      <a:solidFill>
        <a:schemeClr val="tx2">
          <a:lumMod val="15000"/>
          <a:lumOff val="85000"/>
        </a:schemeClr>
      </a:solidFill>
      <a:round/>
    </a:ln>
    <a:effectLst/>
  </c:spPr>
  <c:txPr>
    <a:bodyPr/>
    <a:lstStyle/>
    <a:p>
      <a:pPr>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k-SK" sz="1200" b="1" i="0" baseline="0">
                <a:solidFill>
                  <a:sysClr val="windowText" lastClr="000000"/>
                </a:solidFill>
                <a:effectLst/>
              </a:rPr>
              <a:t>Prehľad počtu žiakov, ktorým bolo v roku 2024 </a:t>
            </a:r>
            <a:endParaRPr lang="sk-SK" sz="1200">
              <a:solidFill>
                <a:sysClr val="windowText" lastClr="000000"/>
              </a:solidFill>
              <a:effectLst/>
            </a:endParaRPr>
          </a:p>
          <a:p>
            <a:pPr>
              <a:defRPr sz="1400">
                <a:solidFill>
                  <a:sysClr val="windowText" lastClr="000000"/>
                </a:solidFill>
              </a:defRPr>
            </a:pPr>
            <a:r>
              <a:rPr lang="sk-SK" sz="1200" b="1" i="0" baseline="0">
                <a:solidFill>
                  <a:sysClr val="windowText" lastClr="000000"/>
                </a:solidFill>
                <a:effectLst/>
              </a:rPr>
              <a:t>poskytnutú preventívne poradenstvo</a:t>
            </a:r>
            <a:endParaRPr lang="sk-SK" sz="1200">
              <a:solidFill>
                <a:sysClr val="windowText" lastClr="000000"/>
              </a:solidFill>
              <a:effectLst/>
            </a:endParaRPr>
          </a:p>
        </c:rich>
      </c:tx>
      <c:layout>
        <c:manualLayout>
          <c:xMode val="edge"/>
          <c:yMode val="edge"/>
          <c:x val="0.21152641923954271"/>
          <c:y val="5.0534507665781249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sk-SK"/>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95990084572763"/>
          <c:y val="0.25883797768013683"/>
          <c:w val="0.57998149536863441"/>
          <c:h val="0.63202977737755606"/>
        </c:manualLayout>
      </c:layout>
      <c:pie3DChart>
        <c:varyColors val="1"/>
        <c:ser>
          <c:idx val="0"/>
          <c:order val="0"/>
          <c:explosion val="25"/>
          <c:dPt>
            <c:idx val="0"/>
            <c:bubble3D val="0"/>
            <c:explosion val="11"/>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F41-4B6F-A389-A90D756357EB}"/>
              </c:ext>
            </c:extLst>
          </c:dPt>
          <c:dPt>
            <c:idx val="1"/>
            <c:bubble3D val="0"/>
            <c:explosion val="1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F41-4B6F-A389-A90D756357EB}"/>
              </c:ext>
            </c:extLst>
          </c:dPt>
          <c:dPt>
            <c:idx val="2"/>
            <c:bubble3D val="0"/>
            <c:explosion val="23"/>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F41-4B6F-A389-A90D756357E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F41-4B6F-A389-A90D756357EB}"/>
              </c:ext>
            </c:extLst>
          </c:dPt>
          <c:dLbls>
            <c:dLbl>
              <c:idx val="0"/>
              <c:layout>
                <c:manualLayout>
                  <c:x val="-0.1267200974878141"/>
                  <c:y val="-6.5752674770402378E-2"/>
                </c:manualLayout>
              </c:layout>
              <c:tx>
                <c:rich>
                  <a:bodyPr/>
                  <a:lstStyle/>
                  <a:p>
                    <a:r>
                      <a:rPr lang="en-US"/>
                      <a:t>13 816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41-4B6F-A389-A90D756357EB}"/>
                </c:ext>
              </c:extLst>
            </c:dLbl>
            <c:dLbl>
              <c:idx val="1"/>
              <c:layout>
                <c:manualLayout>
                  <c:x val="0.13256728325625969"/>
                  <c:y val="2.0582576153772212E-2"/>
                </c:manualLayout>
              </c:layout>
              <c:tx>
                <c:rich>
                  <a:bodyPr/>
                  <a:lstStyle/>
                  <a:p>
                    <a:r>
                      <a:rPr lang="en-US"/>
                      <a:t>11 597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41-4B6F-A389-A90D756357EB}"/>
                </c:ext>
              </c:extLst>
            </c:dLbl>
            <c:dLbl>
              <c:idx val="2"/>
              <c:tx>
                <c:rich>
                  <a:bodyPr/>
                  <a:lstStyle/>
                  <a:p>
                    <a:fld id="{0E8C85B7-AA91-42DC-9D70-6CADF91080AF}" type="VALUE">
                      <a:rPr lang="en-US"/>
                      <a:pPr/>
                      <a:t>[HODNOTA]</a:t>
                    </a:fld>
                    <a:endParaRPr lang="sk-SK"/>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F41-4B6F-A389-A90D756357EB}"/>
                </c:ext>
              </c:extLst>
            </c:dLbl>
            <c:dLbl>
              <c:idx val="3"/>
              <c:layout>
                <c:manualLayout>
                  <c:x val="5.7465449160908191E-2"/>
                  <c:y val="0.10753571428571425"/>
                </c:manualLayout>
              </c:layout>
              <c:tx>
                <c:rich>
                  <a:bodyPr/>
                  <a:lstStyle/>
                  <a:p>
                    <a:fld id="{4E517E57-D0E7-46DD-BC6D-208239D0F47F}" type="CELLRANGE">
                      <a:rPr lang="en-US"/>
                      <a:pPr/>
                      <a:t>[CELLRANGE]</a:t>
                    </a:fld>
                    <a:endParaRPr lang="sk-SK"/>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F41-4B6F-A389-A90D756357EB}"/>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Times New Roman" panose="02020603050405020304" pitchFamily="18"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ext>
            </c:extLst>
          </c:dLbls>
          <c:cat>
            <c:strRef>
              <c:f>pocet_IPS_UPSVR_2!$G$63:$G$65</c:f>
              <c:strCache>
                <c:ptCount val="3"/>
                <c:pt idx="0">
                  <c:v>ZŠ</c:v>
                </c:pt>
                <c:pt idx="1">
                  <c:v>ŠŠ</c:v>
                </c:pt>
                <c:pt idx="2">
                  <c:v>VŠ</c:v>
                </c:pt>
              </c:strCache>
            </c:strRef>
          </c:cat>
          <c:val>
            <c:numRef>
              <c:f>pocet_IPS_UPSVR_2!$H$63:$H$65</c:f>
              <c:numCache>
                <c:formatCode>#,##0</c:formatCode>
                <c:ptCount val="3"/>
                <c:pt idx="0">
                  <c:v>13816</c:v>
                </c:pt>
                <c:pt idx="1">
                  <c:v>11597</c:v>
                </c:pt>
                <c:pt idx="2">
                  <c:v>100</c:v>
                </c:pt>
              </c:numCache>
            </c:numRef>
          </c:val>
          <c:extLst>
            <c:ext xmlns:c15="http://schemas.microsoft.com/office/drawing/2012/chart" uri="{02D57815-91ED-43cb-92C2-25804820EDAC}">
              <c15:datalabelsRange>
                <c15:f>'[1]pocet_XoZ_mimo NP_10_GRAFY'!$C$44:$C$47</c15:f>
                <c15:dlblRangeCache>
                  <c:ptCount val="4"/>
                  <c:pt idx="0">
                    <c:v>0,181501253</c:v>
                  </c:pt>
                  <c:pt idx="1">
                    <c:v>0,122671315</c:v>
                  </c:pt>
                  <c:pt idx="2">
                    <c:v>0,471293169</c:v>
                  </c:pt>
                  <c:pt idx="3">
                    <c:v>0,224534263</c:v>
                  </c:pt>
                </c15:dlblRangeCache>
              </c15:datalabelsRange>
            </c:ext>
            <c:ext xmlns:c16="http://schemas.microsoft.com/office/drawing/2014/chart" uri="{C3380CC4-5D6E-409C-BE32-E72D297353CC}">
              <c16:uniqueId val="{00000008-EF41-4B6F-A389-A90D756357EB}"/>
            </c:ext>
          </c:extLst>
        </c:ser>
        <c:dLbls>
          <c:dLblPos val="ctr"/>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79068224110875029"/>
          <c:y val="0.33034088907400061"/>
          <c:w val="7.0074574011581889E-2"/>
          <c:h val="0.47817253755757244"/>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mn-lt"/>
              <a:ea typeface="+mn-ea"/>
              <a:cs typeface="Times New Roman" panose="02020603050405020304" pitchFamily="18" charset="0"/>
            </a:defRPr>
          </a:pPr>
          <a:endParaRPr lang="sk-SK"/>
        </a:p>
      </c:txPr>
    </c:legend>
    <c:plotVisOnly val="1"/>
    <c:dispBlanksAs val="gap"/>
    <c:showDLblsOverMax val="0"/>
  </c:chart>
  <c:spPr>
    <a:gradFill flip="none" rotWithShape="1">
      <a:gsLst>
        <a:gs pos="0">
          <a:schemeClr val="tx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sk-S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2060"/>
                </a:solidFill>
                <a:latin typeface="+mn-lt"/>
                <a:ea typeface="+mn-ea"/>
                <a:cs typeface="+mn-cs"/>
              </a:defRPr>
            </a:pPr>
            <a:r>
              <a:rPr lang="sk-SK" sz="1200" b="1" i="0" u="none" strike="noStrike" kern="1200" spc="0" baseline="0">
                <a:solidFill>
                  <a:srgbClr val="002060"/>
                </a:solidFill>
                <a:effectLst/>
                <a:latin typeface="+mn-lt"/>
                <a:ea typeface="+mn-ea"/>
                <a:cs typeface="+mn-cs"/>
              </a:rPr>
              <a:t>Zručnosti pre RVK u </a:t>
            </a:r>
            <a:r>
              <a:rPr lang="sk-SK" sz="1200" b="1" i="0" u="none" strike="noStrike" baseline="0">
                <a:solidFill>
                  <a:srgbClr val="002060"/>
                </a:solidFill>
                <a:effectLst/>
              </a:rPr>
              <a:t>MUoZ</a:t>
            </a:r>
            <a:r>
              <a:rPr lang="sk-SK" sz="1200" b="1" i="0" u="none" strike="noStrike" kern="1200" spc="0" baseline="0">
                <a:solidFill>
                  <a:srgbClr val="002060"/>
                </a:solidFill>
                <a:effectLst/>
                <a:latin typeface="+mn-lt"/>
                <a:ea typeface="+mn-ea"/>
                <a:cs typeface="+mn-cs"/>
              </a:rPr>
              <a:t>, </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2060"/>
                </a:solidFill>
              </a:defRPr>
            </a:pPr>
            <a:r>
              <a:rPr lang="sk-SK" sz="1200" b="1" i="0" u="none" strike="noStrike" kern="1200" spc="0" baseline="0">
                <a:solidFill>
                  <a:srgbClr val="002060"/>
                </a:solidFill>
                <a:effectLst/>
                <a:latin typeface="+mn-lt"/>
                <a:ea typeface="+mn-ea"/>
                <a:cs typeface="+mn-cs"/>
              </a:rPr>
              <a:t>ktoré boli </a:t>
            </a:r>
            <a:r>
              <a:rPr lang="sk-SK" sz="1200" b="1" i="0" u="none" strike="noStrike" baseline="0">
                <a:solidFill>
                  <a:srgbClr val="002060"/>
                </a:solidFill>
                <a:effectLst/>
              </a:rPr>
              <a:t>najmenej rozvinuté a súčasne</a:t>
            </a:r>
            <a:r>
              <a:rPr lang="sk-SK" sz="1200" b="1" i="0" u="none" strike="noStrike" kern="1200" spc="0" baseline="0">
                <a:solidFill>
                  <a:srgbClr val="002060"/>
                </a:solidFill>
                <a:effectLst/>
                <a:latin typeface="+mn-lt"/>
                <a:ea typeface="+mn-ea"/>
                <a:cs typeface="+mn-cs"/>
              </a:rPr>
              <a:t> najviac podporené</a:t>
            </a:r>
          </a:p>
        </c:rich>
      </c:tx>
      <c:layout>
        <c:manualLayout>
          <c:xMode val="edge"/>
          <c:yMode val="edge"/>
          <c:x val="0.1763557333111139"/>
          <c:y val="2.782624004529026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2060"/>
              </a:solidFill>
              <a:latin typeface="+mn-lt"/>
              <a:ea typeface="+mn-ea"/>
              <a:cs typeface="+mn-cs"/>
            </a:defRPr>
          </a:pPr>
          <a:endParaRPr lang="sk-SK"/>
        </a:p>
      </c:txPr>
    </c:title>
    <c:autoTitleDeleted val="0"/>
    <c:plotArea>
      <c:layout>
        <c:manualLayout>
          <c:layoutTarget val="inner"/>
          <c:xMode val="edge"/>
          <c:yMode val="edge"/>
          <c:x val="0.45983368573627309"/>
          <c:y val="0.16520793808693265"/>
          <c:w val="0.5093421396711072"/>
          <c:h val="0.68039674602818601"/>
        </c:manualLayout>
      </c:layout>
      <c:barChart>
        <c:barDir val="bar"/>
        <c:grouping val="clustered"/>
        <c:varyColors val="0"/>
        <c:ser>
          <c:idx val="0"/>
          <c:order val="0"/>
          <c:tx>
            <c:strRef>
              <c:f>'vstup - výstup'!$B$40</c:f>
              <c:strCache>
                <c:ptCount val="1"/>
                <c:pt idx="0">
                  <c:v>Výstup (%)</c:v>
                </c:pt>
              </c:strCache>
            </c:strRef>
          </c:tx>
          <c:spPr>
            <a:solidFill>
              <a:schemeClr val="accent1"/>
            </a:solidFill>
            <a:ln>
              <a:noFill/>
            </a:ln>
            <a:effectLst/>
          </c:spPr>
          <c:invertIfNegative val="0"/>
          <c:dLbls>
            <c:dLbl>
              <c:idx val="0"/>
              <c:layout>
                <c:manualLayout>
                  <c:x val="-8.16186630391705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6-4F4F-959A-DE7D6D3DA680}"/>
                </c:ext>
              </c:extLst>
            </c:dLbl>
            <c:dLbl>
              <c:idx val="1"/>
              <c:layout>
                <c:manualLayout>
                  <c:x val="-8.1618663039170536E-2"/>
                  <c:y val="-3.5174832767212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D6-4F4F-959A-DE7D6D3DA680}"/>
                </c:ext>
              </c:extLst>
            </c:dLbl>
            <c:dLbl>
              <c:idx val="2"/>
              <c:layout>
                <c:manualLayout>
                  <c:x val="-0.10000659639767251"/>
                  <c:y val="-7.8329339267374192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6-4F4F-959A-DE7D6D3DA680}"/>
                </c:ext>
              </c:extLst>
            </c:dLbl>
            <c:dLbl>
              <c:idx val="3"/>
              <c:layout>
                <c:manualLayout>
                  <c:x val="-0.1007903525948147"/>
                  <c:y val="-3.4390961999315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D6-4F4F-959A-DE7D6D3DA6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'vstup - výstup'!$A$41:$A$44</c:f>
              <c:strCache>
                <c:ptCount val="4"/>
                <c:pt idx="0">
                  <c:v>D1 Dokáže efektívne absolvovať pracovný pohovor</c:v>
                </c:pt>
                <c:pt idx="1">
                  <c:v>D4 Kontaktoval osobne za posledný mesiac zamestnávateľov v regióne </c:v>
                </c:pt>
                <c:pt idx="2">
                  <c:v>C1 Vie, čo musí urobiť pre to, aby sa zamestnal (akčný plán)</c:v>
                </c:pt>
                <c:pt idx="3">
                  <c:v>B1 Dokáže popísať vlastné silné stránky</c:v>
                </c:pt>
              </c:strCache>
            </c:strRef>
          </c:cat>
          <c:val>
            <c:numRef>
              <c:f>'vstup - výstup'!$B$41:$B$44</c:f>
              <c:numCache>
                <c:formatCode>0.00</c:formatCode>
                <c:ptCount val="4"/>
                <c:pt idx="0">
                  <c:v>63.691079574252406</c:v>
                </c:pt>
                <c:pt idx="1">
                  <c:v>63.817790167257982</c:v>
                </c:pt>
                <c:pt idx="2">
                  <c:v>68.176634566649767</c:v>
                </c:pt>
                <c:pt idx="3">
                  <c:v>67.137607704004054</c:v>
                </c:pt>
              </c:numCache>
            </c:numRef>
          </c:val>
          <c:extLst>
            <c:ext xmlns:c16="http://schemas.microsoft.com/office/drawing/2014/chart" uri="{C3380CC4-5D6E-409C-BE32-E72D297353CC}">
              <c16:uniqueId val="{00000004-E2D6-4F4F-959A-DE7D6D3DA680}"/>
            </c:ext>
          </c:extLst>
        </c:ser>
        <c:ser>
          <c:idx val="1"/>
          <c:order val="1"/>
          <c:tx>
            <c:strRef>
              <c:f>'vstup - výstup'!$C$40</c:f>
              <c:strCache>
                <c:ptCount val="1"/>
                <c:pt idx="0">
                  <c:v>Posun (%)</c:v>
                </c:pt>
              </c:strCache>
            </c:strRef>
          </c:tx>
          <c:spPr>
            <a:noFill/>
            <a:ln>
              <a:noFill/>
            </a:ln>
            <a:effectLst/>
          </c:spPr>
          <c:invertIfNegative val="0"/>
          <c:dLbls>
            <c:dLbl>
              <c:idx val="0"/>
              <c:layout>
                <c:manualLayout>
                  <c:x val="0.13267629740726852"/>
                  <c:y val="-4.0213899349537827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5AA89FC5-287A-4BEE-A62F-BA2C8E920922}" type="SERIESNAME">
                      <a:rPr lang="en-US" b="1"/>
                      <a:pPr>
                        <a:defRPr b="1"/>
                      </a:pPr>
                      <a:t>[NÁZOV RADU]</a:t>
                    </a:fld>
                    <a:r>
                      <a:rPr lang="en-US" b="1" baseline="0"/>
                      <a:t>; </a:t>
                    </a:r>
                    <a:fld id="{E99E912A-CB35-49A6-AB0B-FEDBC2692E2A}" type="VALUE">
                      <a:rPr lang="en-US" b="1" baseline="0"/>
                      <a:pPr>
                        <a:defRPr b="1"/>
                      </a:pPr>
                      <a:t>[HODNOTA]</a:t>
                    </a:fld>
                    <a:endParaRPr lang="en-US" b="1"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3426"/>
                        <a:gd name="adj2" fmla="val 139351"/>
                      </a:avLst>
                    </a:prstGeom>
                    <a:noFill/>
                    <a:ln>
                      <a:noFill/>
                    </a:ln>
                  </c15:spPr>
                  <c15:dlblFieldTable/>
                  <c15:showDataLabelsRange val="0"/>
                </c:ext>
                <c:ext xmlns:c16="http://schemas.microsoft.com/office/drawing/2014/chart" uri="{C3380CC4-5D6E-409C-BE32-E72D297353CC}">
                  <c16:uniqueId val="{00000005-E2D6-4F4F-959A-DE7D6D3DA680}"/>
                </c:ext>
              </c:extLst>
            </c:dLbl>
            <c:dLbl>
              <c:idx val="1"/>
              <c:layout>
                <c:manualLayout>
                  <c:x val="0.11790626866086183"/>
                  <c:y val="-3.6684423142759395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EB7A8B45-81FC-4288-955C-D67365755942}" type="SERIESNAME">
                      <a:rPr lang="en-US" b="1"/>
                      <a:pPr>
                        <a:defRPr b="1"/>
                      </a:pPr>
                      <a:t>[NÁZOV RADU]</a:t>
                    </a:fld>
                    <a:r>
                      <a:rPr lang="en-US" b="1" baseline="0"/>
                      <a:t>; </a:t>
                    </a:r>
                    <a:fld id="{E0DE4422-02D9-45FE-9294-B315AD6CC7C0}" type="VALUE">
                      <a:rPr lang="en-US" b="1" baseline="0"/>
                      <a:pPr>
                        <a:defRPr b="1"/>
                      </a:pPr>
                      <a:t>[HODNOTA]</a:t>
                    </a:fld>
                    <a:endParaRPr lang="en-US" b="1"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1956"/>
                        <a:gd name="adj2" fmla="val 139392"/>
                      </a:avLst>
                    </a:prstGeom>
                    <a:noFill/>
                    <a:ln>
                      <a:noFill/>
                    </a:ln>
                  </c15:spPr>
                  <c15:dlblFieldTable/>
                  <c15:showDataLabelsRange val="0"/>
                </c:ext>
                <c:ext xmlns:c16="http://schemas.microsoft.com/office/drawing/2014/chart" uri="{C3380CC4-5D6E-409C-BE32-E72D297353CC}">
                  <c16:uniqueId val="{00000006-E2D6-4F4F-959A-DE7D6D3DA680}"/>
                </c:ext>
              </c:extLst>
            </c:dLbl>
            <c:dLbl>
              <c:idx val="2"/>
              <c:layout>
                <c:manualLayout>
                  <c:x val="0.12209671707703204"/>
                  <c:y val="-6.1716672372475245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B10AFE7B-A7E6-4E15-8B3B-480EED61D340}" type="SERIESNAME">
                      <a:rPr lang="en-US" b="1"/>
                      <a:pPr>
                        <a:defRPr b="1"/>
                      </a:pPr>
                      <a:t>[NÁZOV RADU]</a:t>
                    </a:fld>
                    <a:r>
                      <a:rPr lang="en-US" b="1" baseline="0"/>
                      <a:t>; </a:t>
                    </a:r>
                    <a:fld id="{E839848A-2C29-4803-9608-AA3ED44FE035}" type="VALUE">
                      <a:rPr lang="en-US" b="1" baseline="0"/>
                      <a:pPr>
                        <a:defRPr b="1"/>
                      </a:pPr>
                      <a:t>[HODNOTA]</a:t>
                    </a:fld>
                    <a:endParaRPr lang="en-US" b="1"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2130"/>
                        <a:gd name="adj2" fmla="val 185192"/>
                      </a:avLst>
                    </a:prstGeom>
                    <a:noFill/>
                    <a:ln>
                      <a:noFill/>
                    </a:ln>
                  </c15:spPr>
                  <c15:dlblFieldTable/>
                  <c15:showDataLabelsRange val="0"/>
                </c:ext>
                <c:ext xmlns:c16="http://schemas.microsoft.com/office/drawing/2014/chart" uri="{C3380CC4-5D6E-409C-BE32-E72D297353CC}">
                  <c16:uniqueId val="{00000007-E2D6-4F4F-959A-DE7D6D3DA680}"/>
                </c:ext>
              </c:extLst>
            </c:dLbl>
            <c:dLbl>
              <c:idx val="3"/>
              <c:layout>
                <c:manualLayout>
                  <c:x val="0.11494708994708978"/>
                  <c:y val="-4.1025676138308834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98B94D13-6F43-46A8-BAC2-BC50DC721D4F}" type="SERIESNAME">
                      <a:rPr lang="en-US" b="1"/>
                      <a:pPr>
                        <a:defRPr b="1"/>
                      </a:pPr>
                      <a:t>[NÁZOV RADU]</a:t>
                    </a:fld>
                    <a:r>
                      <a:rPr lang="en-US" b="1" baseline="0"/>
                      <a:t>; </a:t>
                    </a:r>
                    <a:fld id="{81AC2B6A-C3AA-407E-82C1-CFFBF9E648E7}" type="VALUE">
                      <a:rPr lang="en-US" b="1" baseline="0"/>
                      <a:pPr>
                        <a:defRPr b="1"/>
                      </a:pPr>
                      <a:t>[HODNOTA]</a:t>
                    </a:fld>
                    <a:endParaRPr lang="en-US" b="1"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0751"/>
                        <a:gd name="adj2" fmla="val 164714"/>
                      </a:avLst>
                    </a:prstGeom>
                    <a:noFill/>
                    <a:ln>
                      <a:noFill/>
                    </a:ln>
                  </c15:spPr>
                  <c15:dlblFieldTable/>
                  <c15:showDataLabelsRange val="0"/>
                </c:ext>
                <c:ext xmlns:c16="http://schemas.microsoft.com/office/drawing/2014/chart" uri="{C3380CC4-5D6E-409C-BE32-E72D297353CC}">
                  <c16:uniqueId val="{00000008-E2D6-4F4F-959A-DE7D6D3DA68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'vstup - výstup'!$A$41:$A$44</c:f>
              <c:strCache>
                <c:ptCount val="4"/>
                <c:pt idx="0">
                  <c:v>D1 Dokáže efektívne absolvovať pracovný pohovor</c:v>
                </c:pt>
                <c:pt idx="1">
                  <c:v>D4 Kontaktoval osobne za posledný mesiac zamestnávateľov v regióne </c:v>
                </c:pt>
                <c:pt idx="2">
                  <c:v>C1 Vie, čo musí urobiť pre to, aby sa zamestnal (akčný plán)</c:v>
                </c:pt>
                <c:pt idx="3">
                  <c:v>B1 Dokáže popísať vlastné silné stránky</c:v>
                </c:pt>
              </c:strCache>
            </c:strRef>
          </c:cat>
          <c:val>
            <c:numRef>
              <c:f>'vstup - výstup'!$C$41:$C$44</c:f>
              <c:numCache>
                <c:formatCode>0.00</c:formatCode>
                <c:ptCount val="4"/>
                <c:pt idx="0">
                  <c:v>23.180628272251312</c:v>
                </c:pt>
                <c:pt idx="1">
                  <c:v>23.893979057591622</c:v>
                </c:pt>
                <c:pt idx="2">
                  <c:v>24.725130890052348</c:v>
                </c:pt>
                <c:pt idx="3">
                  <c:v>25.399214659685867</c:v>
                </c:pt>
              </c:numCache>
            </c:numRef>
          </c:val>
          <c:extLst>
            <c:ext xmlns:c16="http://schemas.microsoft.com/office/drawing/2014/chart" uri="{C3380CC4-5D6E-409C-BE32-E72D297353CC}">
              <c16:uniqueId val="{00000009-E2D6-4F4F-959A-DE7D6D3DA680}"/>
            </c:ext>
          </c:extLst>
        </c:ser>
        <c:ser>
          <c:idx val="2"/>
          <c:order val="2"/>
          <c:tx>
            <c:strRef>
              <c:f>'vstup - výstup'!$D$40</c:f>
              <c:strCache>
                <c:ptCount val="1"/>
                <c:pt idx="0">
                  <c:v>Vstup (%)</c:v>
                </c:pt>
              </c:strCache>
            </c:strRef>
          </c:tx>
          <c:spPr>
            <a:solidFill>
              <a:srgbClr val="C00000"/>
            </a:solidFill>
            <a:ln>
              <a:solidFill>
                <a:srgbClr val="FFC000"/>
              </a:solidFill>
            </a:ln>
            <a:effectLst/>
          </c:spPr>
          <c:invertIfNegative val="0"/>
          <c:cat>
            <c:strRef>
              <c:f>'vstup - výstup'!$A$41:$A$44</c:f>
              <c:strCache>
                <c:ptCount val="4"/>
                <c:pt idx="0">
                  <c:v>D1 Dokáže efektívne absolvovať pracovný pohovor</c:v>
                </c:pt>
                <c:pt idx="1">
                  <c:v>D4 Kontaktoval osobne za posledný mesiac zamestnávateľov v regióne </c:v>
                </c:pt>
                <c:pt idx="2">
                  <c:v>C1 Vie, čo musí urobiť pre to, aby sa zamestnal (akčný plán)</c:v>
                </c:pt>
                <c:pt idx="3">
                  <c:v>B1 Dokáže popísať vlastné silné stránky</c:v>
                </c:pt>
              </c:strCache>
            </c:strRef>
          </c:cat>
          <c:val>
            <c:numRef>
              <c:f>'vstup - výstup'!$D$41:$D$44</c:f>
              <c:numCache>
                <c:formatCode>0.00</c:formatCode>
                <c:ptCount val="4"/>
                <c:pt idx="0">
                  <c:v>40.528383172833301</c:v>
                </c:pt>
                <c:pt idx="1">
                  <c:v>39.951849974657883</c:v>
                </c:pt>
                <c:pt idx="2">
                  <c:v>43.50608210846427</c:v>
                </c:pt>
                <c:pt idx="3">
                  <c:v>41.713127217435378</c:v>
                </c:pt>
              </c:numCache>
            </c:numRef>
          </c:val>
          <c:extLst>
            <c:ext xmlns:c16="http://schemas.microsoft.com/office/drawing/2014/chart" uri="{C3380CC4-5D6E-409C-BE32-E72D297353CC}">
              <c16:uniqueId val="{0000000A-E2D6-4F4F-959A-DE7D6D3DA680}"/>
            </c:ext>
          </c:extLst>
        </c:ser>
        <c:dLbls>
          <c:showLegendKey val="0"/>
          <c:showVal val="0"/>
          <c:showCatName val="0"/>
          <c:showSerName val="0"/>
          <c:showPercent val="0"/>
          <c:showBubbleSize val="0"/>
        </c:dLbls>
        <c:gapWidth val="182"/>
        <c:axId val="1433336543"/>
        <c:axId val="1433337791"/>
      </c:barChart>
      <c:catAx>
        <c:axId val="1433336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sk-SK"/>
          </a:p>
        </c:txPr>
        <c:crossAx val="1433337791"/>
        <c:crosses val="autoZero"/>
        <c:auto val="1"/>
        <c:lblAlgn val="ctr"/>
        <c:lblOffset val="100"/>
        <c:noMultiLvlLbl val="0"/>
      </c:catAx>
      <c:valAx>
        <c:axId val="14333377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sk-SK"/>
          </a:p>
        </c:txPr>
        <c:crossAx val="1433336543"/>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sk-SK"/>
        </a:p>
      </c:txPr>
    </c:legend>
    <c:plotVisOnly val="1"/>
    <c:dispBlanksAs val="gap"/>
    <c:showDLblsOverMax val="0"/>
  </c:chart>
  <c:spPr>
    <a:gradFill>
      <a:gsLst>
        <a:gs pos="0">
          <a:schemeClr val="tx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gra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r>
              <a:rPr lang="sk-SK" sz="1200" b="1" i="0" baseline="0">
                <a:solidFill>
                  <a:srgbClr val="002060"/>
                </a:solidFill>
                <a:effectLst/>
              </a:rPr>
              <a:t>Zručnosti pre RVK u UoZ nad 30 rokov, </a:t>
            </a:r>
            <a:endParaRPr lang="sk-SK" sz="1200">
              <a:solidFill>
                <a:srgbClr val="002060"/>
              </a:solidFill>
              <a:effectLst/>
            </a:endParaRPr>
          </a:p>
          <a:p>
            <a:pPr>
              <a:defRPr>
                <a:solidFill>
                  <a:srgbClr val="002060"/>
                </a:solidFill>
              </a:defRPr>
            </a:pPr>
            <a:r>
              <a:rPr lang="sk-SK" sz="1200" b="1" i="0" baseline="0">
                <a:solidFill>
                  <a:srgbClr val="002060"/>
                </a:solidFill>
                <a:effectLst/>
              </a:rPr>
              <a:t>ktoré boli najmenej rozvinuté a súčasne najviac podporené</a:t>
            </a:r>
            <a:endParaRPr lang="sk-SK" sz="1200">
              <a:solidFill>
                <a:srgbClr val="002060"/>
              </a:solidFill>
              <a:effectLst/>
            </a:endParaRPr>
          </a:p>
        </c:rich>
      </c:tx>
      <c:layout>
        <c:manualLayout>
          <c:xMode val="edge"/>
          <c:yMode val="edge"/>
          <c:x val="0.16721468844172255"/>
          <c:y val="3.59993742504041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endParaRPr lang="sk-SK"/>
        </a:p>
      </c:txPr>
    </c:title>
    <c:autoTitleDeleted val="0"/>
    <c:plotArea>
      <c:layout>
        <c:manualLayout>
          <c:layoutTarget val="inner"/>
          <c:xMode val="edge"/>
          <c:yMode val="edge"/>
          <c:x val="0.45983368573627309"/>
          <c:y val="0.16520793808693265"/>
          <c:w val="0.5093421396711072"/>
          <c:h val="0.68039674602818601"/>
        </c:manualLayout>
      </c:layout>
      <c:barChart>
        <c:barDir val="bar"/>
        <c:grouping val="clustered"/>
        <c:varyColors val="0"/>
        <c:ser>
          <c:idx val="0"/>
          <c:order val="0"/>
          <c:tx>
            <c:strRef>
              <c:f>'vstup - výstup'!$B$40</c:f>
              <c:strCache>
                <c:ptCount val="1"/>
                <c:pt idx="0">
                  <c:v>Výstup (%)</c:v>
                </c:pt>
              </c:strCache>
            </c:strRef>
          </c:tx>
          <c:spPr>
            <a:solidFill>
              <a:schemeClr val="accent1"/>
            </a:solidFill>
            <a:ln>
              <a:noFill/>
            </a:ln>
            <a:effectLst/>
          </c:spPr>
          <c:invertIfNegative val="0"/>
          <c:dLbls>
            <c:dLbl>
              <c:idx val="0"/>
              <c:layout>
                <c:manualLayout>
                  <c:x val="-7.9365079365079361E-2"/>
                  <c:y val="-1.274018175646198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AB-4939-A920-153D5B26AB83}"/>
                </c:ext>
              </c:extLst>
            </c:dLbl>
            <c:dLbl>
              <c:idx val="1"/>
              <c:layout>
                <c:manualLayout>
                  <c:x val="-8.3823202655223653E-2"/>
                  <c:y val="-6.3700908782309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AB-4939-A920-153D5B26AB83}"/>
                </c:ext>
              </c:extLst>
            </c:dLbl>
            <c:dLbl>
              <c:idx val="2"/>
              <c:layout>
                <c:manualLayout>
                  <c:x val="-8.0949082753544691E-2"/>
                  <c:y val="4.295415123144353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AB-4939-A920-153D5B26AB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'vstup - výstup'!$A$41:$A$43</c:f>
              <c:strCache>
                <c:ptCount val="3"/>
                <c:pt idx="0">
                  <c:v>B2 Dokáže pripraviť relevantné písomnosti pre hľadanie zamestnania (motivačný list, životopis)</c:v>
                </c:pt>
                <c:pt idx="1">
                  <c:v>B1 Dokáže popísať vlastné silné stránky</c:v>
                </c:pt>
                <c:pt idx="2">
                  <c:v>D4 Kontaktoval osobne za posledný mesiac zamestnávateľov v regióne </c:v>
                </c:pt>
              </c:strCache>
            </c:strRef>
          </c:cat>
          <c:val>
            <c:numRef>
              <c:f>'vstup - výstup'!$B$41:$B$43</c:f>
              <c:numCache>
                <c:formatCode>0.00</c:formatCode>
                <c:ptCount val="3"/>
                <c:pt idx="0">
                  <c:v>64.315234430668383</c:v>
                </c:pt>
                <c:pt idx="1">
                  <c:v>66.859056576884711</c:v>
                </c:pt>
                <c:pt idx="2">
                  <c:v>63.976770699729229</c:v>
                </c:pt>
              </c:numCache>
            </c:numRef>
          </c:val>
          <c:extLst>
            <c:ext xmlns:c16="http://schemas.microsoft.com/office/drawing/2014/chart" uri="{C3380CC4-5D6E-409C-BE32-E72D297353CC}">
              <c16:uniqueId val="{00000003-B1AB-4939-A920-153D5B26AB83}"/>
            </c:ext>
          </c:extLst>
        </c:ser>
        <c:ser>
          <c:idx val="1"/>
          <c:order val="1"/>
          <c:tx>
            <c:strRef>
              <c:f>'vstup - výstup'!$C$40</c:f>
              <c:strCache>
                <c:ptCount val="1"/>
                <c:pt idx="0">
                  <c:v>Posun (%)</c:v>
                </c:pt>
              </c:strCache>
            </c:strRef>
          </c:tx>
          <c:spPr>
            <a:noFill/>
            <a:ln>
              <a:noFill/>
            </a:ln>
            <a:effectLst/>
          </c:spPr>
          <c:invertIfNegative val="0"/>
          <c:dLbls>
            <c:dLbl>
              <c:idx val="0"/>
              <c:layout>
                <c:manualLayout>
                  <c:x val="0.10411331135350615"/>
                  <c:y val="-6.6258350924797177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1848B7C2-EBB5-4566-B5A7-DD6DC32E974B}" type="SERIESNAME">
                      <a:rPr lang="en-US"/>
                      <a:pPr>
                        <a:defRPr b="1"/>
                      </a:pPr>
                      <a:t>[NÁZOV RADU]</a:t>
                    </a:fld>
                    <a:r>
                      <a:rPr lang="en-US" baseline="0"/>
                      <a:t>; </a:t>
                    </a:r>
                    <a:fld id="{3ACCFEEB-7BD0-46EC-960C-EF6F3C253211}" type="VALUE">
                      <a:rPr lang="en-US" baseline="0"/>
                      <a:pPr>
                        <a:defRPr b="1"/>
                      </a:pPr>
                      <a:t>[HODNOTA]</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0241"/>
                        <a:gd name="adj2" fmla="val 227754"/>
                      </a:avLst>
                    </a:prstGeom>
                    <a:noFill/>
                    <a:ln>
                      <a:noFill/>
                    </a:ln>
                  </c15:spPr>
                  <c15:dlblFieldTable/>
                  <c15:showDataLabelsRange val="0"/>
                </c:ext>
                <c:ext xmlns:c16="http://schemas.microsoft.com/office/drawing/2014/chart" uri="{C3380CC4-5D6E-409C-BE32-E72D297353CC}">
                  <c16:uniqueId val="{00000004-B1AB-4939-A920-153D5B26AB83}"/>
                </c:ext>
              </c:extLst>
            </c:dLbl>
            <c:dLbl>
              <c:idx val="1"/>
              <c:layout>
                <c:manualLayout>
                  <c:x val="0.10622127095224208"/>
                  <c:y val="-5.0627075889315087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5AA89FC5-287A-4BEE-A62F-BA2C8E920922}" type="SERIESNAME">
                      <a:rPr lang="en-US" b="1"/>
                      <a:pPr>
                        <a:defRPr b="1"/>
                      </a:pPr>
                      <a:t>[NÁZOV RADU]</a:t>
                    </a:fld>
                    <a:r>
                      <a:rPr lang="en-US" b="1" baseline="0"/>
                      <a:t>; </a:t>
                    </a:r>
                    <a:fld id="{E99E912A-CB35-49A6-AB0B-FEDBC2692E2A}" type="VALUE">
                      <a:rPr lang="en-US" b="1" baseline="0"/>
                      <a:pPr>
                        <a:defRPr b="1"/>
                      </a:pPr>
                      <a:t>[HODNOTA]</a:t>
                    </a:fld>
                    <a:endParaRPr lang="en-US" b="1"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6333"/>
                        <a:gd name="adj2" fmla="val 175770"/>
                      </a:avLst>
                    </a:prstGeom>
                    <a:noFill/>
                    <a:ln>
                      <a:noFill/>
                    </a:ln>
                  </c15:spPr>
                  <c15:dlblFieldTable/>
                  <c15:showDataLabelsRange val="0"/>
                </c:ext>
                <c:ext xmlns:c16="http://schemas.microsoft.com/office/drawing/2014/chart" uri="{C3380CC4-5D6E-409C-BE32-E72D297353CC}">
                  <c16:uniqueId val="{00000005-B1AB-4939-A920-153D5B26AB83}"/>
                </c:ext>
              </c:extLst>
            </c:dLbl>
            <c:dLbl>
              <c:idx val="2"/>
              <c:layout>
                <c:manualLayout>
                  <c:x val="9.2901234567901073E-2"/>
                  <c:y val="-5.49241325723791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98B94D13-6F43-46A8-BAC2-BC50DC721D4F}" type="SERIESNAME">
                      <a:rPr lang="en-US" b="1"/>
                      <a:pPr>
                        <a:defRPr b="1"/>
                      </a:pPr>
                      <a:t>[NÁZOV RADU]</a:t>
                    </a:fld>
                    <a:r>
                      <a:rPr lang="en-US" b="1" baseline="0"/>
                      <a:t>; </a:t>
                    </a:r>
                    <a:fld id="{81AC2B6A-C3AA-407E-82C1-CFFBF9E648E7}" type="VALUE">
                      <a:rPr lang="en-US" b="1" baseline="0"/>
                      <a:pPr>
                        <a:defRPr b="1"/>
                      </a:pPr>
                      <a:t>[HODNOTA]</a:t>
                    </a:fld>
                    <a:endParaRPr lang="en-US" b="1"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0562"/>
                        <a:gd name="adj2" fmla="val 174646"/>
                      </a:avLst>
                    </a:prstGeom>
                    <a:noFill/>
                    <a:ln>
                      <a:noFill/>
                    </a:ln>
                  </c15:spPr>
                  <c15:dlblFieldTable/>
                  <c15:showDataLabelsRange val="0"/>
                </c:ext>
                <c:ext xmlns:c16="http://schemas.microsoft.com/office/drawing/2014/chart" uri="{C3380CC4-5D6E-409C-BE32-E72D297353CC}">
                  <c16:uniqueId val="{00000006-B1AB-4939-A920-153D5B26AB8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sk-SK"/>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'vstup - výstup'!$A$41:$A$43</c:f>
              <c:strCache>
                <c:ptCount val="3"/>
                <c:pt idx="0">
                  <c:v>B2 Dokáže pripraviť relevantné písomnosti pre hľadanie zamestnania (motivačný list, životopis)</c:v>
                </c:pt>
                <c:pt idx="1">
                  <c:v>B1 Dokáže popísať vlastné silné stránky</c:v>
                </c:pt>
                <c:pt idx="2">
                  <c:v>D4 Kontaktoval osobne za posledný mesiac zamestnávateľov v regióne </c:v>
                </c:pt>
              </c:strCache>
            </c:strRef>
          </c:cat>
          <c:val>
            <c:numRef>
              <c:f>'vstup - výstup'!$C$41:$C$43</c:f>
              <c:numCache>
                <c:formatCode>0.00</c:formatCode>
                <c:ptCount val="3"/>
                <c:pt idx="0">
                  <c:v>23.150919196237716</c:v>
                </c:pt>
                <c:pt idx="1">
                  <c:v>25.274333760866469</c:v>
                </c:pt>
                <c:pt idx="2">
                  <c:v>26.417984893829271</c:v>
                </c:pt>
              </c:numCache>
            </c:numRef>
          </c:val>
          <c:extLst>
            <c:ext xmlns:c16="http://schemas.microsoft.com/office/drawing/2014/chart" uri="{C3380CC4-5D6E-409C-BE32-E72D297353CC}">
              <c16:uniqueId val="{00000007-B1AB-4939-A920-153D5B26AB83}"/>
            </c:ext>
          </c:extLst>
        </c:ser>
        <c:ser>
          <c:idx val="2"/>
          <c:order val="2"/>
          <c:tx>
            <c:strRef>
              <c:f>'vstup - výstup'!$D$40</c:f>
              <c:strCache>
                <c:ptCount val="1"/>
                <c:pt idx="0">
                  <c:v>Vstup (%)</c:v>
                </c:pt>
              </c:strCache>
            </c:strRef>
          </c:tx>
          <c:spPr>
            <a:solidFill>
              <a:srgbClr val="C00000"/>
            </a:solidFill>
            <a:ln>
              <a:solidFill>
                <a:srgbClr val="FFC000"/>
              </a:solidFill>
            </a:ln>
            <a:effectLst/>
          </c:spPr>
          <c:invertIfNegative val="0"/>
          <c:cat>
            <c:strRef>
              <c:f>'vstup - výstup'!$A$41:$A$43</c:f>
              <c:strCache>
                <c:ptCount val="3"/>
                <c:pt idx="0">
                  <c:v>B2 Dokáže pripraviť relevantné písomnosti pre hľadanie zamestnania (motivačný list, životopis)</c:v>
                </c:pt>
                <c:pt idx="1">
                  <c:v>B1 Dokáže popísať vlastné silné stránky</c:v>
                </c:pt>
                <c:pt idx="2">
                  <c:v>D4 Kontaktoval osobne za posledný mesiac zamestnávateľov v regióne </c:v>
                </c:pt>
              </c:strCache>
            </c:strRef>
          </c:cat>
          <c:val>
            <c:numRef>
              <c:f>'vstup - výstup'!$D$41:$D$43</c:f>
              <c:numCache>
                <c:formatCode>0.00</c:formatCode>
                <c:ptCount val="3"/>
                <c:pt idx="0">
                  <c:v>41.164315234430667</c:v>
                </c:pt>
                <c:pt idx="1">
                  <c:v>41.584722816018242</c:v>
                </c:pt>
                <c:pt idx="2">
                  <c:v>37.558785805899959</c:v>
                </c:pt>
              </c:numCache>
            </c:numRef>
          </c:val>
          <c:extLst>
            <c:ext xmlns:c16="http://schemas.microsoft.com/office/drawing/2014/chart" uri="{C3380CC4-5D6E-409C-BE32-E72D297353CC}">
              <c16:uniqueId val="{00000008-B1AB-4939-A920-153D5B26AB83}"/>
            </c:ext>
          </c:extLst>
        </c:ser>
        <c:dLbls>
          <c:showLegendKey val="0"/>
          <c:showVal val="0"/>
          <c:showCatName val="0"/>
          <c:showSerName val="0"/>
          <c:showPercent val="0"/>
          <c:showBubbleSize val="0"/>
        </c:dLbls>
        <c:gapWidth val="182"/>
        <c:axId val="1433336543"/>
        <c:axId val="1433337791"/>
      </c:barChart>
      <c:catAx>
        <c:axId val="1433336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sk-SK"/>
          </a:p>
        </c:txPr>
        <c:crossAx val="1433337791"/>
        <c:crosses val="autoZero"/>
        <c:auto val="1"/>
        <c:lblAlgn val="ctr"/>
        <c:lblOffset val="100"/>
        <c:noMultiLvlLbl val="0"/>
      </c:catAx>
      <c:valAx>
        <c:axId val="14333377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sk-SK"/>
          </a:p>
        </c:txPr>
        <c:crossAx val="1433336543"/>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sk-SK"/>
        </a:p>
      </c:txPr>
    </c:legend>
    <c:plotVisOnly val="1"/>
    <c:dispBlanksAs val="gap"/>
    <c:showDLblsOverMax val="0"/>
  </c:chart>
  <c:spPr>
    <a:gradFill>
      <a:gsLst>
        <a:gs pos="0">
          <a:schemeClr val="tx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gra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u="none" strike="noStrike" baseline="0">
                <a:solidFill>
                  <a:srgbClr val="002060"/>
                </a:solidFill>
                <a:effectLst/>
              </a:rPr>
              <a:t>rehľad UoZ zaradených na rekvalifikáciu v roku 2024</a:t>
            </a:r>
          </a:p>
          <a:p>
            <a:pPr algn="ctr">
              <a:defRPr lang="sk-SK" sz="1200">
                <a:solidFill>
                  <a:srgbClr val="002060"/>
                </a:solidFill>
              </a:defRPr>
            </a:pPr>
            <a:r>
              <a:rPr lang="sk-SK" sz="1200" b="1" i="0" u="none" strike="noStrike" baseline="0">
                <a:solidFill>
                  <a:srgbClr val="002060"/>
                </a:solidFill>
                <a:effectLst/>
              </a:rPr>
              <a:t>v štruktúre podľa jednotlivých úradov </a:t>
            </a:r>
            <a:endParaRPr lang="sk-SK" sz="1200">
              <a:solidFill>
                <a:srgbClr val="002060"/>
              </a:solidFill>
              <a:effectLst/>
            </a:endParaRPr>
          </a:p>
        </c:rich>
      </c:tx>
      <c:layout>
        <c:manualLayout>
          <c:xMode val="edge"/>
          <c:yMode val="edge"/>
          <c:x val="0.18854573896126089"/>
          <c:y val="4.3563243119200262E-2"/>
        </c:manualLayout>
      </c:layout>
      <c:overlay val="0"/>
    </c:title>
    <c:autoTitleDeleted val="0"/>
    <c:plotArea>
      <c:layout>
        <c:manualLayout>
          <c:layoutTarget val="inner"/>
          <c:xMode val="edge"/>
          <c:yMode val="edge"/>
          <c:x val="0.1836605820312065"/>
          <c:y val="0.24745204926307288"/>
          <c:w val="0.59439176264586335"/>
          <c:h val="0.5856506238859180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4.4535596996437346E-3"/>
                  <c:y val="-5.3116935557880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06-461E-B7E1-556BA1CCF917}"/>
                </c:ext>
              </c:extLst>
            </c:dLbl>
            <c:dLbl>
              <c:idx val="1"/>
              <c:layout>
                <c:manualLayout>
                  <c:x val="3.0778857150368724E-2"/>
                  <c:y val="-0.13510491516429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06-461E-B7E1-556BA1CCF917}"/>
                </c:ext>
              </c:extLst>
            </c:dLbl>
            <c:dLbl>
              <c:idx val="2"/>
              <c:layout>
                <c:manualLayout>
                  <c:x val="7.223640450619799E-2"/>
                  <c:y val="-0.149768082268404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06-461E-B7E1-556BA1CCF917}"/>
                </c:ext>
              </c:extLst>
            </c:dLbl>
            <c:dLbl>
              <c:idx val="3"/>
              <c:layout>
                <c:manualLayout>
                  <c:x val="9.568114308035941E-2"/>
                  <c:y val="-0.133553769065580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06-461E-B7E1-556BA1CCF917}"/>
                </c:ext>
              </c:extLst>
            </c:dLbl>
            <c:dLbl>
              <c:idx val="4"/>
              <c:layout>
                <c:manualLayout>
                  <c:x val="0.12964438878135792"/>
                  <c:y val="-0.1410377548960226"/>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3.7261164032817574E-2"/>
                    </c:manualLayout>
                  </c15:layout>
                </c:ext>
                <c:ext xmlns:c16="http://schemas.microsoft.com/office/drawing/2014/chart" uri="{C3380CC4-5D6E-409C-BE32-E72D297353CC}">
                  <c16:uniqueId val="{00000004-0906-461E-B7E1-556BA1CCF917}"/>
                </c:ext>
              </c:extLst>
            </c:dLbl>
            <c:dLbl>
              <c:idx val="5"/>
              <c:layout>
                <c:manualLayout>
                  <c:x val="0.13927737341816082"/>
                  <c:y val="-0.11976763394086229"/>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2.793715470880825E-2"/>
                    </c:manualLayout>
                  </c15:layout>
                </c:ext>
                <c:ext xmlns:c16="http://schemas.microsoft.com/office/drawing/2014/chart" uri="{C3380CC4-5D6E-409C-BE32-E72D297353CC}">
                  <c16:uniqueId val="{00000005-0906-461E-B7E1-556BA1CCF917}"/>
                </c:ext>
              </c:extLst>
            </c:dLbl>
            <c:dLbl>
              <c:idx val="6"/>
              <c:layout>
                <c:manualLayout>
                  <c:x val="0.16603083006806385"/>
                  <c:y val="-0.12042435255033684"/>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3.7261164032817574E-2"/>
                    </c:manualLayout>
                  </c15:layout>
                </c:ext>
                <c:ext xmlns:c16="http://schemas.microsoft.com/office/drawing/2014/chart" uri="{C3380CC4-5D6E-409C-BE32-E72D297353CC}">
                  <c16:uniqueId val="{00000006-0906-461E-B7E1-556BA1CCF917}"/>
                </c:ext>
              </c:extLst>
            </c:dLbl>
            <c:dLbl>
              <c:idx val="7"/>
              <c:layout>
                <c:manualLayout>
                  <c:x val="0.17808371008272661"/>
                  <c:y val="-0.100072683222289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06-461E-B7E1-556BA1CCF917}"/>
                </c:ext>
              </c:extLst>
            </c:dLbl>
            <c:dLbl>
              <c:idx val="8"/>
              <c:layout>
                <c:manualLayout>
                  <c:x val="0.2005864064720794"/>
                  <c:y val="-8.0410770332030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06-461E-B7E1-556BA1CCF917}"/>
                </c:ext>
              </c:extLst>
            </c:dLbl>
            <c:dLbl>
              <c:idx val="9"/>
              <c:layout>
                <c:manualLayout>
                  <c:x val="0.20932978658008417"/>
                  <c:y val="-5.428904428904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06-461E-B7E1-556BA1CCF917}"/>
                </c:ext>
              </c:extLst>
            </c:dLbl>
            <c:dLbl>
              <c:idx val="10"/>
              <c:layout>
                <c:manualLayout>
                  <c:x val="0.22330853959081942"/>
                  <c:y val="-3.4336949140098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06-461E-B7E1-556BA1CCF917}"/>
                </c:ext>
              </c:extLst>
            </c:dLbl>
            <c:dLbl>
              <c:idx val="11"/>
              <c:layout>
                <c:manualLayout>
                  <c:x val="0.23518497583461501"/>
                  <c:y val="-1.0972562855872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06-461E-B7E1-556BA1CCF917}"/>
                </c:ext>
              </c:extLst>
            </c:dLbl>
            <c:dLbl>
              <c:idx val="12"/>
              <c:layout>
                <c:manualLayout>
                  <c:x val="0.23336619650423496"/>
                  <c:y val="7.405208228752738E-3"/>
                </c:manualLayout>
              </c:layout>
              <c:showLegendKey val="0"/>
              <c:showVal val="1"/>
              <c:showCatName val="0"/>
              <c:showSerName val="0"/>
              <c:showPercent val="0"/>
              <c:showBubbleSize val="0"/>
              <c:extLst>
                <c:ext xmlns:c15="http://schemas.microsoft.com/office/drawing/2012/chart" uri="{CE6537A1-D6FC-4f65-9D91-7224C49458BB}">
                  <c15:layout>
                    <c:manualLayout>
                      <c:w val="5.1887788220020888E-2"/>
                      <c:h val="2.7995882190326015E-2"/>
                    </c:manualLayout>
                  </c15:layout>
                </c:ext>
                <c:ext xmlns:c16="http://schemas.microsoft.com/office/drawing/2014/chart" uri="{C3380CC4-5D6E-409C-BE32-E72D297353CC}">
                  <c16:uniqueId val="{0000000C-0906-461E-B7E1-556BA1CCF917}"/>
                </c:ext>
              </c:extLst>
            </c:dLbl>
            <c:dLbl>
              <c:idx val="13"/>
              <c:layout>
                <c:manualLayout>
                  <c:x val="0.23105926174825889"/>
                  <c:y val="4.4308591670796392E-2"/>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4.1923168694822231E-2"/>
                    </c:manualLayout>
                  </c15:layout>
                </c:ext>
                <c:ext xmlns:c16="http://schemas.microsoft.com/office/drawing/2014/chart" uri="{C3380CC4-5D6E-409C-BE32-E72D297353CC}">
                  <c16:uniqueId val="{0000000D-0906-461E-B7E1-556BA1CCF917}"/>
                </c:ext>
              </c:extLst>
            </c:dLbl>
            <c:dLbl>
              <c:idx val="14"/>
              <c:layout>
                <c:manualLayout>
                  <c:x val="0.22245544849464768"/>
                  <c:y val="7.4906032920748294E-2"/>
                </c:manualLayout>
              </c:layout>
              <c:showLegendKey val="0"/>
              <c:showVal val="1"/>
              <c:showCatName val="0"/>
              <c:showSerName val="0"/>
              <c:showPercent val="0"/>
              <c:showBubbleSize val="0"/>
              <c:extLst>
                <c:ext xmlns:c15="http://schemas.microsoft.com/office/drawing/2012/chart" uri="{CE6537A1-D6FC-4f65-9D91-7224C49458BB}">
                  <c15:layout>
                    <c:manualLayout>
                      <c:w val="7.7121733545683038E-2"/>
                      <c:h val="6.9895196666850193E-2"/>
                    </c:manualLayout>
                  </c15:layout>
                </c:ext>
                <c:ext xmlns:c16="http://schemas.microsoft.com/office/drawing/2014/chart" uri="{C3380CC4-5D6E-409C-BE32-E72D297353CC}">
                  <c16:uniqueId val="{0000000E-0906-461E-B7E1-556BA1CCF917}"/>
                </c:ext>
              </c:extLst>
            </c:dLbl>
            <c:dLbl>
              <c:idx val="15"/>
              <c:layout>
                <c:manualLayout>
                  <c:x val="0.20854741453982553"/>
                  <c:y val="8.8077749022630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06-461E-B7E1-556BA1CCF917}"/>
                </c:ext>
              </c:extLst>
            </c:dLbl>
            <c:dLbl>
              <c:idx val="16"/>
              <c:layout>
                <c:manualLayout>
                  <c:x val="0.19518503256167302"/>
                  <c:y val="0.10685515298020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06-461E-B7E1-556BA1CCF917}"/>
                </c:ext>
              </c:extLst>
            </c:dLbl>
            <c:dLbl>
              <c:idx val="17"/>
              <c:layout>
                <c:manualLayout>
                  <c:x val="0.18138989282958687"/>
                  <c:y val="0.147286493034524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06-461E-B7E1-556BA1CCF917}"/>
                </c:ext>
              </c:extLst>
            </c:dLbl>
            <c:dLbl>
              <c:idx val="18"/>
              <c:layout>
                <c:manualLayout>
                  <c:x val="0.14535171605846445"/>
                  <c:y val="0.16206156048675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906-461E-B7E1-556BA1CCF917}"/>
                </c:ext>
              </c:extLst>
            </c:dLbl>
            <c:dLbl>
              <c:idx val="19"/>
              <c:layout>
                <c:manualLayout>
                  <c:x val="0.13012411773581531"/>
                  <c:y val="0.1870752344768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906-461E-B7E1-556BA1CCF917}"/>
                </c:ext>
              </c:extLst>
            </c:dLbl>
            <c:dLbl>
              <c:idx val="20"/>
              <c:layout>
                <c:manualLayout>
                  <c:x val="9.7994557610991698E-2"/>
                  <c:y val="0.199744507461042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906-461E-B7E1-556BA1CCF917}"/>
                </c:ext>
              </c:extLst>
            </c:dLbl>
            <c:dLbl>
              <c:idx val="21"/>
              <c:layout>
                <c:manualLayout>
                  <c:x val="7.0240972353703315E-2"/>
                  <c:y val="0.210132518400234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906-461E-B7E1-556BA1CCF917}"/>
                </c:ext>
              </c:extLst>
            </c:dLbl>
            <c:dLbl>
              <c:idx val="22"/>
              <c:layout>
                <c:manualLayout>
                  <c:x val="3.702319284368321E-2"/>
                  <c:y val="0.213368422530071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906-461E-B7E1-556BA1CCF917}"/>
                </c:ext>
              </c:extLst>
            </c:dLbl>
            <c:dLbl>
              <c:idx val="23"/>
              <c:layout>
                <c:manualLayout>
                  <c:x val="2.0417599962621342E-3"/>
                  <c:y val="0.22108411582242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906-461E-B7E1-556BA1CCF917}"/>
                </c:ext>
              </c:extLst>
            </c:dLbl>
            <c:dLbl>
              <c:idx val="24"/>
              <c:layout>
                <c:manualLayout>
                  <c:x val="-4.4827123484527755E-2"/>
                  <c:y val="0.21981206226227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906-461E-B7E1-556BA1CCF917}"/>
                </c:ext>
              </c:extLst>
            </c:dLbl>
            <c:dLbl>
              <c:idx val="25"/>
              <c:layout>
                <c:manualLayout>
                  <c:x val="-7.5300815222500983E-2"/>
                  <c:y val="0.214316111555574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906-461E-B7E1-556BA1CCF917}"/>
                </c:ext>
              </c:extLst>
            </c:dLbl>
            <c:dLbl>
              <c:idx val="26"/>
              <c:layout>
                <c:manualLayout>
                  <c:x val="-0.10642209231894818"/>
                  <c:y val="0.20415877159740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906-461E-B7E1-556BA1CCF917}"/>
                </c:ext>
              </c:extLst>
            </c:dLbl>
            <c:dLbl>
              <c:idx val="27"/>
              <c:layout>
                <c:manualLayout>
                  <c:x val="-0.1331148314426196"/>
                  <c:y val="0.19292966721405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906-461E-B7E1-556BA1CCF917}"/>
                </c:ext>
              </c:extLst>
            </c:dLbl>
            <c:dLbl>
              <c:idx val="28"/>
              <c:layout>
                <c:manualLayout>
                  <c:x val="-0.16683261127012589"/>
                  <c:y val="0.18380155277793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906-461E-B7E1-556BA1CCF917}"/>
                </c:ext>
              </c:extLst>
            </c:dLbl>
            <c:dLbl>
              <c:idx val="29"/>
              <c:layout>
                <c:manualLayout>
                  <c:x val="-0.17974566298024627"/>
                  <c:y val="0.1674825174825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906-461E-B7E1-556BA1CCF917}"/>
                </c:ext>
              </c:extLst>
            </c:dLbl>
            <c:dLbl>
              <c:idx val="30"/>
              <c:layout>
                <c:manualLayout>
                  <c:x val="-0.2167730271339845"/>
                  <c:y val="0.134120551364645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906-461E-B7E1-556BA1CCF917}"/>
                </c:ext>
              </c:extLst>
            </c:dLbl>
            <c:dLbl>
              <c:idx val="31"/>
              <c:layout>
                <c:manualLayout>
                  <c:x val="-0.23966243081001012"/>
                  <c:y val="0.10513811647669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906-461E-B7E1-556BA1CCF917}"/>
                </c:ext>
              </c:extLst>
            </c:dLbl>
            <c:dLbl>
              <c:idx val="32"/>
              <c:layout>
                <c:manualLayout>
                  <c:x val="-0.24835893038122711"/>
                  <c:y val="7.9861241121083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906-461E-B7E1-556BA1CCF917}"/>
                </c:ext>
              </c:extLst>
            </c:dLbl>
            <c:dLbl>
              <c:idx val="33"/>
              <c:layout>
                <c:manualLayout>
                  <c:x val="-0.25793752216718163"/>
                  <c:y val="4.2509506778439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906-461E-B7E1-556BA1CCF917}"/>
                </c:ext>
              </c:extLst>
            </c:dLbl>
            <c:dLbl>
              <c:idx val="34"/>
              <c:layout>
                <c:manualLayout>
                  <c:x val="-0.25677362225313721"/>
                  <c:y val="1.0292483637031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906-461E-B7E1-556BA1CCF917}"/>
                </c:ext>
              </c:extLst>
            </c:dLbl>
            <c:dLbl>
              <c:idx val="35"/>
              <c:layout>
                <c:manualLayout>
                  <c:x val="-0.25748493811276774"/>
                  <c:y val="-1.1861066738291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906-461E-B7E1-556BA1CCF917}"/>
                </c:ext>
              </c:extLst>
            </c:dLbl>
            <c:dLbl>
              <c:idx val="36"/>
              <c:layout>
                <c:manualLayout>
                  <c:x val="-0.2563027539602088"/>
                  <c:y val="-3.9273196774999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906-461E-B7E1-556BA1CCF917}"/>
                </c:ext>
              </c:extLst>
            </c:dLbl>
            <c:dLbl>
              <c:idx val="37"/>
              <c:layout>
                <c:manualLayout>
                  <c:x val="-0.25209144811476281"/>
                  <c:y val="-6.9643925628177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906-461E-B7E1-556BA1CCF917}"/>
                </c:ext>
              </c:extLst>
            </c:dLbl>
            <c:dLbl>
              <c:idx val="38"/>
              <c:layout>
                <c:manualLayout>
                  <c:x val="-0.23953027872935329"/>
                  <c:y val="-0.105932859791127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906-461E-B7E1-556BA1CCF917}"/>
                </c:ext>
              </c:extLst>
            </c:dLbl>
            <c:dLbl>
              <c:idx val="39"/>
              <c:layout>
                <c:manualLayout>
                  <c:x val="-0.22208311346372683"/>
                  <c:y val="-0.1311385986985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906-461E-B7E1-556BA1CCF917}"/>
                </c:ext>
              </c:extLst>
            </c:dLbl>
            <c:dLbl>
              <c:idx val="40"/>
              <c:layout>
                <c:manualLayout>
                  <c:x val="-0.2061017059784348"/>
                  <c:y val="-0.16667373490342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906-461E-B7E1-556BA1CCF917}"/>
                </c:ext>
              </c:extLst>
            </c:dLbl>
            <c:dLbl>
              <c:idx val="41"/>
              <c:layout>
                <c:manualLayout>
                  <c:x val="-0.17533641032819619"/>
                  <c:y val="-0.19317547604574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906-461E-B7E1-556BA1CCF917}"/>
                </c:ext>
              </c:extLst>
            </c:dLbl>
            <c:dLbl>
              <c:idx val="42"/>
              <c:layout>
                <c:manualLayout>
                  <c:x val="-0.15312577904618402"/>
                  <c:y val="-0.21228817672476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906-461E-B7E1-556BA1CCF917}"/>
                </c:ext>
              </c:extLst>
            </c:dLbl>
            <c:dLbl>
              <c:idx val="43"/>
              <c:layout>
                <c:manualLayout>
                  <c:x val="-0.12426499327218665"/>
                  <c:y val="-0.2361999274327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906-461E-B7E1-556BA1CCF917}"/>
                </c:ext>
              </c:extLst>
            </c:dLbl>
            <c:dLbl>
              <c:idx val="44"/>
              <c:layout>
                <c:manualLayout>
                  <c:x val="-8.7456043800976491E-2"/>
                  <c:y val="-0.25947488914119904"/>
                </c:manualLayout>
              </c:layout>
              <c:showLegendKey val="0"/>
              <c:showVal val="1"/>
              <c:showCatName val="0"/>
              <c:showSerName val="0"/>
              <c:showPercent val="0"/>
              <c:showBubbleSize val="0"/>
              <c:extLst>
                <c:ext xmlns:c15="http://schemas.microsoft.com/office/drawing/2012/chart" uri="{CE6537A1-D6FC-4f65-9D91-7224C49458BB}">
                  <c15:layout>
                    <c:manualLayout>
                      <c:w val="4.0991730872350626E-2"/>
                      <c:h val="3.2667686983928801E-2"/>
                    </c:manualLayout>
                  </c15:layout>
                </c:ext>
                <c:ext xmlns:c16="http://schemas.microsoft.com/office/drawing/2014/chart" uri="{C3380CC4-5D6E-409C-BE32-E72D297353CC}">
                  <c16:uniqueId val="{0000002C-0906-461E-B7E1-556BA1CCF917}"/>
                </c:ext>
              </c:extLst>
            </c:dLbl>
            <c:dLbl>
              <c:idx val="45"/>
              <c:layout>
                <c:manualLayout>
                  <c:x val="-5.8892181488066679E-2"/>
                  <c:y val="-0.26906266490413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906-461E-B7E1-556BA1CCF917}"/>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'prehľad zaradenych_2024'!$A$2:$A$47</c:f>
              <c:strCache>
                <c:ptCount val="46"/>
                <c:pt idx="0">
                  <c:v>BA</c:v>
                </c:pt>
                <c:pt idx="1">
                  <c:v>KE</c:v>
                </c:pt>
                <c:pt idx="2">
                  <c:v>BJ</c:v>
                </c:pt>
                <c:pt idx="3">
                  <c:v>PO</c:v>
                </c:pt>
                <c:pt idx="4">
                  <c:v>PD</c:v>
                </c:pt>
                <c:pt idx="5">
                  <c:v>PP</c:v>
                </c:pt>
                <c:pt idx="6">
                  <c:v>RS</c:v>
                </c:pt>
                <c:pt idx="7">
                  <c:v>SN</c:v>
                </c:pt>
                <c:pt idx="8">
                  <c:v>TN</c:v>
                </c:pt>
                <c:pt idx="9">
                  <c:v>KK</c:v>
                </c:pt>
                <c:pt idx="10">
                  <c:v>LC</c:v>
                </c:pt>
                <c:pt idx="11">
                  <c:v>PK</c:v>
                </c:pt>
                <c:pt idx="12">
                  <c:v>TT</c:v>
                </c:pt>
                <c:pt idx="13">
                  <c:v>HE</c:v>
                </c:pt>
                <c:pt idx="14">
                  <c:v>PE</c:v>
                </c:pt>
                <c:pt idx="15">
                  <c:v>VT</c:v>
                </c:pt>
                <c:pt idx="16">
                  <c:v>NO</c:v>
                </c:pt>
                <c:pt idx="17">
                  <c:v>BS</c:v>
                </c:pt>
                <c:pt idx="18">
                  <c:v>MT</c:v>
                </c:pt>
                <c:pt idx="19">
                  <c:v>ZA</c:v>
                </c:pt>
                <c:pt idx="20">
                  <c:v>NR</c:v>
                </c:pt>
                <c:pt idx="21">
                  <c:v>MI</c:v>
                </c:pt>
                <c:pt idx="22">
                  <c:v>NZ</c:v>
                </c:pt>
                <c:pt idx="23">
                  <c:v>SE</c:v>
                </c:pt>
                <c:pt idx="24">
                  <c:v>LV</c:v>
                </c:pt>
                <c:pt idx="25">
                  <c:v>BB</c:v>
                </c:pt>
                <c:pt idx="26">
                  <c:v>CA</c:v>
                </c:pt>
                <c:pt idx="27">
                  <c:v>ZV</c:v>
                </c:pt>
                <c:pt idx="28">
                  <c:v>BR</c:v>
                </c:pt>
                <c:pt idx="29">
                  <c:v>RK</c:v>
                </c:pt>
                <c:pt idx="30">
                  <c:v>LM</c:v>
                </c:pt>
                <c:pt idx="31">
                  <c:v>NM</c:v>
                </c:pt>
                <c:pt idx="32">
                  <c:v>TV</c:v>
                </c:pt>
                <c:pt idx="33">
                  <c:v>TO</c:v>
                </c:pt>
                <c:pt idx="34">
                  <c:v>RV</c:v>
                </c:pt>
                <c:pt idx="35">
                  <c:v>RA</c:v>
                </c:pt>
                <c:pt idx="36">
                  <c:v>GA</c:v>
                </c:pt>
                <c:pt idx="37">
                  <c:v>PN</c:v>
                </c:pt>
                <c:pt idx="38">
                  <c:v>PB</c:v>
                </c:pt>
                <c:pt idx="39">
                  <c:v>MA</c:v>
                </c:pt>
                <c:pt idx="40">
                  <c:v>DS</c:v>
                </c:pt>
                <c:pt idx="41">
                  <c:v>KN</c:v>
                </c:pt>
                <c:pt idx="42">
                  <c:v>SL</c:v>
                </c:pt>
                <c:pt idx="43">
                  <c:v>DK</c:v>
                </c:pt>
                <c:pt idx="44">
                  <c:v>ST</c:v>
                </c:pt>
                <c:pt idx="45">
                  <c:v>VK</c:v>
                </c:pt>
              </c:strCache>
            </c:strRef>
          </c:cat>
          <c:val>
            <c:numRef>
              <c:f>'prehľad zaradenych_2024'!$B$2:$B$47</c:f>
              <c:numCache>
                <c:formatCode>#\ ##0;\-#\ ##0;\0</c:formatCode>
                <c:ptCount val="46"/>
                <c:pt idx="0">
                  <c:v>508</c:v>
                </c:pt>
                <c:pt idx="1">
                  <c:v>328</c:v>
                </c:pt>
                <c:pt idx="2">
                  <c:v>266</c:v>
                </c:pt>
                <c:pt idx="3">
                  <c:v>261</c:v>
                </c:pt>
                <c:pt idx="4">
                  <c:v>209</c:v>
                </c:pt>
                <c:pt idx="5">
                  <c:v>203</c:v>
                </c:pt>
                <c:pt idx="6">
                  <c:v>181</c:v>
                </c:pt>
                <c:pt idx="7" formatCode="#,##0">
                  <c:v>179</c:v>
                </c:pt>
                <c:pt idx="8">
                  <c:v>166</c:v>
                </c:pt>
                <c:pt idx="9">
                  <c:v>166</c:v>
                </c:pt>
                <c:pt idx="10">
                  <c:v>152</c:v>
                </c:pt>
                <c:pt idx="11">
                  <c:v>134</c:v>
                </c:pt>
                <c:pt idx="12">
                  <c:v>134</c:v>
                </c:pt>
                <c:pt idx="13">
                  <c:v>133</c:v>
                </c:pt>
                <c:pt idx="14">
                  <c:v>132</c:v>
                </c:pt>
                <c:pt idx="15">
                  <c:v>130</c:v>
                </c:pt>
                <c:pt idx="16">
                  <c:v>129</c:v>
                </c:pt>
                <c:pt idx="17" formatCode="#,##0">
                  <c:v>126</c:v>
                </c:pt>
                <c:pt idx="18">
                  <c:v>124</c:v>
                </c:pt>
                <c:pt idx="19">
                  <c:v>123</c:v>
                </c:pt>
                <c:pt idx="20">
                  <c:v>121</c:v>
                </c:pt>
                <c:pt idx="21">
                  <c:v>121</c:v>
                </c:pt>
                <c:pt idx="22">
                  <c:v>119</c:v>
                </c:pt>
                <c:pt idx="23">
                  <c:v>118</c:v>
                </c:pt>
                <c:pt idx="24">
                  <c:v>107</c:v>
                </c:pt>
                <c:pt idx="25">
                  <c:v>105</c:v>
                </c:pt>
                <c:pt idx="26">
                  <c:v>102</c:v>
                </c:pt>
                <c:pt idx="27">
                  <c:v>100</c:v>
                </c:pt>
                <c:pt idx="28">
                  <c:v>96</c:v>
                </c:pt>
                <c:pt idx="29">
                  <c:v>89</c:v>
                </c:pt>
                <c:pt idx="30">
                  <c:v>84</c:v>
                </c:pt>
                <c:pt idx="31">
                  <c:v>73</c:v>
                </c:pt>
                <c:pt idx="32">
                  <c:v>73</c:v>
                </c:pt>
                <c:pt idx="33">
                  <c:v>72</c:v>
                </c:pt>
                <c:pt idx="34">
                  <c:v>71</c:v>
                </c:pt>
                <c:pt idx="35">
                  <c:v>70</c:v>
                </c:pt>
                <c:pt idx="36">
                  <c:v>68</c:v>
                </c:pt>
                <c:pt idx="37" formatCode="#,##0">
                  <c:v>68</c:v>
                </c:pt>
                <c:pt idx="38">
                  <c:v>66</c:v>
                </c:pt>
                <c:pt idx="39">
                  <c:v>64</c:v>
                </c:pt>
                <c:pt idx="40">
                  <c:v>63</c:v>
                </c:pt>
                <c:pt idx="41">
                  <c:v>58</c:v>
                </c:pt>
                <c:pt idx="42">
                  <c:v>57</c:v>
                </c:pt>
                <c:pt idx="43">
                  <c:v>54</c:v>
                </c:pt>
                <c:pt idx="44">
                  <c:v>54</c:v>
                </c:pt>
                <c:pt idx="45">
                  <c:v>47</c:v>
                </c:pt>
              </c:numCache>
            </c:numRef>
          </c:val>
          <c:extLst>
            <c:ext xmlns:c16="http://schemas.microsoft.com/office/drawing/2014/chart" uri="{C3380CC4-5D6E-409C-BE32-E72D297353CC}">
              <c16:uniqueId val="{0000002E-0906-461E-B7E1-556BA1CCF917}"/>
            </c:ext>
          </c:extLst>
        </c:ser>
        <c:dLbls>
          <c:showLegendKey val="0"/>
          <c:showVal val="1"/>
          <c:showCatName val="0"/>
          <c:showSerName val="0"/>
          <c:showPercent val="0"/>
          <c:showBubbleSize val="0"/>
        </c:dLbls>
        <c:axId val="452542840"/>
        <c:axId val="452542056"/>
      </c:radarChart>
      <c:catAx>
        <c:axId val="452542840"/>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452542056"/>
        <c:crosses val="autoZero"/>
        <c:auto val="1"/>
        <c:lblAlgn val="ctr"/>
        <c:lblOffset val="100"/>
        <c:noMultiLvlLbl val="0"/>
      </c:catAx>
      <c:valAx>
        <c:axId val="452542056"/>
        <c:scaling>
          <c:orientation val="minMax"/>
        </c:scaling>
        <c:delete val="0"/>
        <c:axPos val="l"/>
        <c:majorGridlines/>
        <c:minorGridlines>
          <c:spPr>
            <a:ln>
              <a:noFill/>
            </a:ln>
          </c:spPr>
        </c:minorGridlines>
        <c:numFmt formatCode="#\ ##0;\-#\ ##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452542840"/>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UoZ zaradených na rekvalifikáciu v roku 2024</a:t>
            </a:r>
          </a:p>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 v štruktúre podľa znevýhodnenia</a:t>
            </a:r>
            <a:endParaRPr lang="en-US" sz="1200" b="1" i="0" u="none" strike="noStrike" kern="1200" baseline="0">
              <a:solidFill>
                <a:srgbClr val="002060"/>
              </a:solidFill>
              <a:latin typeface="+mn-lt"/>
              <a:ea typeface="+mn-ea"/>
              <a:cs typeface="+mn-cs"/>
            </a:endParaRPr>
          </a:p>
        </c:rich>
      </c:tx>
      <c:layout>
        <c:manualLayout>
          <c:xMode val="edge"/>
          <c:yMode val="edge"/>
          <c:x val="0.20845319147136684"/>
          <c:y val="5.606293305609867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62868612011734"/>
          <c:y val="0.20475704785606463"/>
          <c:w val="0.87928852492537046"/>
          <c:h val="0.59308939323761001"/>
        </c:manualLayout>
      </c:layout>
      <c:bar3DChart>
        <c:barDir val="col"/>
        <c:grouping val="clustered"/>
        <c:varyColors val="0"/>
        <c:ser>
          <c:idx val="0"/>
          <c:order val="0"/>
          <c:tx>
            <c:v>Počet UoZ</c:v>
          </c:tx>
          <c:spPr>
            <a:scene3d>
              <a:camera prst="orthographicFront"/>
              <a:lightRig rig="threePt" dir="t"/>
            </a:scene3d>
            <a:sp3d prstMaterial="matte"/>
          </c:spPr>
          <c:invertIfNegative val="0"/>
          <c:cat>
            <c:strRef>
              <c:f>znevýhodnenie_2024!$A$3:$I$3</c:f>
              <c:strCache>
                <c:ptCount val="9"/>
                <c:pt idx="0">
                  <c:v>absolvent školy</c:v>
                </c:pt>
                <c:pt idx="1">
                  <c:v>UoZ nad 50 rokov</c:v>
                </c:pt>
                <c:pt idx="2">
                  <c:v>dlhodobo nezames. UoZ</c:v>
                </c:pt>
                <c:pt idx="3">
                  <c:v>UoZ s nižším vzdelaním ako str. odb.</c:v>
                </c:pt>
                <c:pt idx="4">
                  <c:v>UoZ bez pravid. plateného zamestnania</c:v>
                </c:pt>
                <c:pt idx="5">
                  <c:v>štátny príslušník tretej krajiny</c:v>
                </c:pt>
                <c:pt idx="6">
                  <c:v>UoZ, ktorý žije ako osamelý rodič</c:v>
                </c:pt>
                <c:pt idx="7">
                  <c:v>UoZ so zdravotným postihnutím</c:v>
                </c:pt>
                <c:pt idx="8">
                  <c:v>UoZ po poberaní mater./rodič. príspevku </c:v>
                </c:pt>
              </c:strCache>
            </c:strRef>
          </c:cat>
          <c:val>
            <c:numRef>
              <c:f>znevýhodnenie_2024!$A$4:$I$4</c:f>
              <c:numCache>
                <c:formatCode>#,##0</c:formatCode>
                <c:ptCount val="9"/>
                <c:pt idx="0">
                  <c:v>293</c:v>
                </c:pt>
                <c:pt idx="1">
                  <c:v>1115</c:v>
                </c:pt>
                <c:pt idx="2">
                  <c:v>1203</c:v>
                </c:pt>
                <c:pt idx="3">
                  <c:v>653</c:v>
                </c:pt>
                <c:pt idx="4">
                  <c:v>2338</c:v>
                </c:pt>
                <c:pt idx="5">
                  <c:v>0</c:v>
                </c:pt>
                <c:pt idx="6">
                  <c:v>63</c:v>
                </c:pt>
                <c:pt idx="7">
                  <c:v>294</c:v>
                </c:pt>
                <c:pt idx="8">
                  <c:v>115</c:v>
                </c:pt>
              </c:numCache>
            </c:numRef>
          </c:val>
          <c:shape val="cylinder"/>
          <c:extLst>
            <c:ext xmlns:c16="http://schemas.microsoft.com/office/drawing/2014/chart" uri="{C3380CC4-5D6E-409C-BE32-E72D297353CC}">
              <c16:uniqueId val="{00000000-FCEB-4DD1-9180-004A76E00D49}"/>
            </c:ext>
          </c:extLst>
        </c:ser>
        <c:dLbls>
          <c:showLegendKey val="0"/>
          <c:showVal val="0"/>
          <c:showCatName val="0"/>
          <c:showSerName val="0"/>
          <c:showPercent val="0"/>
          <c:showBubbleSize val="0"/>
        </c:dLbls>
        <c:gapWidth val="150"/>
        <c:shape val="box"/>
        <c:axId val="459666784"/>
        <c:axId val="459664432"/>
        <c:axId val="0"/>
      </c:bar3DChart>
      <c:catAx>
        <c:axId val="459666784"/>
        <c:scaling>
          <c:orientation val="minMax"/>
        </c:scaling>
        <c:delete val="0"/>
        <c:axPos val="b"/>
        <c:numFmt formatCode="General" sourceLinked="1"/>
        <c:majorTickMark val="none"/>
        <c:minorTickMark val="none"/>
        <c:tickLblPos val="nextTo"/>
        <c:txPr>
          <a:bodyPr/>
          <a:lstStyle/>
          <a:p>
            <a:pPr>
              <a:defRPr lang="sk-SK"/>
            </a:pPr>
            <a:endParaRPr lang="sk-SK"/>
          </a:p>
        </c:txPr>
        <c:crossAx val="459664432"/>
        <c:crosses val="autoZero"/>
        <c:auto val="1"/>
        <c:lblAlgn val="ctr"/>
        <c:lblOffset val="100"/>
        <c:noMultiLvlLbl val="0"/>
      </c:catAx>
      <c:valAx>
        <c:axId val="459664432"/>
        <c:scaling>
          <c:orientation val="minMax"/>
        </c:scaling>
        <c:delete val="0"/>
        <c:axPos val="l"/>
        <c:numFmt formatCode="#,##0" sourceLinked="1"/>
        <c:majorTickMark val="none"/>
        <c:minorTickMark val="none"/>
        <c:tickLblPos val="nextTo"/>
        <c:txPr>
          <a:bodyPr/>
          <a:lstStyle/>
          <a:p>
            <a:pPr>
              <a:defRPr lang="sk-SK" sz="800"/>
            </a:pPr>
            <a:endParaRPr lang="sk-SK"/>
          </a:p>
        </c:txPr>
        <c:crossAx val="459666784"/>
        <c:crosses val="autoZero"/>
        <c:crossBetween val="between"/>
      </c:valAx>
      <c:dTable>
        <c:showHorzBorder val="1"/>
        <c:showVertBorder val="1"/>
        <c:showOutline val="1"/>
        <c:showKeys val="1"/>
        <c:txPr>
          <a:bodyPr/>
          <a:lstStyle/>
          <a:p>
            <a:pPr rtl="0">
              <a:defRPr lang="sk-SK" sz="700"/>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b="1" i="0" baseline="0">
                <a:solidFill>
                  <a:srgbClr val="002060"/>
                </a:solidFill>
                <a:effectLst/>
                <a:latin typeface="+mn-lt"/>
              </a:rPr>
              <a:t>Prehľad UoZ zaradených na rekvalifikáciu </a:t>
            </a:r>
            <a:endParaRPr lang="sk-SK" sz="1200">
              <a:solidFill>
                <a:srgbClr val="002060"/>
              </a:solidFill>
              <a:effectLst/>
              <a:latin typeface="+mn-lt"/>
            </a:endParaRPr>
          </a:p>
          <a:p>
            <a:pPr>
              <a:defRPr sz="1200">
                <a:solidFill>
                  <a:srgbClr val="002060"/>
                </a:solidFill>
              </a:defRPr>
            </a:pPr>
            <a:r>
              <a:rPr lang="sk-SK" sz="1200" b="1" i="0" baseline="0">
                <a:solidFill>
                  <a:srgbClr val="002060"/>
                </a:solidFill>
                <a:effectLst/>
                <a:latin typeface="+mn-lt"/>
              </a:rPr>
              <a:t>v roku 2024 v štruktúre podľa vekových kategórií</a:t>
            </a:r>
            <a:endParaRPr lang="sk-SK" sz="1200">
              <a:solidFill>
                <a:srgbClr val="002060"/>
              </a:solidFill>
              <a:effectLst/>
              <a:latin typeface="+mn-lt"/>
            </a:endParaRPr>
          </a:p>
        </c:rich>
      </c:tx>
      <c:layout>
        <c:manualLayout>
          <c:xMode val="edge"/>
          <c:yMode val="edge"/>
          <c:x val="0.18547372961145389"/>
          <c:y val="9.2591771099035155E-3"/>
        </c:manualLayout>
      </c:layout>
      <c:overlay val="0"/>
    </c:title>
    <c:autoTitleDeleted val="0"/>
    <c:plotArea>
      <c:layout>
        <c:manualLayout>
          <c:layoutTarget val="inner"/>
          <c:xMode val="edge"/>
          <c:yMode val="edge"/>
          <c:x val="0.25610786275477948"/>
          <c:y val="0.17515133536187416"/>
          <c:w val="0.40188872430550143"/>
          <c:h val="0.78647330547621264"/>
        </c:manualLayout>
      </c:layout>
      <c:pieChart>
        <c:varyColors val="1"/>
        <c:ser>
          <c:idx val="0"/>
          <c:order val="0"/>
          <c:explosion val="13"/>
          <c:dPt>
            <c:idx val="0"/>
            <c:bubble3D val="0"/>
            <c:explosion val="6"/>
            <c:extLst>
              <c:ext xmlns:c16="http://schemas.microsoft.com/office/drawing/2014/chart" uri="{C3380CC4-5D6E-409C-BE32-E72D297353CC}">
                <c16:uniqueId val="{00000001-BF74-4A4A-A17C-D04B9316A90D}"/>
              </c:ext>
            </c:extLst>
          </c:dPt>
          <c:dPt>
            <c:idx val="1"/>
            <c:bubble3D val="0"/>
            <c:explosion val="3"/>
            <c:extLst>
              <c:ext xmlns:c16="http://schemas.microsoft.com/office/drawing/2014/chart" uri="{C3380CC4-5D6E-409C-BE32-E72D297353CC}">
                <c16:uniqueId val="{00000002-BF74-4A4A-A17C-D04B9316A90D}"/>
              </c:ext>
            </c:extLst>
          </c:dPt>
          <c:dPt>
            <c:idx val="2"/>
            <c:bubble3D val="0"/>
            <c:explosion val="4"/>
            <c:extLst>
              <c:ext xmlns:c16="http://schemas.microsoft.com/office/drawing/2014/chart" uri="{C3380CC4-5D6E-409C-BE32-E72D297353CC}">
                <c16:uniqueId val="{00000003-BF74-4A4A-A17C-D04B9316A90D}"/>
              </c:ext>
            </c:extLst>
          </c:dPt>
          <c:dPt>
            <c:idx val="3"/>
            <c:bubble3D val="0"/>
            <c:explosion val="3"/>
            <c:extLst>
              <c:ext xmlns:c16="http://schemas.microsoft.com/office/drawing/2014/chart" uri="{C3380CC4-5D6E-409C-BE32-E72D297353CC}">
                <c16:uniqueId val="{00000004-BF74-4A4A-A17C-D04B9316A90D}"/>
              </c:ext>
            </c:extLst>
          </c:dPt>
          <c:dLbls>
            <c:dLbl>
              <c:idx val="1"/>
              <c:layout>
                <c:manualLayout>
                  <c:x val="0.10881205981516839"/>
                  <c:y val="-0.1434207838557626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F74-4A4A-A17C-D04B9316A90D}"/>
                </c:ext>
              </c:extLst>
            </c:dLbl>
            <c:dLbl>
              <c:idx val="2"/>
              <c:layout>
                <c:manualLayout>
                  <c:x val="0.10547015290423362"/>
                  <c:y val="6.7804279939460033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F74-4A4A-A17C-D04B9316A90D}"/>
                </c:ext>
              </c:extLst>
            </c:dLbl>
            <c:dLbl>
              <c:idx val="3"/>
              <c:layout>
                <c:manualLayout>
                  <c:x val="7.548977219530921E-2"/>
                  <c:y val="0.15441653734888977"/>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BF74-4A4A-A17C-D04B9316A90D}"/>
                </c:ext>
              </c:extLst>
            </c:dLbl>
            <c:numFmt formatCode="0.00%" sourceLinked="0"/>
            <c:spPr>
              <a:noFill/>
              <a:ln>
                <a:noFill/>
              </a:ln>
              <a:effectLst/>
            </c:spPr>
            <c:txPr>
              <a:bodyPr wrap="square" lIns="38100" tIns="19050" rIns="38100" bIns="19050" anchor="ctr">
                <a:spAutoFit/>
              </a:bodyPr>
              <a:lstStyle/>
              <a:p>
                <a:pPr>
                  <a:defRPr sz="800"/>
                </a:pPr>
                <a:endParaRPr lang="sk-SK"/>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extLst>
          </c:dLbls>
          <c:cat>
            <c:strRef>
              <c:f>vek_2024!$B$11:$B$14</c:f>
              <c:strCache>
                <c:ptCount val="4"/>
                <c:pt idx="0">
                  <c:v>30 - 49 r.</c:v>
                </c:pt>
                <c:pt idx="1">
                  <c:v>50 a viac r.</c:v>
                </c:pt>
                <c:pt idx="2">
                  <c:v>do 24 r.</c:v>
                </c:pt>
                <c:pt idx="3">
                  <c:v>25 - 29 r.</c:v>
                </c:pt>
              </c:strCache>
            </c:strRef>
          </c:cat>
          <c:val>
            <c:numRef>
              <c:f>vek_2024!$C$11:$C$14</c:f>
              <c:numCache>
                <c:formatCode>#,##0</c:formatCode>
                <c:ptCount val="4"/>
                <c:pt idx="0">
                  <c:v>3273</c:v>
                </c:pt>
                <c:pt idx="1">
                  <c:v>1121</c:v>
                </c:pt>
                <c:pt idx="2">
                  <c:v>750</c:v>
                </c:pt>
                <c:pt idx="3">
                  <c:v>760</c:v>
                </c:pt>
              </c:numCache>
            </c:numRef>
          </c:val>
          <c:extLst>
            <c:ext xmlns:c16="http://schemas.microsoft.com/office/drawing/2014/chart" uri="{C3380CC4-5D6E-409C-BE32-E72D297353CC}">
              <c16:uniqueId val="{00000005-BF74-4A4A-A17C-D04B9316A90D}"/>
            </c:ext>
          </c:extLst>
        </c:ser>
        <c:ser>
          <c:idx val="1"/>
          <c:order val="1"/>
          <c:explosion val="25"/>
          <c:cat>
            <c:strRef>
              <c:f>vek_2024!$B$11:$B$14</c:f>
              <c:strCache>
                <c:ptCount val="4"/>
                <c:pt idx="0">
                  <c:v>30 - 49 r.</c:v>
                </c:pt>
                <c:pt idx="1">
                  <c:v>50 a viac r.</c:v>
                </c:pt>
                <c:pt idx="2">
                  <c:v>do 24 r.</c:v>
                </c:pt>
                <c:pt idx="3">
                  <c:v>25 - 29 r.</c:v>
                </c:pt>
              </c:strCache>
            </c:strRef>
          </c:cat>
          <c:val>
            <c:numRef>
              <c:f>vek_2024!$D$11:$D$14</c:f>
              <c:numCache>
                <c:formatCode>0.00</c:formatCode>
                <c:ptCount val="4"/>
                <c:pt idx="0">
                  <c:v>55.436991869918693</c:v>
                </c:pt>
                <c:pt idx="1">
                  <c:v>18.987127371273711</c:v>
                </c:pt>
                <c:pt idx="2">
                  <c:v>12.703252032520327</c:v>
                </c:pt>
                <c:pt idx="3">
                  <c:v>12.872628726287264</c:v>
                </c:pt>
              </c:numCache>
            </c:numRef>
          </c:val>
          <c:extLst>
            <c:ext xmlns:c16="http://schemas.microsoft.com/office/drawing/2014/chart" uri="{C3380CC4-5D6E-409C-BE32-E72D297353CC}">
              <c16:uniqueId val="{00000006-BF74-4A4A-A17C-D04B9316A90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sk-SK" sz="1200" b="1" i="0" baseline="0">
                <a:effectLst/>
                <a:latin typeface="+mn-lt"/>
              </a:rPr>
              <a:t>Prehľad UoZ zaradených na rekvalifikáciu v roku 2024 </a:t>
            </a:r>
            <a:endParaRPr lang="sk-SK" sz="1200" b="1">
              <a:effectLst/>
              <a:latin typeface="+mn-lt"/>
            </a:endParaRPr>
          </a:p>
          <a:p>
            <a:pPr>
              <a:defRPr/>
            </a:pPr>
            <a:r>
              <a:rPr lang="sk-SK" sz="1200" b="1" i="0" baseline="0">
                <a:effectLst/>
                <a:latin typeface="+mn-lt"/>
              </a:rPr>
              <a:t>v štruktúre podľa vzdelania</a:t>
            </a:r>
            <a:endParaRPr lang="sk-SK" sz="1200" b="1">
              <a:effectLst/>
              <a:latin typeface="+mn-l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sk-SK"/>
        </a:p>
      </c:txPr>
    </c:title>
    <c:autoTitleDeleted val="0"/>
    <c:plotArea>
      <c:layout/>
      <c:barChart>
        <c:barDir val="col"/>
        <c:grouping val="clustered"/>
        <c:varyColors val="0"/>
        <c:ser>
          <c:idx val="0"/>
          <c:order val="0"/>
          <c:tx>
            <c:v>Vzdelanie</c:v>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vzdelanie_2024!$B$5:$L$5</c:f>
              <c:strCache>
                <c:ptCount val="11"/>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pt idx="10">
                  <c:v>neurčené</c:v>
                </c:pt>
              </c:strCache>
            </c:strRef>
          </c:cat>
          <c:val>
            <c:numRef>
              <c:f>vzdelanie_2024!$B$6:$L$6</c:f>
              <c:numCache>
                <c:formatCode>#,##0</c:formatCode>
                <c:ptCount val="11"/>
                <c:pt idx="0">
                  <c:v>59</c:v>
                </c:pt>
                <c:pt idx="1">
                  <c:v>562</c:v>
                </c:pt>
                <c:pt idx="2">
                  <c:v>34</c:v>
                </c:pt>
                <c:pt idx="3">
                  <c:v>993</c:v>
                </c:pt>
                <c:pt idx="4">
                  <c:v>2309</c:v>
                </c:pt>
                <c:pt idx="5">
                  <c:v>349</c:v>
                </c:pt>
                <c:pt idx="6">
                  <c:v>36</c:v>
                </c:pt>
                <c:pt idx="7">
                  <c:v>259</c:v>
                </c:pt>
                <c:pt idx="8">
                  <c:v>1260</c:v>
                </c:pt>
                <c:pt idx="9">
                  <c:v>40</c:v>
                </c:pt>
                <c:pt idx="10">
                  <c:v>3</c:v>
                </c:pt>
              </c:numCache>
            </c:numRef>
          </c:val>
          <c:extLst>
            <c:ext xmlns:c16="http://schemas.microsoft.com/office/drawing/2014/chart" uri="{C3380CC4-5D6E-409C-BE32-E72D297353CC}">
              <c16:uniqueId val="{00000000-0E14-4727-8F9A-3C78BAB71666}"/>
            </c:ext>
          </c:extLst>
        </c:ser>
        <c:dLbls>
          <c:showLegendKey val="0"/>
          <c:showVal val="0"/>
          <c:showCatName val="0"/>
          <c:showSerName val="0"/>
          <c:showPercent val="0"/>
          <c:showBubbleSize val="0"/>
        </c:dLbls>
        <c:gapWidth val="150"/>
        <c:axId val="459663256"/>
        <c:axId val="459663648"/>
      </c:barChart>
      <c:catAx>
        <c:axId val="45966325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459663648"/>
        <c:crosses val="autoZero"/>
        <c:auto val="1"/>
        <c:lblAlgn val="ctr"/>
        <c:lblOffset val="100"/>
        <c:noMultiLvlLbl val="0"/>
      </c:catAx>
      <c:valAx>
        <c:axId val="459663648"/>
        <c:scaling>
          <c:orientation val="minMax"/>
        </c:scaling>
        <c:delete val="0"/>
        <c:axPos val="l"/>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45966325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sk-SK"/>
          </a:p>
        </c:txPr>
      </c:dTable>
      <c:spPr>
        <a:noFill/>
        <a:ln w="25400">
          <a:noFill/>
        </a:ln>
        <a:effectLst/>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a:ln w="9525" cap="flat" cmpd="sng" algn="ctr">
      <a:solidFill>
        <a:schemeClr val="tx1">
          <a:tint val="75000"/>
          <a:shade val="95000"/>
          <a:satMod val="105000"/>
        </a:schemeClr>
      </a:solidFill>
      <a:prstDash val="solid"/>
      <a:round/>
    </a:ln>
    <a:effectLst/>
  </c:spPr>
  <c:txPr>
    <a:bodyPr/>
    <a:lstStyle/>
    <a:p>
      <a:pPr>
        <a:defRPr/>
      </a:pPr>
      <a:endParaRPr lang="sk-S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Prehľad </a:t>
            </a:r>
            <a:r>
              <a:rPr lang="en-US" sz="1200"/>
              <a:t>UoZ zaraden</a:t>
            </a:r>
            <a:r>
              <a:rPr lang="sk-SK" sz="1200"/>
              <a:t>ých</a:t>
            </a:r>
            <a:r>
              <a:rPr lang="en-US" sz="1200"/>
              <a:t> </a:t>
            </a:r>
            <a:r>
              <a:rPr lang="sk-SK" sz="1200"/>
              <a:t>na rekvalifikáciu v roku 2024 </a:t>
            </a:r>
          </a:p>
          <a:p>
            <a:pPr>
              <a:defRPr sz="1200"/>
            </a:pPr>
            <a:r>
              <a:rPr lang="sk-SK" sz="1200"/>
              <a:t>v štruktúre podľa vzdelávacích kategórií</a:t>
            </a:r>
            <a:r>
              <a:rPr lang="en-US" sz="1200"/>
              <a:t> </a:t>
            </a:r>
            <a:endParaRPr lang="sk-SK" sz="1200"/>
          </a:p>
        </c:rich>
      </c:tx>
      <c:layout>
        <c:manualLayout>
          <c:xMode val="edge"/>
          <c:yMode val="edge"/>
          <c:x val="0.26745159472866942"/>
          <c:y val="5.1774419408540662E-2"/>
        </c:manualLayout>
      </c:layout>
      <c:overlay val="0"/>
    </c:title>
    <c:autoTitleDeleted val="0"/>
    <c:plotArea>
      <c:layout>
        <c:manualLayout>
          <c:layoutTarget val="inner"/>
          <c:xMode val="edge"/>
          <c:yMode val="edge"/>
          <c:x val="8.4927438544890058E-2"/>
          <c:y val="0.19960614014157321"/>
          <c:w val="0.88827917430823244"/>
          <c:h val="0.56247486488553933"/>
        </c:manualLayout>
      </c:layout>
      <c:barChart>
        <c:barDir val="col"/>
        <c:grouping val="clustered"/>
        <c:varyColors val="0"/>
        <c:ser>
          <c:idx val="0"/>
          <c:order val="0"/>
          <c:spPr>
            <a:solidFill>
              <a:schemeClr val="accent2"/>
            </a:solidFill>
          </c:spPr>
          <c:invertIfNegative val="0"/>
          <c:cat>
            <c:strRef>
              <c:f>'typy kurzov  UoZ'!$A$5:$A$19</c:f>
              <c:strCache>
                <c:ptCount val="15"/>
                <c:pt idx="1">
                  <c:v>Výpočtová technika</c:v>
                </c:pt>
                <c:pt idx="2">
                  <c:v>Manažment, financie, ľudské zdroje</c:v>
                </c:pt>
                <c:pt idx="3">
                  <c:v>Opatrovateľské kurzy</c:v>
                </c:pt>
                <c:pt idx="4">
                  <c:v>Profesia vodiča motorových vozidiel</c:v>
                </c:pt>
                <c:pt idx="5">
                  <c:v>Strážna bezpečnostná služba</c:v>
                </c:pt>
                <c:pt idx="6">
                  <c:v>Zváranie</c:v>
                </c:pt>
                <c:pt idx="7">
                  <c:v>Ostatné odborné a technické kurzy</c:v>
                </c:pt>
                <c:pt idx="8">
                  <c:v>Beauty služby</c:v>
                </c:pt>
                <c:pt idx="9">
                  <c:v>Sociálna oblasť/sociálne zručnosti</c:v>
                </c:pt>
                <c:pt idx="10">
                  <c:v>Starostlivosť o ľudské telo, služby iné</c:v>
                </c:pt>
                <c:pt idx="11">
                  <c:v>Obsluha motorových vozíkov</c:v>
                </c:pt>
                <c:pt idx="12">
                  <c:v>Remeslá</c:v>
                </c:pt>
                <c:pt idx="13">
                  <c:v>Cudzie jazyky</c:v>
                </c:pt>
                <c:pt idx="14">
                  <c:v>Reštauračné služby</c:v>
                </c:pt>
              </c:strCache>
            </c:strRef>
          </c:cat>
          <c:val>
            <c:numRef>
              <c:f>'typy kurzov  UoZ'!$B$5:$B$19</c:f>
              <c:numCache>
                <c:formatCode>#,##0</c:formatCode>
                <c:ptCount val="15"/>
                <c:pt idx="1">
                  <c:v>983</c:v>
                </c:pt>
                <c:pt idx="2">
                  <c:v>969</c:v>
                </c:pt>
                <c:pt idx="3">
                  <c:v>777</c:v>
                </c:pt>
                <c:pt idx="4">
                  <c:v>655</c:v>
                </c:pt>
                <c:pt idx="5">
                  <c:v>544</c:v>
                </c:pt>
                <c:pt idx="6">
                  <c:v>409</c:v>
                </c:pt>
                <c:pt idx="7">
                  <c:v>403</c:v>
                </c:pt>
                <c:pt idx="8">
                  <c:v>273</c:v>
                </c:pt>
                <c:pt idx="9">
                  <c:v>217</c:v>
                </c:pt>
                <c:pt idx="10">
                  <c:v>168</c:v>
                </c:pt>
                <c:pt idx="11">
                  <c:v>129</c:v>
                </c:pt>
                <c:pt idx="12">
                  <c:v>126</c:v>
                </c:pt>
                <c:pt idx="13">
                  <c:v>118</c:v>
                </c:pt>
                <c:pt idx="14">
                  <c:v>116</c:v>
                </c:pt>
              </c:numCache>
            </c:numRef>
          </c:val>
          <c:extLst>
            <c:ext xmlns:c16="http://schemas.microsoft.com/office/drawing/2014/chart" uri="{C3380CC4-5D6E-409C-BE32-E72D297353CC}">
              <c16:uniqueId val="{00000000-6500-4D39-BCA5-056E1F5C7F84}"/>
            </c:ext>
          </c:extLst>
        </c:ser>
        <c:dLbls>
          <c:showLegendKey val="0"/>
          <c:showVal val="0"/>
          <c:showCatName val="0"/>
          <c:showSerName val="0"/>
          <c:showPercent val="0"/>
          <c:showBubbleSize val="0"/>
        </c:dLbls>
        <c:gapWidth val="75"/>
        <c:overlap val="-25"/>
        <c:axId val="452543232"/>
        <c:axId val="377344632"/>
      </c:barChart>
      <c:catAx>
        <c:axId val="452543232"/>
        <c:scaling>
          <c:orientation val="minMax"/>
        </c:scaling>
        <c:delete val="0"/>
        <c:axPos val="b"/>
        <c:numFmt formatCode="General" sourceLinked="1"/>
        <c:majorTickMark val="none"/>
        <c:minorTickMark val="none"/>
        <c:tickLblPos val="nextTo"/>
        <c:txPr>
          <a:bodyPr anchor="t" anchorCtr="0"/>
          <a:lstStyle/>
          <a:p>
            <a:pPr>
              <a:defRPr sz="600"/>
            </a:pPr>
            <a:endParaRPr lang="sk-SK"/>
          </a:p>
        </c:txPr>
        <c:crossAx val="377344632"/>
        <c:crosses val="autoZero"/>
        <c:auto val="1"/>
        <c:lblAlgn val="ctr"/>
        <c:lblOffset val="100"/>
        <c:noMultiLvlLbl val="0"/>
      </c:catAx>
      <c:valAx>
        <c:axId val="377344632"/>
        <c:scaling>
          <c:orientation val="minMax"/>
        </c:scaling>
        <c:delete val="0"/>
        <c:axPos val="l"/>
        <c:numFmt formatCode="#,##0" sourceLinked="1"/>
        <c:majorTickMark val="none"/>
        <c:minorTickMark val="none"/>
        <c:tickLblPos val="nextTo"/>
        <c:crossAx val="452543232"/>
        <c:crosses val="autoZero"/>
        <c:crossBetween val="between"/>
      </c:valAx>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u="none" strike="noStrike" baseline="0">
                <a:solidFill>
                  <a:srgbClr val="002060"/>
                </a:solidFill>
                <a:effectLst/>
              </a:rPr>
              <a:t>rehľad ZoZ zaradených na vzdelávanie v roku 2024 v štruktúre podľa jednotlivých úradov </a:t>
            </a:r>
            <a:endParaRPr lang="sk-SK" sz="1200">
              <a:solidFill>
                <a:srgbClr val="002060"/>
              </a:solidFill>
              <a:effectLst/>
            </a:endParaRPr>
          </a:p>
        </c:rich>
      </c:tx>
      <c:layout>
        <c:manualLayout>
          <c:xMode val="edge"/>
          <c:yMode val="edge"/>
          <c:x val="0.14625307580576302"/>
          <c:y val="2.656270877199449E-2"/>
        </c:manualLayout>
      </c:layout>
      <c:overlay val="0"/>
    </c:title>
    <c:autoTitleDeleted val="0"/>
    <c:plotArea>
      <c:layout>
        <c:manualLayout>
          <c:layoutTarget val="inner"/>
          <c:xMode val="edge"/>
          <c:yMode val="edge"/>
          <c:x val="0.1836605820312065"/>
          <c:y val="0.24745204926307288"/>
          <c:w val="0.59439176264586335"/>
          <c:h val="0.5856506238859180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4.4534216536657248E-3"/>
                  <c:y val="-6.442318790824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06-478E-9AB0-1AB19586C304}"/>
                </c:ext>
              </c:extLst>
            </c:dLbl>
            <c:dLbl>
              <c:idx val="1"/>
              <c:layout>
                <c:manualLayout>
                  <c:x val="2.0898830432265536E-2"/>
                  <c:y val="-0.127893204913533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06-478E-9AB0-1AB19586C304}"/>
                </c:ext>
              </c:extLst>
            </c:dLbl>
            <c:dLbl>
              <c:idx val="2"/>
              <c:layout>
                <c:manualLayout>
                  <c:x val="3.9571521221538848E-2"/>
                  <c:y val="-0.128642873946556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06-478E-9AB0-1AB19586C304}"/>
                </c:ext>
              </c:extLst>
            </c:dLbl>
            <c:dLbl>
              <c:idx val="3"/>
              <c:layout>
                <c:manualLayout>
                  <c:x val="7.4508244107502827E-2"/>
                  <c:y val="-0.147612487162716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06-478E-9AB0-1AB19586C304}"/>
                </c:ext>
              </c:extLst>
            </c:dLbl>
            <c:dLbl>
              <c:idx val="4"/>
              <c:layout>
                <c:manualLayout>
                  <c:x val="9.6720633619129956E-2"/>
                  <c:y val="-0.1410378185644143"/>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3.7261164032817574E-2"/>
                    </c:manualLayout>
                  </c15:layout>
                </c:ext>
                <c:ext xmlns:c16="http://schemas.microsoft.com/office/drawing/2014/chart" uri="{C3380CC4-5D6E-409C-BE32-E72D297353CC}">
                  <c16:uniqueId val="{00000004-D806-478E-9AB0-1AB19586C304}"/>
                </c:ext>
              </c:extLst>
            </c:dLbl>
            <c:dLbl>
              <c:idx val="5"/>
              <c:layout>
                <c:manualLayout>
                  <c:x val="0.11811205660678518"/>
                  <c:y val="-0.12681525483673342"/>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2.793715470880825E-2"/>
                    </c:manualLayout>
                  </c15:layout>
                </c:ext>
                <c:ext xmlns:c16="http://schemas.microsoft.com/office/drawing/2014/chart" uri="{C3380CC4-5D6E-409C-BE32-E72D297353CC}">
                  <c16:uniqueId val="{00000005-D806-478E-9AB0-1AB19586C304}"/>
                </c:ext>
              </c:extLst>
            </c:dLbl>
            <c:dLbl>
              <c:idx val="6"/>
              <c:layout>
                <c:manualLayout>
                  <c:x val="0.1354587357615499"/>
                  <c:y val="-0.11337680128920366"/>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3.7261164032817574E-2"/>
                    </c:manualLayout>
                  </c15:layout>
                </c:ext>
                <c:ext xmlns:c16="http://schemas.microsoft.com/office/drawing/2014/chart" uri="{C3380CC4-5D6E-409C-BE32-E72D297353CC}">
                  <c16:uniqueId val="{00000006-D806-478E-9AB0-1AB19586C304}"/>
                </c:ext>
              </c:extLst>
            </c:dLbl>
            <c:dLbl>
              <c:idx val="7"/>
              <c:layout>
                <c:manualLayout>
                  <c:x val="0.16632520681097596"/>
                  <c:y val="-0.102421918237969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06-478E-9AB0-1AB19586C304}"/>
                </c:ext>
              </c:extLst>
            </c:dLbl>
            <c:dLbl>
              <c:idx val="8"/>
              <c:layout>
                <c:manualLayout>
                  <c:x val="0.18177274698528345"/>
                  <c:y val="-8.0410785686169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06-478E-9AB0-1AB19586C304}"/>
                </c:ext>
              </c:extLst>
            </c:dLbl>
            <c:dLbl>
              <c:idx val="9"/>
              <c:layout>
                <c:manualLayout>
                  <c:x val="0.19521948795094829"/>
                  <c:y val="-5.4289132628750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06-478E-9AB0-1AB19586C304}"/>
                </c:ext>
              </c:extLst>
            </c:dLbl>
            <c:dLbl>
              <c:idx val="10"/>
              <c:layout>
                <c:manualLayout>
                  <c:x val="0.20684652934943751"/>
                  <c:y val="-3.668614579603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06-478E-9AB0-1AB19586C304}"/>
                </c:ext>
              </c:extLst>
            </c:dLbl>
            <c:dLbl>
              <c:idx val="11"/>
              <c:layout>
                <c:manualLayout>
                  <c:x val="0.21116495955256168"/>
                  <c:y val="-1.3242379758673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06-478E-9AB0-1AB19586C304}"/>
                </c:ext>
              </c:extLst>
            </c:dLbl>
            <c:dLbl>
              <c:idx val="12"/>
              <c:layout>
                <c:manualLayout>
                  <c:x val="0.20947182604360967"/>
                  <c:y val="1.2341920132116739E-2"/>
                </c:manualLayout>
              </c:layout>
              <c:showLegendKey val="0"/>
              <c:showVal val="1"/>
              <c:showCatName val="0"/>
              <c:showSerName val="0"/>
              <c:showPercent val="0"/>
              <c:showBubbleSize val="0"/>
              <c:extLst>
                <c:ext xmlns:c15="http://schemas.microsoft.com/office/drawing/2012/chart" uri="{CE6537A1-D6FC-4f65-9D91-7224C49458BB}">
                  <c15:layout>
                    <c:manualLayout>
                      <c:w val="5.1887788220020888E-2"/>
                      <c:h val="2.7995882190326015E-2"/>
                    </c:manualLayout>
                  </c15:layout>
                </c:ext>
                <c:ext xmlns:c16="http://schemas.microsoft.com/office/drawing/2014/chart" uri="{C3380CC4-5D6E-409C-BE32-E72D297353CC}">
                  <c16:uniqueId val="{0000000C-D806-478E-9AB0-1AB19586C304}"/>
                </c:ext>
              </c:extLst>
            </c:dLbl>
            <c:dLbl>
              <c:idx val="13"/>
              <c:layout>
                <c:manualLayout>
                  <c:x val="0.21224572443745229"/>
                  <c:y val="3.7261048942977215E-2"/>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4.1923168694822231E-2"/>
                    </c:manualLayout>
                  </c15:layout>
                </c:ext>
                <c:ext xmlns:c16="http://schemas.microsoft.com/office/drawing/2014/chart" uri="{C3380CC4-5D6E-409C-BE32-E72D297353CC}">
                  <c16:uniqueId val="{0000000D-D806-478E-9AB0-1AB19586C304}"/>
                </c:ext>
              </c:extLst>
            </c:dLbl>
            <c:dLbl>
              <c:idx val="14"/>
              <c:layout>
                <c:manualLayout>
                  <c:x val="0.20561614431086023"/>
                  <c:y val="6.0810990786751624E-2"/>
                </c:manualLayout>
              </c:layout>
              <c:showLegendKey val="0"/>
              <c:showVal val="1"/>
              <c:showCatName val="0"/>
              <c:showSerName val="0"/>
              <c:showPercent val="0"/>
              <c:showBubbleSize val="0"/>
              <c:extLst>
                <c:ext xmlns:c15="http://schemas.microsoft.com/office/drawing/2012/chart" uri="{CE6537A1-D6FC-4f65-9D91-7224C49458BB}">
                  <c15:layout>
                    <c:manualLayout>
                      <c:w val="7.7121733545683038E-2"/>
                      <c:h val="6.9895196666850193E-2"/>
                    </c:manualLayout>
                  </c15:layout>
                </c:ext>
                <c:ext xmlns:c16="http://schemas.microsoft.com/office/drawing/2014/chart" uri="{C3380CC4-5D6E-409C-BE32-E72D297353CC}">
                  <c16:uniqueId val="{0000000E-D806-478E-9AB0-1AB19586C304}"/>
                </c:ext>
              </c:extLst>
            </c:dLbl>
            <c:dLbl>
              <c:idx val="15"/>
              <c:layout>
                <c:manualLayout>
                  <c:x val="0.20149223882487444"/>
                  <c:y val="8.5728639795432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806-478E-9AB0-1AB19586C304}"/>
                </c:ext>
              </c:extLst>
            </c:dLbl>
            <c:dLbl>
              <c:idx val="16"/>
              <c:layout>
                <c:manualLayout>
                  <c:x val="0.19518503256167302"/>
                  <c:y val="0.10685515298020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806-478E-9AB0-1AB19586C304}"/>
                </c:ext>
              </c:extLst>
            </c:dLbl>
            <c:dLbl>
              <c:idx val="17"/>
              <c:layout>
                <c:manualLayout>
                  <c:x val="0.17200540262079689"/>
                  <c:y val="0.13794438459466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806-478E-9AB0-1AB19586C304}"/>
                </c:ext>
              </c:extLst>
            </c:dLbl>
            <c:dLbl>
              <c:idx val="18"/>
              <c:layout>
                <c:manualLayout>
                  <c:x val="0.15946193778097759"/>
                  <c:y val="0.164410831560037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806-478E-9AB0-1AB19586C304}"/>
                </c:ext>
              </c:extLst>
            </c:dLbl>
            <c:dLbl>
              <c:idx val="19"/>
              <c:layout>
                <c:manualLayout>
                  <c:x val="0.13012411773581531"/>
                  <c:y val="0.1870752344768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806-478E-9AB0-1AB19586C304}"/>
                </c:ext>
              </c:extLst>
            </c:dLbl>
            <c:dLbl>
              <c:idx val="20"/>
              <c:layout>
                <c:manualLayout>
                  <c:x val="9.7994534420227458E-2"/>
                  <c:y val="0.19504606624186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806-478E-9AB0-1AB19586C304}"/>
                </c:ext>
              </c:extLst>
            </c:dLbl>
            <c:dLbl>
              <c:idx val="21"/>
              <c:layout>
                <c:manualLayout>
                  <c:x val="7.0240972353703315E-2"/>
                  <c:y val="0.210132518400234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806-478E-9AB0-1AB19586C304}"/>
                </c:ext>
              </c:extLst>
            </c:dLbl>
            <c:dLbl>
              <c:idx val="22"/>
              <c:layout>
                <c:manualLayout>
                  <c:x val="4.1586120142942253E-2"/>
                  <c:y val="0.222747464124102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806-478E-9AB0-1AB19586C304}"/>
                </c:ext>
              </c:extLst>
            </c:dLbl>
            <c:dLbl>
              <c:idx val="23"/>
              <c:layout>
                <c:manualLayout>
                  <c:x val="-5.0133861892450518E-3"/>
                  <c:y val="0.2351792262410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806-478E-9AB0-1AB19586C304}"/>
                </c:ext>
              </c:extLst>
            </c:dLbl>
            <c:dLbl>
              <c:idx val="24"/>
              <c:layout>
                <c:manualLayout>
                  <c:x val="-4.4827123484527755E-2"/>
                  <c:y val="0.21981206226227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806-478E-9AB0-1AB19586C304}"/>
                </c:ext>
              </c:extLst>
            </c:dLbl>
            <c:dLbl>
              <c:idx val="25"/>
              <c:layout>
                <c:manualLayout>
                  <c:x val="-7.5300815222500983E-2"/>
                  <c:y val="0.214316111555574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806-478E-9AB0-1AB19586C304}"/>
                </c:ext>
              </c:extLst>
            </c:dLbl>
            <c:dLbl>
              <c:idx val="26"/>
              <c:layout>
                <c:manualLayout>
                  <c:x val="-0.10642209231894818"/>
                  <c:y val="0.20415877159740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806-478E-9AB0-1AB19586C304}"/>
                </c:ext>
              </c:extLst>
            </c:dLbl>
            <c:dLbl>
              <c:idx val="27"/>
              <c:layout>
                <c:manualLayout>
                  <c:x val="-0.1331148314426196"/>
                  <c:y val="0.19292966721405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806-478E-9AB0-1AB19586C304}"/>
                </c:ext>
              </c:extLst>
            </c:dLbl>
            <c:dLbl>
              <c:idx val="28"/>
              <c:layout>
                <c:manualLayout>
                  <c:x val="-0.15977747335261358"/>
                  <c:y val="0.18145241844070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806-478E-9AB0-1AB19586C304}"/>
                </c:ext>
              </c:extLst>
            </c:dLbl>
            <c:dLbl>
              <c:idx val="29"/>
              <c:layout>
                <c:manualLayout>
                  <c:x val="-0.18209735605633864"/>
                  <c:y val="0.162784159013623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806-478E-9AB0-1AB19586C304}"/>
                </c:ext>
              </c:extLst>
            </c:dLbl>
            <c:dLbl>
              <c:idx val="30"/>
              <c:layout>
                <c:manualLayout>
                  <c:x val="-0.20266272024993973"/>
                  <c:y val="0.138818947683073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806-478E-9AB0-1AB19586C304}"/>
                </c:ext>
              </c:extLst>
            </c:dLbl>
            <c:dLbl>
              <c:idx val="31"/>
              <c:layout>
                <c:manualLayout>
                  <c:x val="-0.22555219650903591"/>
                  <c:y val="0.102788909178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806-478E-9AB0-1AB19586C304}"/>
                </c:ext>
              </c:extLst>
            </c:dLbl>
            <c:dLbl>
              <c:idx val="32"/>
              <c:layout>
                <c:manualLayout>
                  <c:x val="-0.23895208858994485"/>
                  <c:y val="7.0464480308272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806-478E-9AB0-1AB19586C304}"/>
                </c:ext>
              </c:extLst>
            </c:dLbl>
            <c:dLbl>
              <c:idx val="33"/>
              <c:layout>
                <c:manualLayout>
                  <c:x val="-0.25558584993320793"/>
                  <c:y val="2.8414421560125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806-478E-9AB0-1AB19586C304}"/>
                </c:ext>
              </c:extLst>
            </c:dLbl>
            <c:dLbl>
              <c:idx val="34"/>
              <c:layout>
                <c:manualLayout>
                  <c:x val="-0.25207014666848876"/>
                  <c:y val="8.956502694718908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806-478E-9AB0-1AB19586C304}"/>
                </c:ext>
              </c:extLst>
            </c:dLbl>
            <c:dLbl>
              <c:idx val="35"/>
              <c:layout>
                <c:manualLayout>
                  <c:x val="-0.25042988018166257"/>
                  <c:y val="-3.0654472110168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806-478E-9AB0-1AB19586C304}"/>
                </c:ext>
              </c:extLst>
            </c:dLbl>
            <c:dLbl>
              <c:idx val="36"/>
              <c:layout>
                <c:manualLayout>
                  <c:x val="-0.24689602991810519"/>
                  <c:y val="-6.2765069565500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806-478E-9AB0-1AB19586C304}"/>
                </c:ext>
              </c:extLst>
            </c:dLbl>
            <c:dLbl>
              <c:idx val="37"/>
              <c:layout>
                <c:manualLayout>
                  <c:x val="-0.24268462997343501"/>
                  <c:y val="-9.078660364682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806-478E-9AB0-1AB19586C304}"/>
                </c:ext>
              </c:extLst>
            </c:dLbl>
            <c:dLbl>
              <c:idx val="38"/>
              <c:layout>
                <c:manualLayout>
                  <c:x val="-0.23012338848169245"/>
                  <c:y val="-0.117678863689502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806-478E-9AB0-1AB19586C304}"/>
                </c:ext>
              </c:extLst>
            </c:dLbl>
            <c:dLbl>
              <c:idx val="39"/>
              <c:layout>
                <c:manualLayout>
                  <c:x val="-0.21267634531294499"/>
                  <c:y val="-0.14053533323665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806-478E-9AB0-1AB19586C304}"/>
                </c:ext>
              </c:extLst>
            </c:dLbl>
            <c:dLbl>
              <c:idx val="40"/>
              <c:layout>
                <c:manualLayout>
                  <c:x val="-0.19669495006057028"/>
                  <c:y val="-0.16667381904387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806-478E-9AB0-1AB19586C304}"/>
                </c:ext>
              </c:extLst>
            </c:dLbl>
            <c:dLbl>
              <c:idx val="41"/>
              <c:layout>
                <c:manualLayout>
                  <c:x val="-0.17533648794835585"/>
                  <c:y val="-0.19082622535019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806-478E-9AB0-1AB19586C304}"/>
                </c:ext>
              </c:extLst>
            </c:dLbl>
            <c:dLbl>
              <c:idx val="42"/>
              <c:layout>
                <c:manualLayout>
                  <c:x val="-0.14842245176324018"/>
                  <c:y val="-0.20758979439628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D806-478E-9AB0-1AB19586C304}"/>
                </c:ext>
              </c:extLst>
            </c:dLbl>
            <c:dLbl>
              <c:idx val="43"/>
              <c:layout>
                <c:manualLayout>
                  <c:x val="-0.11720979893495634"/>
                  <c:y val="-0.22445398999061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806-478E-9AB0-1AB19586C304}"/>
                </c:ext>
              </c:extLst>
            </c:dLbl>
            <c:dLbl>
              <c:idx val="44"/>
              <c:layout>
                <c:manualLayout>
                  <c:x val="-7.5697613225236521E-2"/>
                  <c:y val="-0.24303059417017134"/>
                </c:manualLayout>
              </c:layout>
              <c:showLegendKey val="0"/>
              <c:showVal val="1"/>
              <c:showCatName val="0"/>
              <c:showSerName val="0"/>
              <c:showPercent val="0"/>
              <c:showBubbleSize val="0"/>
              <c:extLst>
                <c:ext xmlns:c15="http://schemas.microsoft.com/office/drawing/2012/chart" uri="{CE6537A1-D6FC-4f65-9D91-7224C49458BB}">
                  <c15:layout>
                    <c:manualLayout>
                      <c:w val="4.0991730872350626E-2"/>
                      <c:h val="3.2667686983928801E-2"/>
                    </c:manualLayout>
                  </c15:layout>
                </c:ext>
                <c:ext xmlns:c16="http://schemas.microsoft.com/office/drawing/2014/chart" uri="{C3380CC4-5D6E-409C-BE32-E72D297353CC}">
                  <c16:uniqueId val="{0000002C-D806-478E-9AB0-1AB19586C304}"/>
                </c:ext>
              </c:extLst>
            </c:dLbl>
            <c:dLbl>
              <c:idx val="45"/>
              <c:layout>
                <c:manualLayout>
                  <c:x val="-4.4781978622835367E-2"/>
                  <c:y val="-0.25731669690395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806-478E-9AB0-1AB19586C304}"/>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'prehľad zaradenych_2024'!$A$2:$A$47</c:f>
              <c:strCache>
                <c:ptCount val="46"/>
                <c:pt idx="0">
                  <c:v>BA</c:v>
                </c:pt>
                <c:pt idx="1">
                  <c:v>NO</c:v>
                </c:pt>
                <c:pt idx="2">
                  <c:v>KE</c:v>
                </c:pt>
                <c:pt idx="3">
                  <c:v>TN</c:v>
                </c:pt>
                <c:pt idx="4">
                  <c:v>PK</c:v>
                </c:pt>
                <c:pt idx="5">
                  <c:v>PD</c:v>
                </c:pt>
                <c:pt idx="6">
                  <c:v>BJ</c:v>
                </c:pt>
                <c:pt idx="7">
                  <c:v>PP</c:v>
                </c:pt>
                <c:pt idx="8">
                  <c:v>BS</c:v>
                </c:pt>
                <c:pt idx="9">
                  <c:v>BR</c:v>
                </c:pt>
                <c:pt idx="10">
                  <c:v>SN</c:v>
                </c:pt>
                <c:pt idx="11">
                  <c:v>BB</c:v>
                </c:pt>
                <c:pt idx="12">
                  <c:v>PE</c:v>
                </c:pt>
                <c:pt idx="13">
                  <c:v>RS</c:v>
                </c:pt>
                <c:pt idx="14">
                  <c:v>PO</c:v>
                </c:pt>
                <c:pt idx="15">
                  <c:v>TT</c:v>
                </c:pt>
                <c:pt idx="16">
                  <c:v>LM</c:v>
                </c:pt>
                <c:pt idx="17">
                  <c:v>ZA</c:v>
                </c:pt>
                <c:pt idx="18">
                  <c:v>MT</c:v>
                </c:pt>
                <c:pt idx="19">
                  <c:v>NR</c:v>
                </c:pt>
                <c:pt idx="20">
                  <c:v>ZV</c:v>
                </c:pt>
                <c:pt idx="21">
                  <c:v>RK</c:v>
                </c:pt>
                <c:pt idx="22">
                  <c:v>MA</c:v>
                </c:pt>
                <c:pt idx="23">
                  <c:v>MI</c:v>
                </c:pt>
                <c:pt idx="24">
                  <c:v>LC</c:v>
                </c:pt>
                <c:pt idx="25">
                  <c:v>HE</c:v>
                </c:pt>
                <c:pt idx="26">
                  <c:v>KK</c:v>
                </c:pt>
                <c:pt idx="27">
                  <c:v>VT</c:v>
                </c:pt>
                <c:pt idx="28">
                  <c:v>NZ</c:v>
                </c:pt>
                <c:pt idx="29">
                  <c:v>LE</c:v>
                </c:pt>
                <c:pt idx="30">
                  <c:v>GA</c:v>
                </c:pt>
                <c:pt idx="31">
                  <c:v>PB</c:v>
                </c:pt>
                <c:pt idx="32">
                  <c:v>SL</c:v>
                </c:pt>
                <c:pt idx="33">
                  <c:v>NM</c:v>
                </c:pt>
                <c:pt idx="34">
                  <c:v>PN</c:v>
                </c:pt>
                <c:pt idx="35">
                  <c:v>RA</c:v>
                </c:pt>
                <c:pt idx="36">
                  <c:v>KN</c:v>
                </c:pt>
                <c:pt idx="37">
                  <c:v>TO</c:v>
                </c:pt>
                <c:pt idx="38">
                  <c:v>CA</c:v>
                </c:pt>
                <c:pt idx="39">
                  <c:v>SP</c:v>
                </c:pt>
                <c:pt idx="40">
                  <c:v>DS</c:v>
                </c:pt>
                <c:pt idx="41">
                  <c:v>VK</c:v>
                </c:pt>
                <c:pt idx="42">
                  <c:v>DK</c:v>
                </c:pt>
                <c:pt idx="43">
                  <c:v>RV</c:v>
                </c:pt>
                <c:pt idx="44">
                  <c:v>SE</c:v>
                </c:pt>
                <c:pt idx="45">
                  <c:v>TV</c:v>
                </c:pt>
              </c:strCache>
            </c:strRef>
          </c:cat>
          <c:val>
            <c:numRef>
              <c:f>'prehľad zaradenych_2024'!$B$2:$B$47</c:f>
              <c:numCache>
                <c:formatCode>#\ ##0;\-#\ ##0;\0</c:formatCode>
                <c:ptCount val="46"/>
                <c:pt idx="0">
                  <c:v>668</c:v>
                </c:pt>
                <c:pt idx="1">
                  <c:v>362</c:v>
                </c:pt>
                <c:pt idx="2">
                  <c:v>349</c:v>
                </c:pt>
                <c:pt idx="3" formatCode="#,##0">
                  <c:v>263</c:v>
                </c:pt>
                <c:pt idx="4">
                  <c:v>254</c:v>
                </c:pt>
                <c:pt idx="5">
                  <c:v>252</c:v>
                </c:pt>
                <c:pt idx="6">
                  <c:v>247</c:v>
                </c:pt>
                <c:pt idx="7">
                  <c:v>213</c:v>
                </c:pt>
                <c:pt idx="8">
                  <c:v>206</c:v>
                </c:pt>
                <c:pt idx="9">
                  <c:v>203</c:v>
                </c:pt>
                <c:pt idx="10">
                  <c:v>189</c:v>
                </c:pt>
                <c:pt idx="11">
                  <c:v>178</c:v>
                </c:pt>
                <c:pt idx="12">
                  <c:v>177</c:v>
                </c:pt>
                <c:pt idx="13">
                  <c:v>172</c:v>
                </c:pt>
                <c:pt idx="14">
                  <c:v>169</c:v>
                </c:pt>
                <c:pt idx="15">
                  <c:v>159</c:v>
                </c:pt>
                <c:pt idx="16">
                  <c:v>158</c:v>
                </c:pt>
                <c:pt idx="17">
                  <c:v>147</c:v>
                </c:pt>
                <c:pt idx="18">
                  <c:v>131</c:v>
                </c:pt>
                <c:pt idx="19">
                  <c:v>130</c:v>
                </c:pt>
                <c:pt idx="20">
                  <c:v>129</c:v>
                </c:pt>
                <c:pt idx="21">
                  <c:v>124</c:v>
                </c:pt>
                <c:pt idx="22">
                  <c:v>121</c:v>
                </c:pt>
                <c:pt idx="23">
                  <c:v>104</c:v>
                </c:pt>
                <c:pt idx="24">
                  <c:v>101</c:v>
                </c:pt>
                <c:pt idx="25">
                  <c:v>101</c:v>
                </c:pt>
                <c:pt idx="26">
                  <c:v>99</c:v>
                </c:pt>
                <c:pt idx="27">
                  <c:v>97</c:v>
                </c:pt>
                <c:pt idx="28">
                  <c:v>93</c:v>
                </c:pt>
                <c:pt idx="29">
                  <c:v>92</c:v>
                </c:pt>
                <c:pt idx="30">
                  <c:v>88</c:v>
                </c:pt>
                <c:pt idx="31">
                  <c:v>84</c:v>
                </c:pt>
                <c:pt idx="32">
                  <c:v>80</c:v>
                </c:pt>
                <c:pt idx="33">
                  <c:v>78</c:v>
                </c:pt>
                <c:pt idx="34">
                  <c:v>76</c:v>
                </c:pt>
                <c:pt idx="35" formatCode="#,##0">
                  <c:v>75</c:v>
                </c:pt>
                <c:pt idx="36" formatCode="#,##0">
                  <c:v>71</c:v>
                </c:pt>
                <c:pt idx="37">
                  <c:v>68</c:v>
                </c:pt>
                <c:pt idx="38">
                  <c:v>66</c:v>
                </c:pt>
                <c:pt idx="39">
                  <c:v>66</c:v>
                </c:pt>
                <c:pt idx="40">
                  <c:v>65</c:v>
                </c:pt>
                <c:pt idx="41">
                  <c:v>63</c:v>
                </c:pt>
                <c:pt idx="42">
                  <c:v>62</c:v>
                </c:pt>
                <c:pt idx="43">
                  <c:v>58</c:v>
                </c:pt>
                <c:pt idx="44">
                  <c:v>56</c:v>
                </c:pt>
                <c:pt idx="45">
                  <c:v>41</c:v>
                </c:pt>
              </c:numCache>
            </c:numRef>
          </c:val>
          <c:extLst>
            <c:ext xmlns:c16="http://schemas.microsoft.com/office/drawing/2014/chart" uri="{C3380CC4-5D6E-409C-BE32-E72D297353CC}">
              <c16:uniqueId val="{0000002E-D806-478E-9AB0-1AB19586C304}"/>
            </c:ext>
          </c:extLst>
        </c:ser>
        <c:dLbls>
          <c:showLegendKey val="0"/>
          <c:showVal val="1"/>
          <c:showCatName val="0"/>
          <c:showSerName val="0"/>
          <c:showPercent val="0"/>
          <c:showBubbleSize val="0"/>
        </c:dLbls>
        <c:axId val="452542840"/>
        <c:axId val="452542056"/>
      </c:radarChart>
      <c:catAx>
        <c:axId val="452542840"/>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452542056"/>
        <c:crosses val="autoZero"/>
        <c:auto val="1"/>
        <c:lblAlgn val="ctr"/>
        <c:lblOffset val="100"/>
        <c:noMultiLvlLbl val="0"/>
      </c:catAx>
      <c:valAx>
        <c:axId val="452542056"/>
        <c:scaling>
          <c:orientation val="minMax"/>
        </c:scaling>
        <c:delete val="0"/>
        <c:axPos val="l"/>
        <c:majorGridlines/>
        <c:minorGridlines>
          <c:spPr>
            <a:ln>
              <a:noFill/>
            </a:ln>
          </c:spPr>
        </c:minorGridlines>
        <c:numFmt formatCode="#\ ##0;\-#\ ##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452542840"/>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b="1" i="0" baseline="0">
                <a:solidFill>
                  <a:srgbClr val="002060"/>
                </a:solidFill>
                <a:effectLst/>
                <a:latin typeface="+mn-lt"/>
              </a:rPr>
              <a:t>Prehľad ZoZ zaradených na vzdelávanie </a:t>
            </a:r>
            <a:endParaRPr lang="sk-SK" sz="1200">
              <a:solidFill>
                <a:srgbClr val="002060"/>
              </a:solidFill>
              <a:effectLst/>
              <a:latin typeface="+mn-lt"/>
            </a:endParaRPr>
          </a:p>
          <a:p>
            <a:pPr>
              <a:defRPr sz="1200">
                <a:solidFill>
                  <a:srgbClr val="002060"/>
                </a:solidFill>
              </a:defRPr>
            </a:pPr>
            <a:r>
              <a:rPr lang="sk-SK" sz="1200" b="1" i="0" baseline="0">
                <a:solidFill>
                  <a:srgbClr val="002060"/>
                </a:solidFill>
                <a:effectLst/>
                <a:latin typeface="+mn-lt"/>
              </a:rPr>
              <a:t>v roku 2024 v štruktúre podľa vekových kategórií</a:t>
            </a:r>
            <a:endParaRPr lang="sk-SK" sz="1200">
              <a:solidFill>
                <a:srgbClr val="002060"/>
              </a:solidFill>
              <a:effectLst/>
              <a:latin typeface="+mn-lt"/>
            </a:endParaRPr>
          </a:p>
        </c:rich>
      </c:tx>
      <c:layout>
        <c:manualLayout>
          <c:xMode val="edge"/>
          <c:yMode val="edge"/>
          <c:x val="0.17456259047815417"/>
          <c:y val="4.5295058838365918E-2"/>
        </c:manualLayout>
      </c:layout>
      <c:overlay val="0"/>
    </c:title>
    <c:autoTitleDeleted val="0"/>
    <c:plotArea>
      <c:layout>
        <c:manualLayout>
          <c:layoutTarget val="inner"/>
          <c:xMode val="edge"/>
          <c:yMode val="edge"/>
          <c:x val="0.25779089397785998"/>
          <c:y val="0.25345345345345344"/>
          <c:w val="0.33704309874522642"/>
          <c:h val="0.61841841841841838"/>
        </c:manualLayout>
      </c:layout>
      <c:pieChart>
        <c:varyColors val="1"/>
        <c:ser>
          <c:idx val="0"/>
          <c:order val="0"/>
          <c:dPt>
            <c:idx val="0"/>
            <c:bubble3D val="0"/>
            <c:explosion val="5"/>
            <c:extLst>
              <c:ext xmlns:c16="http://schemas.microsoft.com/office/drawing/2014/chart" uri="{C3380CC4-5D6E-409C-BE32-E72D297353CC}">
                <c16:uniqueId val="{00000001-0B5B-4357-A9A0-758164CD3585}"/>
              </c:ext>
            </c:extLst>
          </c:dPt>
          <c:dPt>
            <c:idx val="1"/>
            <c:bubble3D val="0"/>
            <c:explosion val="3"/>
            <c:extLst>
              <c:ext xmlns:c16="http://schemas.microsoft.com/office/drawing/2014/chart" uri="{C3380CC4-5D6E-409C-BE32-E72D297353CC}">
                <c16:uniqueId val="{00000002-0B5B-4357-A9A0-758164CD3585}"/>
              </c:ext>
            </c:extLst>
          </c:dPt>
          <c:dPt>
            <c:idx val="2"/>
            <c:bubble3D val="0"/>
            <c:explosion val="3"/>
            <c:extLst>
              <c:ext xmlns:c16="http://schemas.microsoft.com/office/drawing/2014/chart" uri="{C3380CC4-5D6E-409C-BE32-E72D297353CC}">
                <c16:uniqueId val="{00000003-0B5B-4357-A9A0-758164CD3585}"/>
              </c:ext>
            </c:extLst>
          </c:dPt>
          <c:dPt>
            <c:idx val="3"/>
            <c:bubble3D val="0"/>
            <c:explosion val="4"/>
            <c:extLst>
              <c:ext xmlns:c16="http://schemas.microsoft.com/office/drawing/2014/chart" uri="{C3380CC4-5D6E-409C-BE32-E72D297353CC}">
                <c16:uniqueId val="{00000004-0B5B-4357-A9A0-758164CD3585}"/>
              </c:ext>
            </c:extLst>
          </c:dPt>
          <c:dLbls>
            <c:dLbl>
              <c:idx val="0"/>
              <c:layout>
                <c:manualLayout>
                  <c:x val="-0.17510251812582833"/>
                  <c:y val="-0.13026227083210609"/>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B5B-4357-A9A0-758164CD3585}"/>
                </c:ext>
              </c:extLst>
            </c:dLbl>
            <c:dLbl>
              <c:idx val="1"/>
              <c:layout>
                <c:manualLayout>
                  <c:x val="0.11255851083130737"/>
                  <c:y val="-6.2904891990541931E-2"/>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0B5B-4357-A9A0-758164CD3585}"/>
                </c:ext>
              </c:extLst>
            </c:dLbl>
            <c:dLbl>
              <c:idx val="2"/>
              <c:layout>
                <c:manualLayout>
                  <c:x val="0.10398118552012679"/>
                  <c:y val="5.7714506384956246E-2"/>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B5B-4357-A9A0-758164CD3585}"/>
                </c:ext>
              </c:extLst>
            </c:dLbl>
            <c:dLbl>
              <c:idx val="3"/>
              <c:layout>
                <c:manualLayout>
                  <c:x val="7.0158897895537156E-2"/>
                  <c:y val="0.12591804402828027"/>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0B5B-4357-A9A0-758164CD3585}"/>
                </c:ext>
              </c:extLst>
            </c:dLbl>
            <c:numFmt formatCode="0.00%" sourceLinked="0"/>
            <c:spPr>
              <a:noFill/>
              <a:ln>
                <a:noFill/>
              </a:ln>
              <a:effectLst/>
            </c:spPr>
            <c:dLblPos val="ctr"/>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vek_2024!$B$11:$B$14</c:f>
              <c:strCache>
                <c:ptCount val="4"/>
                <c:pt idx="0">
                  <c:v>30 - 49 r.</c:v>
                </c:pt>
                <c:pt idx="1">
                  <c:v>50 a viac r.</c:v>
                </c:pt>
                <c:pt idx="2">
                  <c:v>do 24 r.</c:v>
                </c:pt>
                <c:pt idx="3">
                  <c:v>25 - 29 r.</c:v>
                </c:pt>
              </c:strCache>
            </c:strRef>
          </c:cat>
          <c:val>
            <c:numRef>
              <c:f>vek_2024!$C$11:$C$14</c:f>
              <c:numCache>
                <c:formatCode>#,##0</c:formatCode>
                <c:ptCount val="4"/>
                <c:pt idx="0">
                  <c:v>4275</c:v>
                </c:pt>
                <c:pt idx="1">
                  <c:v>890</c:v>
                </c:pt>
                <c:pt idx="2">
                  <c:v>588</c:v>
                </c:pt>
                <c:pt idx="3">
                  <c:v>1032</c:v>
                </c:pt>
              </c:numCache>
            </c:numRef>
          </c:val>
          <c:extLst>
            <c:ext xmlns:c16="http://schemas.microsoft.com/office/drawing/2014/chart" uri="{C3380CC4-5D6E-409C-BE32-E72D297353CC}">
              <c16:uniqueId val="{00000005-0B5B-4357-A9A0-758164CD3585}"/>
            </c:ext>
          </c:extLst>
        </c:ser>
        <c:ser>
          <c:idx val="1"/>
          <c:order val="1"/>
          <c:explosion val="25"/>
          <c:cat>
            <c:strRef>
              <c:f>vek_2024!$B$11:$B$14</c:f>
              <c:strCache>
                <c:ptCount val="4"/>
                <c:pt idx="0">
                  <c:v>30 - 49 r.</c:v>
                </c:pt>
                <c:pt idx="1">
                  <c:v>50 a viac r.</c:v>
                </c:pt>
                <c:pt idx="2">
                  <c:v>do 24 r.</c:v>
                </c:pt>
                <c:pt idx="3">
                  <c:v>25 - 29 r.</c:v>
                </c:pt>
              </c:strCache>
            </c:strRef>
          </c:cat>
          <c:val>
            <c:numRef>
              <c:f>vek_2024!$D$11:$D$14</c:f>
              <c:numCache>
                <c:formatCode>0.00</c:formatCode>
                <c:ptCount val="4"/>
                <c:pt idx="0">
                  <c:v>63.006632277081799</c:v>
                </c:pt>
                <c:pt idx="1">
                  <c:v>13.117170228445099</c:v>
                </c:pt>
                <c:pt idx="2">
                  <c:v>8.6661753868828288</c:v>
                </c:pt>
                <c:pt idx="3">
                  <c:v>15.210022107590273</c:v>
                </c:pt>
              </c:numCache>
            </c:numRef>
          </c:val>
          <c:extLst>
            <c:ext xmlns:c16="http://schemas.microsoft.com/office/drawing/2014/chart" uri="{C3380CC4-5D6E-409C-BE32-E72D297353CC}">
              <c16:uniqueId val="{00000006-0B5B-4357-A9A0-758164CD358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88466908084935"/>
          <c:y val="0.24998447266163806"/>
          <c:w val="0.24563876883230951"/>
          <c:h val="0.63894445626729102"/>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r>
              <a:rPr lang="sk-SK" sz="1200" b="1" i="0" baseline="0">
                <a:solidFill>
                  <a:srgbClr val="002060"/>
                </a:solidFill>
                <a:effectLst/>
                <a:latin typeface="+mn-lt"/>
              </a:rPr>
              <a:t>Prehľad ZoZ zaradených na vzdelávanie v roku 2024 </a:t>
            </a:r>
            <a:endParaRPr lang="sk-SK" sz="1200" b="1">
              <a:solidFill>
                <a:srgbClr val="002060"/>
              </a:solidFill>
              <a:effectLst/>
              <a:latin typeface="+mn-lt"/>
            </a:endParaRPr>
          </a:p>
          <a:p>
            <a:pPr>
              <a:defRPr>
                <a:solidFill>
                  <a:srgbClr val="002060"/>
                </a:solidFill>
              </a:defRPr>
            </a:pPr>
            <a:r>
              <a:rPr lang="sk-SK" sz="1200" b="1" i="0" baseline="0">
                <a:solidFill>
                  <a:srgbClr val="002060"/>
                </a:solidFill>
                <a:effectLst/>
                <a:latin typeface="+mn-lt"/>
              </a:rPr>
              <a:t>v štruktúre podľa vzdelania</a:t>
            </a:r>
            <a:endParaRPr lang="sk-SK" sz="1200" b="1">
              <a:solidFill>
                <a:srgbClr val="002060"/>
              </a:solidFill>
              <a:effectLst/>
              <a:latin typeface="+mn-lt"/>
            </a:endParaRPr>
          </a:p>
        </c:rich>
      </c:tx>
      <c:overlay val="0"/>
      <c:spPr>
        <a:noFill/>
        <a:ln>
          <a:noFill/>
        </a:ln>
        <a:effectLst/>
      </c:spPr>
      <c:txPr>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endParaRPr lang="sk-SK"/>
        </a:p>
      </c:txPr>
    </c:title>
    <c:autoTitleDeleted val="0"/>
    <c:plotArea>
      <c:layout/>
      <c:barChart>
        <c:barDir val="col"/>
        <c:grouping val="clustered"/>
        <c:varyColors val="0"/>
        <c:ser>
          <c:idx val="0"/>
          <c:order val="0"/>
          <c:tx>
            <c:v>Vzdelanie</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vzdelanie_2024!$B$5:$L$5</c:f>
              <c:strCache>
                <c:ptCount val="11"/>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pt idx="10">
                  <c:v>neurčené</c:v>
                </c:pt>
              </c:strCache>
            </c:strRef>
          </c:cat>
          <c:val>
            <c:numRef>
              <c:f>vzdelanie_2024!$B$6:$L$6</c:f>
              <c:numCache>
                <c:formatCode>#,##0</c:formatCode>
                <c:ptCount val="11"/>
                <c:pt idx="0">
                  <c:v>15</c:v>
                </c:pt>
                <c:pt idx="1">
                  <c:v>351</c:v>
                </c:pt>
                <c:pt idx="2">
                  <c:v>13</c:v>
                </c:pt>
                <c:pt idx="3">
                  <c:v>1001</c:v>
                </c:pt>
                <c:pt idx="4">
                  <c:v>2517</c:v>
                </c:pt>
                <c:pt idx="5">
                  <c:v>337</c:v>
                </c:pt>
                <c:pt idx="6">
                  <c:v>39</c:v>
                </c:pt>
                <c:pt idx="7">
                  <c:v>345</c:v>
                </c:pt>
                <c:pt idx="8">
                  <c:v>1927</c:v>
                </c:pt>
                <c:pt idx="9">
                  <c:v>80</c:v>
                </c:pt>
                <c:pt idx="10">
                  <c:v>160</c:v>
                </c:pt>
              </c:numCache>
            </c:numRef>
          </c:val>
          <c:extLst>
            <c:ext xmlns:c16="http://schemas.microsoft.com/office/drawing/2014/chart" uri="{C3380CC4-5D6E-409C-BE32-E72D297353CC}">
              <c16:uniqueId val="{00000000-65A6-480A-A3FC-08B621B3052F}"/>
            </c:ext>
          </c:extLst>
        </c:ser>
        <c:dLbls>
          <c:showLegendKey val="0"/>
          <c:showVal val="0"/>
          <c:showCatName val="0"/>
          <c:showSerName val="0"/>
          <c:showPercent val="0"/>
          <c:showBubbleSize val="0"/>
        </c:dLbls>
        <c:gapWidth val="150"/>
        <c:axId val="459663256"/>
        <c:axId val="459663648"/>
      </c:barChart>
      <c:catAx>
        <c:axId val="45966325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459663648"/>
        <c:crosses val="autoZero"/>
        <c:auto val="1"/>
        <c:lblAlgn val="ctr"/>
        <c:lblOffset val="100"/>
        <c:noMultiLvlLbl val="0"/>
      </c:catAx>
      <c:valAx>
        <c:axId val="459663648"/>
        <c:scaling>
          <c:orientation val="minMax"/>
        </c:scaling>
        <c:delete val="0"/>
        <c:axPos val="l"/>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45966325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sk-SK"/>
          </a:p>
        </c:txPr>
      </c:dTable>
      <c:spPr>
        <a:noFill/>
        <a:ln w="25400">
          <a:noFill/>
        </a:ln>
        <a:effectLst/>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a:ln w="9525" cap="flat" cmpd="sng" algn="ctr">
      <a:solidFill>
        <a:schemeClr val="tx1">
          <a:tint val="75000"/>
          <a:shade val="95000"/>
          <a:satMod val="105000"/>
        </a:schemeClr>
      </a:solidFill>
      <a:prstDash val="solid"/>
      <a:round/>
    </a:ln>
    <a:effectLst/>
  </c:spPr>
  <c:txPr>
    <a:bodyPr/>
    <a:lstStyle/>
    <a:p>
      <a:pPr>
        <a:defRPr/>
      </a:pPr>
      <a:endParaRPr lang="sk-S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rgbClr val="002060"/>
                </a:solidFill>
                <a:latin typeface="+mn-lt"/>
                <a:ea typeface="+mn-ea"/>
                <a:cs typeface="+mn-cs"/>
              </a:defRPr>
            </a:pPr>
            <a:r>
              <a:rPr lang="sk-SK" sz="1200" b="1" i="0" u="none" strike="noStrike" kern="1200" baseline="0">
                <a:solidFill>
                  <a:srgbClr val="002060"/>
                </a:solidFill>
                <a:effectLst/>
                <a:latin typeface="+mn-lt"/>
                <a:ea typeface="+mn-ea"/>
                <a:cs typeface="+mn-cs"/>
              </a:rPr>
              <a:t>Veková štruktúra klientov zaradených do OPS - § 43 </a:t>
            </a:r>
          </a:p>
          <a:p>
            <a:pPr>
              <a:defRPr sz="1400">
                <a:solidFill>
                  <a:srgbClr val="002060"/>
                </a:solidFill>
              </a:defRPr>
            </a:pPr>
            <a:r>
              <a:rPr lang="sk-SK" sz="1200" b="1" i="0" u="none" strike="noStrike" kern="1200" baseline="0">
                <a:solidFill>
                  <a:srgbClr val="002060"/>
                </a:solidFill>
                <a:effectLst/>
                <a:latin typeface="+mn-lt"/>
                <a:ea typeface="+mn-ea"/>
                <a:cs typeface="+mn-cs"/>
              </a:rPr>
              <a:t>v roku 2024</a:t>
            </a:r>
          </a:p>
        </c:rich>
      </c:tx>
      <c:layout>
        <c:manualLayout>
          <c:xMode val="edge"/>
          <c:yMode val="edge"/>
          <c:x val="0.1117833443018537"/>
          <c:y val="4.2643467643467645E-2"/>
        </c:manualLayout>
      </c:layout>
      <c:overlay val="0"/>
      <c:spPr>
        <a:noFill/>
        <a:ln>
          <a:noFill/>
        </a:ln>
        <a:effectLst/>
      </c:spPr>
      <c:txPr>
        <a:bodyPr rot="0" spcFirstLastPara="1" vertOverflow="ellipsis" vert="horz" wrap="square" anchor="ctr" anchorCtr="1"/>
        <a:lstStyle/>
        <a:p>
          <a:pPr>
            <a:defRPr sz="1400" b="1" i="0" u="none" strike="noStrike" kern="1200" baseline="0">
              <a:solidFill>
                <a:srgbClr val="002060"/>
              </a:solidFill>
              <a:latin typeface="+mn-lt"/>
              <a:ea typeface="+mn-ea"/>
              <a:cs typeface="+mn-cs"/>
            </a:defRPr>
          </a:pPr>
          <a:endParaRPr lang="sk-SK"/>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78240575365457"/>
          <c:y val="0.25797008547008549"/>
          <c:w val="0.59850159548376392"/>
          <c:h val="0.64764088554864707"/>
        </c:manualLayout>
      </c:layout>
      <c:pie3DChart>
        <c:varyColors val="1"/>
        <c:ser>
          <c:idx val="0"/>
          <c:order val="0"/>
          <c:explosion val="17"/>
          <c:dPt>
            <c:idx val="0"/>
            <c:bubble3D val="0"/>
            <c:explosion val="11"/>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8DE-44F8-8CC3-6CE5D6BFBAA7}"/>
              </c:ext>
            </c:extLst>
          </c:dPt>
          <c:dPt>
            <c:idx val="1"/>
            <c:bubble3D val="0"/>
            <c:explosion val="5"/>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8DE-44F8-8CC3-6CE5D6BFBAA7}"/>
              </c:ext>
            </c:extLst>
          </c:dPt>
          <c:dPt>
            <c:idx val="2"/>
            <c:bubble3D val="0"/>
            <c:explosion val="8"/>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8DE-44F8-8CC3-6CE5D6BFBAA7}"/>
              </c:ext>
            </c:extLst>
          </c:dPt>
          <c:dPt>
            <c:idx val="3"/>
            <c:bubble3D val="0"/>
            <c:explosion val="6"/>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8DE-44F8-8CC3-6CE5D6BFBAA7}"/>
              </c:ext>
            </c:extLst>
          </c:dPt>
          <c:dLbls>
            <c:dLbl>
              <c:idx val="0"/>
              <c:layout>
                <c:manualLayout>
                  <c:x val="-6.2720604365471097E-2"/>
                  <c:y val="0.12472527472527475"/>
                </c:manualLayout>
              </c:layout>
              <c:tx>
                <c:rich>
                  <a:bodyPr/>
                  <a:lstStyle/>
                  <a:p>
                    <a:fld id="{CF281CF3-9F17-4BF4-88C6-8AC8C52B0A3D}" type="CELLRANGE">
                      <a:rPr lang="en-US"/>
                      <a:pPr/>
                      <a:t>[CELLRANGE]</a:t>
                    </a:fld>
                    <a:endParaRPr lang="sk-SK"/>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8DE-44F8-8CC3-6CE5D6BFBAA7}"/>
                </c:ext>
              </c:extLst>
            </c:dLbl>
            <c:dLbl>
              <c:idx val="1"/>
              <c:layout>
                <c:manualLayout>
                  <c:x val="-8.550496325545677E-2"/>
                  <c:y val="2.6178266178265466E-3"/>
                </c:manualLayout>
              </c:layout>
              <c:tx>
                <c:rich>
                  <a:bodyPr/>
                  <a:lstStyle/>
                  <a:p>
                    <a:fld id="{FD644526-4F2D-475C-985E-5F64C8974AD6}" type="CELLRANGE">
                      <a:rPr lang="en-US"/>
                      <a:pPr/>
                      <a:t>[CELLRANGE]</a:t>
                    </a:fld>
                    <a:endParaRPr lang="sk-SK"/>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8DE-44F8-8CC3-6CE5D6BFBAA7}"/>
                </c:ext>
              </c:extLst>
            </c:dLbl>
            <c:dLbl>
              <c:idx val="2"/>
              <c:tx>
                <c:rich>
                  <a:bodyPr/>
                  <a:lstStyle/>
                  <a:p>
                    <a:fld id="{34781DFB-1FF3-402B-B18F-64CA6B0BBBCA}"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8DE-44F8-8CC3-6CE5D6BFBAA7}"/>
                </c:ext>
              </c:extLst>
            </c:dLbl>
            <c:dLbl>
              <c:idx val="3"/>
              <c:layout>
                <c:manualLayout>
                  <c:x val="5.7465449160908191E-2"/>
                  <c:y val="0.10753571428571425"/>
                </c:manualLayout>
              </c:layout>
              <c:tx>
                <c:rich>
                  <a:bodyPr/>
                  <a:lstStyle/>
                  <a:p>
                    <a:fld id="{0B692CAE-8472-432F-BB2E-71362FB6F752}" type="CELLRANGE">
                      <a:rPr lang="en-US"/>
                      <a:pPr/>
                      <a:t>[CELLRANGE]</a:t>
                    </a:fld>
                    <a:endParaRPr lang="sk-SK"/>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8DE-44F8-8CC3-6CE5D6BFBAA7}"/>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k-SK"/>
              </a:p>
            </c:txPr>
            <c:dLblPos val="ctr"/>
            <c:showLegendKey val="0"/>
            <c:showVal val="0"/>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'pocet_XoZ_mimo NP_10_GRAFY'!$A$44:$A$47</c:f>
              <c:strCache>
                <c:ptCount val="4"/>
                <c:pt idx="0">
                  <c:v>do 25 rokov</c:v>
                </c:pt>
                <c:pt idx="1">
                  <c:v>od 25 do 29 rokov</c:v>
                </c:pt>
                <c:pt idx="2">
                  <c:v>od 30 do 49 rokov</c:v>
                </c:pt>
                <c:pt idx="3">
                  <c:v>od 50 a viac rokov</c:v>
                </c:pt>
              </c:strCache>
            </c:strRef>
          </c:cat>
          <c:val>
            <c:numRef>
              <c:f>'pocet_XoZ_mimo NP_10_GRAFY'!$B$44:$B$47</c:f>
              <c:numCache>
                <c:formatCode>#,##0</c:formatCode>
                <c:ptCount val="4"/>
                <c:pt idx="0">
                  <c:v>1666</c:v>
                </c:pt>
                <c:pt idx="1">
                  <c:v>1126</c:v>
                </c:pt>
                <c:pt idx="2">
                  <c:v>4326</c:v>
                </c:pt>
                <c:pt idx="3">
                  <c:v>2061</c:v>
                </c:pt>
              </c:numCache>
            </c:numRef>
          </c:val>
          <c:extLst>
            <c:ext xmlns:c15="http://schemas.microsoft.com/office/drawing/2012/chart" uri="{02D57815-91ED-43cb-92C2-25804820EDAC}">
              <c15:datalabelsRange>
                <c15:f>'pocet_XoZ_mimo NP_10_GRAFY'!$C$44:$C$47</c15:f>
                <c15:dlblRangeCache>
                  <c:ptCount val="4"/>
                  <c:pt idx="0">
                    <c:v>18,15%</c:v>
                  </c:pt>
                  <c:pt idx="1">
                    <c:v>12,27%</c:v>
                  </c:pt>
                  <c:pt idx="2">
                    <c:v>47,13%</c:v>
                  </c:pt>
                  <c:pt idx="3">
                    <c:v>22,45%</c:v>
                  </c:pt>
                </c15:dlblRangeCache>
              </c15:datalabelsRange>
            </c:ext>
            <c:ext xmlns:c16="http://schemas.microsoft.com/office/drawing/2014/chart" uri="{C3380CC4-5D6E-409C-BE32-E72D297353CC}">
              <c16:uniqueId val="{00000008-78DE-44F8-8CC3-6CE5D6BFBAA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8DE-44F8-8CC3-6CE5D6BFBAA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78DE-44F8-8CC3-6CE5D6BFBAA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78DE-44F8-8CC3-6CE5D6BFBAA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78DE-44F8-8CC3-6CE5D6BFBAA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'pocet_XoZ_mimo NP_10_GRAFY'!$A$44:$A$47</c:f>
              <c:strCache>
                <c:ptCount val="4"/>
                <c:pt idx="0">
                  <c:v>do 25 rokov</c:v>
                </c:pt>
                <c:pt idx="1">
                  <c:v>od 25 do 29 rokov</c:v>
                </c:pt>
                <c:pt idx="2">
                  <c:v>od 30 do 49 rokov</c:v>
                </c:pt>
                <c:pt idx="3">
                  <c:v>od 50 a viac rokov</c:v>
                </c:pt>
              </c:strCache>
            </c:strRef>
          </c:cat>
          <c:val>
            <c:numRef>
              <c:f>'pocet_XoZ_mimo NP_10_GRAFY'!$C$44:$C$47</c:f>
              <c:numCache>
                <c:formatCode>#,##0.00%</c:formatCode>
                <c:ptCount val="4"/>
                <c:pt idx="0">
                  <c:v>0.18150125285900001</c:v>
                </c:pt>
                <c:pt idx="1">
                  <c:v>0.122671314958</c:v>
                </c:pt>
                <c:pt idx="2">
                  <c:v>0.47129316919000003</c:v>
                </c:pt>
                <c:pt idx="3">
                  <c:v>0.22453426299099999</c:v>
                </c:pt>
              </c:numCache>
            </c:numRef>
          </c:val>
          <c:extLst>
            <c:ext xmlns:c16="http://schemas.microsoft.com/office/drawing/2014/chart" uri="{C3380CC4-5D6E-409C-BE32-E72D297353CC}">
              <c16:uniqueId val="{00000011-78DE-44F8-8CC3-6CE5D6BFBAA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234013381594819"/>
          <c:y val="0.44828174603174603"/>
          <c:w val="0.22193978282329713"/>
          <c:h val="0.435473748473748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tx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lgn="just">
        <a:defRPr/>
      </a:pPr>
      <a:endParaRPr lang="sk-SK"/>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Prehľad Z</a:t>
            </a:r>
            <a:r>
              <a:rPr lang="en-US" sz="1200"/>
              <a:t>oZ zaraden</a:t>
            </a:r>
            <a:r>
              <a:rPr lang="sk-SK" sz="1200"/>
              <a:t>ých</a:t>
            </a:r>
            <a:r>
              <a:rPr lang="en-US" sz="1200"/>
              <a:t> </a:t>
            </a:r>
            <a:r>
              <a:rPr lang="sk-SK" sz="1200"/>
              <a:t>na vzdelávanie v roku 2024 </a:t>
            </a:r>
          </a:p>
          <a:p>
            <a:pPr>
              <a:defRPr sz="1200"/>
            </a:pPr>
            <a:r>
              <a:rPr lang="sk-SK" sz="1200"/>
              <a:t>v štruktúre podľa vzdelávacích kategórií</a:t>
            </a:r>
            <a:r>
              <a:rPr lang="en-US" sz="1200"/>
              <a:t> </a:t>
            </a:r>
            <a:endParaRPr lang="sk-SK" sz="1200"/>
          </a:p>
        </c:rich>
      </c:tx>
      <c:layout>
        <c:manualLayout>
          <c:xMode val="edge"/>
          <c:yMode val="edge"/>
          <c:x val="0.26745159472866942"/>
          <c:y val="5.1774419408540662E-2"/>
        </c:manualLayout>
      </c:layout>
      <c:overlay val="0"/>
    </c:title>
    <c:autoTitleDeleted val="0"/>
    <c:plotArea>
      <c:layout>
        <c:manualLayout>
          <c:layoutTarget val="inner"/>
          <c:xMode val="edge"/>
          <c:yMode val="edge"/>
          <c:x val="8.4927438544890058E-2"/>
          <c:y val="0.19960614014157321"/>
          <c:w val="0.88827917430823244"/>
          <c:h val="0.56247486488553933"/>
        </c:manualLayout>
      </c:layout>
      <c:barChart>
        <c:barDir val="col"/>
        <c:grouping val="clustered"/>
        <c:varyColors val="0"/>
        <c:ser>
          <c:idx val="0"/>
          <c:order val="0"/>
          <c:spPr>
            <a:solidFill>
              <a:schemeClr val="accent2"/>
            </a:solidFill>
          </c:spPr>
          <c:invertIfNegative val="0"/>
          <c:cat>
            <c:strRef>
              <c:f>'Typy kurzov_ZoZ_NeW ROZDELENIE'!$A$5:$A$21</c:f>
              <c:strCache>
                <c:ptCount val="17"/>
                <c:pt idx="0">
                  <c:v>Profesia vodiča motorových vozidiel</c:v>
                </c:pt>
                <c:pt idx="1">
                  <c:v>Manažment, financie, ľudské zdroje</c:v>
                </c:pt>
                <c:pt idx="2">
                  <c:v>Počítačové kurzy- špecializované </c:v>
                </c:pt>
                <c:pt idx="3">
                  <c:v>Zváranie</c:v>
                </c:pt>
                <c:pt idx="4">
                  <c:v>Opatrovateľské kurzy</c:v>
                </c:pt>
                <c:pt idx="5">
                  <c:v>Sociálna oblasť/sociálne zručnosti</c:v>
                </c:pt>
                <c:pt idx="6">
                  <c:v>Elektrotechnické minimum</c:v>
                </c:pt>
                <c:pt idx="7">
                  <c:v>Ostatné odborné a technické kurzy</c:v>
                </c:pt>
                <c:pt idx="8">
                  <c:v>Strážna bezpečnostná služba</c:v>
                </c:pt>
                <c:pt idx="9">
                  <c:v>Cudzie jazyky</c:v>
                </c:pt>
                <c:pt idx="10">
                  <c:v>Starostlivosť o ľudské telo</c:v>
                </c:pt>
                <c:pt idx="11">
                  <c:v>Počítačové kurzy - všeobecné </c:v>
                </c:pt>
                <c:pt idx="12">
                  <c:v>Obsluha motorových vozíkov</c:v>
                </c:pt>
                <c:pt idx="13">
                  <c:v>Reštauračné služby</c:v>
                </c:pt>
                <c:pt idx="14">
                  <c:v>Odborné kurzy </c:v>
                </c:pt>
                <c:pt idx="15">
                  <c:v>Beauty služby</c:v>
                </c:pt>
                <c:pt idx="16">
                  <c:v>Podpora zeleného hospodárstva</c:v>
                </c:pt>
              </c:strCache>
            </c:strRef>
          </c:cat>
          <c:val>
            <c:numRef>
              <c:f>'Typy kurzov_ZoZ_NeW ROZDELENIE'!$B$5:$B$21</c:f>
              <c:numCache>
                <c:formatCode>#,##0</c:formatCode>
                <c:ptCount val="17"/>
                <c:pt idx="0">
                  <c:v>1692</c:v>
                </c:pt>
                <c:pt idx="1">
                  <c:v>1271</c:v>
                </c:pt>
                <c:pt idx="2">
                  <c:v>918</c:v>
                </c:pt>
                <c:pt idx="3">
                  <c:v>490</c:v>
                </c:pt>
                <c:pt idx="4">
                  <c:v>362</c:v>
                </c:pt>
                <c:pt idx="5">
                  <c:v>280</c:v>
                </c:pt>
                <c:pt idx="6">
                  <c:v>264</c:v>
                </c:pt>
                <c:pt idx="7">
                  <c:v>206</c:v>
                </c:pt>
                <c:pt idx="8">
                  <c:v>204</c:v>
                </c:pt>
                <c:pt idx="9">
                  <c:v>203</c:v>
                </c:pt>
                <c:pt idx="10">
                  <c:v>142</c:v>
                </c:pt>
                <c:pt idx="11">
                  <c:v>132</c:v>
                </c:pt>
                <c:pt idx="12">
                  <c:v>130</c:v>
                </c:pt>
                <c:pt idx="13">
                  <c:v>130</c:v>
                </c:pt>
                <c:pt idx="14">
                  <c:v>126</c:v>
                </c:pt>
                <c:pt idx="15">
                  <c:v>126</c:v>
                </c:pt>
                <c:pt idx="16">
                  <c:v>50</c:v>
                </c:pt>
              </c:numCache>
            </c:numRef>
          </c:val>
          <c:extLst>
            <c:ext xmlns:c16="http://schemas.microsoft.com/office/drawing/2014/chart" uri="{C3380CC4-5D6E-409C-BE32-E72D297353CC}">
              <c16:uniqueId val="{00000000-A69A-4B0C-A3DE-BA15597DCBFC}"/>
            </c:ext>
          </c:extLst>
        </c:ser>
        <c:dLbls>
          <c:showLegendKey val="0"/>
          <c:showVal val="0"/>
          <c:showCatName val="0"/>
          <c:showSerName val="0"/>
          <c:showPercent val="0"/>
          <c:showBubbleSize val="0"/>
        </c:dLbls>
        <c:gapWidth val="75"/>
        <c:overlap val="-25"/>
        <c:axId val="452543232"/>
        <c:axId val="377344632"/>
      </c:barChart>
      <c:catAx>
        <c:axId val="452543232"/>
        <c:scaling>
          <c:orientation val="minMax"/>
        </c:scaling>
        <c:delete val="0"/>
        <c:axPos val="b"/>
        <c:numFmt formatCode="General" sourceLinked="1"/>
        <c:majorTickMark val="none"/>
        <c:minorTickMark val="none"/>
        <c:tickLblPos val="nextTo"/>
        <c:txPr>
          <a:bodyPr anchor="t" anchorCtr="0"/>
          <a:lstStyle/>
          <a:p>
            <a:pPr>
              <a:defRPr sz="600"/>
            </a:pPr>
            <a:endParaRPr lang="sk-SK"/>
          </a:p>
        </c:txPr>
        <c:crossAx val="377344632"/>
        <c:crosses val="autoZero"/>
        <c:auto val="1"/>
        <c:lblAlgn val="ctr"/>
        <c:lblOffset val="100"/>
        <c:noMultiLvlLbl val="0"/>
      </c:catAx>
      <c:valAx>
        <c:axId val="377344632"/>
        <c:scaling>
          <c:orientation val="minMax"/>
        </c:scaling>
        <c:delete val="0"/>
        <c:axPos val="l"/>
        <c:numFmt formatCode="#,##0" sourceLinked="1"/>
        <c:majorTickMark val="none"/>
        <c:minorTickMark val="none"/>
        <c:tickLblPos val="nextTo"/>
        <c:crossAx val="452543232"/>
        <c:crosses val="autoZero"/>
        <c:crossBetween val="between"/>
      </c:valAx>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podľa právnej formy zamestnávateľa</a:t>
            </a:r>
            <a:endParaRPr lang="sk-SK" sz="1100">
              <a:effectLst/>
            </a:endParaRPr>
          </a:p>
        </c:rich>
      </c:tx>
      <c:layout>
        <c:manualLayout>
          <c:xMode val="edge"/>
          <c:yMode val="edge"/>
          <c:x val="0.21047959282867421"/>
          <c:y val="6.673763366270875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561204155036176"/>
          <c:y val="0.27335663643474195"/>
          <c:w val="0.46413260842394699"/>
          <c:h val="0.60168737226801539"/>
        </c:manualLayout>
      </c:layout>
      <c:pie3DChart>
        <c:varyColors val="1"/>
        <c:ser>
          <c:idx val="0"/>
          <c:order val="0"/>
          <c:explosion val="25"/>
          <c:dPt>
            <c:idx val="0"/>
            <c:bubble3D val="0"/>
            <c:explosion val="14"/>
            <c:extLst>
              <c:ext xmlns:c16="http://schemas.microsoft.com/office/drawing/2014/chart" uri="{C3380CC4-5D6E-409C-BE32-E72D297353CC}">
                <c16:uniqueId val="{00000001-5F68-4B5F-9C3E-1AE9CDC8E78C}"/>
              </c:ext>
            </c:extLst>
          </c:dPt>
          <c:dPt>
            <c:idx val="1"/>
            <c:bubble3D val="0"/>
            <c:explosion val="12"/>
            <c:extLst>
              <c:ext xmlns:c16="http://schemas.microsoft.com/office/drawing/2014/chart" uri="{C3380CC4-5D6E-409C-BE32-E72D297353CC}">
                <c16:uniqueId val="{00000003-5F68-4B5F-9C3E-1AE9CDC8E78C}"/>
              </c:ext>
            </c:extLst>
          </c:dPt>
          <c:dLbls>
            <c:dLbl>
              <c:idx val="0"/>
              <c:layout>
                <c:manualLayout>
                  <c:x val="-0.10755704148092604"/>
                  <c:y val="-0.204355061287442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68-4B5F-9C3E-1AE9CDC8E78C}"/>
                </c:ext>
              </c:extLst>
            </c:dLbl>
            <c:dLbl>
              <c:idx val="1"/>
              <c:layout>
                <c:manualLayout>
                  <c:x val="-1.280135121998639E-3"/>
                  <c:y val="3.03817458618985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68-4B5F-9C3E-1AE9CDC8E78C}"/>
                </c:ext>
              </c:extLst>
            </c:dLbl>
            <c:dLbl>
              <c:idx val="2"/>
              <c:layout>
                <c:manualLayout>
                  <c:x val="6.9418406032579257E-4"/>
                  <c:y val="-4.86034636353226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68-4B5F-9C3E-1AE9CDC8E78C}"/>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Obec a mesto</c:v>
                </c:pt>
                <c:pt idx="1">
                  <c:v>Rozpočtová organizácia</c:v>
                </c:pt>
                <c:pt idx="2">
                  <c:v>Cirkevná organizácia</c:v>
                </c:pt>
                <c:pt idx="3">
                  <c:v>Iná právna forma</c:v>
                </c:pt>
                <c:pt idx="4">
                  <c:v>Združenie</c:v>
                </c:pt>
              </c:strCache>
            </c:strRef>
          </c:cat>
          <c:val>
            <c:numRef>
              <c:f>Hárok1!$B$1:$B$5</c:f>
              <c:numCache>
                <c:formatCode>General</c:formatCode>
                <c:ptCount val="5"/>
                <c:pt idx="0">
                  <c:v>60</c:v>
                </c:pt>
                <c:pt idx="1">
                  <c:v>3</c:v>
                </c:pt>
                <c:pt idx="2">
                  <c:v>1</c:v>
                </c:pt>
                <c:pt idx="3">
                  <c:v>9</c:v>
                </c:pt>
                <c:pt idx="4">
                  <c:v>1</c:v>
                </c:pt>
              </c:numCache>
            </c:numRef>
          </c:val>
          <c:extLst>
            <c:ext xmlns:c16="http://schemas.microsoft.com/office/drawing/2014/chart" uri="{C3380CC4-5D6E-409C-BE32-E72D297353CC}">
              <c16:uniqueId val="{00000004-5F68-4B5F-9C3E-1AE9CDC8E78C}"/>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6705366792686347"/>
          <c:y val="9.425414312779746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4056690856388135"/>
          <c:y val="0.31169353472135919"/>
          <c:w val="0.42042650132976328"/>
          <c:h val="0.54195909811614851"/>
        </c:manualLayout>
      </c:layout>
      <c:pie3DChart>
        <c:varyColors val="1"/>
        <c:ser>
          <c:idx val="0"/>
          <c:order val="0"/>
          <c:explosion val="25"/>
          <c:dPt>
            <c:idx val="0"/>
            <c:bubble3D val="0"/>
            <c:explosion val="14"/>
            <c:extLst>
              <c:ext xmlns:c16="http://schemas.microsoft.com/office/drawing/2014/chart" uri="{C3380CC4-5D6E-409C-BE32-E72D297353CC}">
                <c16:uniqueId val="{00000001-953C-46BB-A227-B2D4CD8CD307}"/>
              </c:ext>
            </c:extLst>
          </c:dPt>
          <c:dPt>
            <c:idx val="1"/>
            <c:bubble3D val="0"/>
            <c:explosion val="7"/>
            <c:extLst>
              <c:ext xmlns:c16="http://schemas.microsoft.com/office/drawing/2014/chart" uri="{C3380CC4-5D6E-409C-BE32-E72D297353CC}">
                <c16:uniqueId val="{00000003-953C-46BB-A227-B2D4CD8CD307}"/>
              </c:ext>
            </c:extLst>
          </c:dPt>
          <c:dPt>
            <c:idx val="2"/>
            <c:bubble3D val="0"/>
            <c:explosion val="12"/>
            <c:extLst>
              <c:ext xmlns:c16="http://schemas.microsoft.com/office/drawing/2014/chart" uri="{C3380CC4-5D6E-409C-BE32-E72D297353CC}">
                <c16:uniqueId val="{00000005-953C-46BB-A227-B2D4CD8CD307}"/>
              </c:ext>
            </c:extLst>
          </c:dPt>
          <c:dPt>
            <c:idx val="3"/>
            <c:bubble3D val="0"/>
            <c:explosion val="16"/>
            <c:extLst>
              <c:ext xmlns:c16="http://schemas.microsoft.com/office/drawing/2014/chart" uri="{C3380CC4-5D6E-409C-BE32-E72D297353CC}">
                <c16:uniqueId val="{00000007-953C-46BB-A227-B2D4CD8CD307}"/>
              </c:ext>
            </c:extLst>
          </c:dPt>
          <c:dLbls>
            <c:dLbl>
              <c:idx val="0"/>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extLst>
                <c:ext xmlns:c16="http://schemas.microsoft.com/office/drawing/2014/chart" uri="{C3380CC4-5D6E-409C-BE32-E72D297353CC}">
                  <c16:uniqueId val="{00000001-953C-46BB-A227-B2D4CD8CD307}"/>
                </c:ext>
              </c:extLst>
            </c:dLbl>
            <c:dLbl>
              <c:idx val="1"/>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extLst>
                <c:ext xmlns:c16="http://schemas.microsoft.com/office/drawing/2014/chart" uri="{C3380CC4-5D6E-409C-BE32-E72D297353CC}">
                  <c16:uniqueId val="{00000003-953C-46BB-A227-B2D4CD8CD307}"/>
                </c:ext>
              </c:extLst>
            </c:dLbl>
            <c:dLbl>
              <c:idx val="2"/>
              <c:layout>
                <c:manualLayout>
                  <c:x val="-3.8871256799877345E-2"/>
                  <c:y val="-0.21522236702331535"/>
                </c:manualLayout>
              </c:layout>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3C-46BB-A227-B2D4CD8CD307}"/>
                </c:ext>
              </c:extLst>
            </c:dLbl>
            <c:dLbl>
              <c:idx val="3"/>
              <c:layout>
                <c:manualLayout>
                  <c:x val="9.4176896659007206E-2"/>
                  <c:y val="5.8739402782319941E-2"/>
                </c:manualLayout>
              </c:layout>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3C-46BB-A227-B2D4CD8CD307}"/>
                </c:ext>
              </c:extLst>
            </c:dLbl>
            <c:numFmt formatCode="0.00%" sourceLinked="0"/>
            <c:spPr>
              <a:noFill/>
              <a:ln>
                <a:solidFill>
                  <a:srgbClr val="5B9BD5"/>
                </a:solid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72</c:v>
                </c:pt>
                <c:pt idx="1">
                  <c:v>56</c:v>
                </c:pt>
                <c:pt idx="2">
                  <c:v>272</c:v>
                </c:pt>
                <c:pt idx="3">
                  <c:v>150</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953C-46BB-A227-B2D4CD8CD307}"/>
            </c:ext>
          </c:extLst>
        </c:ser>
        <c:dLbls>
          <c:showLegendKey val="0"/>
          <c:showVal val="1"/>
          <c:showCatName val="0"/>
          <c:showSerName val="0"/>
          <c:showPercent val="0"/>
          <c:showBubbleSize val="0"/>
          <c:showLeaderLines val="1"/>
        </c:dLbls>
      </c:pie3DChart>
    </c:plotArea>
    <c:legend>
      <c:legendPos val="r"/>
      <c:layout>
        <c:manualLayout>
          <c:xMode val="edge"/>
          <c:yMode val="edge"/>
          <c:x val="0.78228530729402812"/>
          <c:y val="0.20476319584872546"/>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19597221378513169"/>
          <c:y val="6.472835781260645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375602738997063"/>
          <c:y val="0.29214923637900969"/>
          <c:w val="0.42578135058166788"/>
          <c:h val="0.55305501241874955"/>
        </c:manualLayout>
      </c:layout>
      <c:pie3DChart>
        <c:varyColors val="1"/>
        <c:ser>
          <c:idx val="0"/>
          <c:order val="0"/>
          <c:dPt>
            <c:idx val="0"/>
            <c:bubble3D val="0"/>
            <c:explosion val="6"/>
            <c:extLst>
              <c:ext xmlns:c16="http://schemas.microsoft.com/office/drawing/2014/chart" uri="{C3380CC4-5D6E-409C-BE32-E72D297353CC}">
                <c16:uniqueId val="{00000001-BE77-48EE-830A-F5D99E7C77D4}"/>
              </c:ext>
            </c:extLst>
          </c:dPt>
          <c:dPt>
            <c:idx val="1"/>
            <c:bubble3D val="0"/>
            <c:explosion val="19"/>
            <c:extLst>
              <c:ext xmlns:c16="http://schemas.microsoft.com/office/drawing/2014/chart" uri="{C3380CC4-5D6E-409C-BE32-E72D297353CC}">
                <c16:uniqueId val="{00000003-BE77-48EE-830A-F5D99E7C77D4}"/>
              </c:ext>
            </c:extLst>
          </c:dPt>
          <c:dPt>
            <c:idx val="2"/>
            <c:bubble3D val="0"/>
            <c:explosion val="19"/>
            <c:extLst>
              <c:ext xmlns:c16="http://schemas.microsoft.com/office/drawing/2014/chart" uri="{C3380CC4-5D6E-409C-BE32-E72D297353CC}">
                <c16:uniqueId val="{00000005-BE77-48EE-830A-F5D99E7C77D4}"/>
              </c:ext>
            </c:extLst>
          </c:dPt>
          <c:dPt>
            <c:idx val="3"/>
            <c:bubble3D val="0"/>
            <c:explosion val="16"/>
            <c:extLst>
              <c:ext xmlns:c16="http://schemas.microsoft.com/office/drawing/2014/chart" uri="{C3380CC4-5D6E-409C-BE32-E72D297353CC}">
                <c16:uniqueId val="{00000007-BE77-48EE-830A-F5D99E7C77D4}"/>
              </c:ext>
            </c:extLst>
          </c:dPt>
          <c:dPt>
            <c:idx val="4"/>
            <c:bubble3D val="0"/>
            <c:explosion val="21"/>
            <c:extLst>
              <c:ext xmlns:c16="http://schemas.microsoft.com/office/drawing/2014/chart" uri="{C3380CC4-5D6E-409C-BE32-E72D297353CC}">
                <c16:uniqueId val="{00000009-BE77-48EE-830A-F5D99E7C77D4}"/>
              </c:ext>
            </c:extLst>
          </c:dPt>
          <c:dLbls>
            <c:dLbl>
              <c:idx val="0"/>
              <c:layout>
                <c:manualLayout>
                  <c:x val="-0.10682700836825526"/>
                  <c:y val="6.20745681695490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77-48EE-830A-F5D99E7C77D4}"/>
                </c:ext>
              </c:extLst>
            </c:dLbl>
            <c:dLbl>
              <c:idx val="1"/>
              <c:layout>
                <c:manualLayout>
                  <c:x val="7.8121840394541925E-2"/>
                  <c:y val="-0.210010392996177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77-48EE-830A-F5D99E7C77D4}"/>
                </c:ext>
              </c:extLst>
            </c:dLbl>
            <c:dLbl>
              <c:idx val="2"/>
              <c:layout>
                <c:manualLayout>
                  <c:x val="7.5438984398506159E-2"/>
                  <c:y val="1.93431390190936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77-48EE-830A-F5D99E7C77D4}"/>
                </c:ext>
              </c:extLst>
            </c:dLbl>
            <c:dLbl>
              <c:idx val="3"/>
              <c:layout>
                <c:manualLayout>
                  <c:x val="-1.2786929879552964E-2"/>
                  <c:y val="-4.25500839464071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77-48EE-830A-F5D99E7C77D4}"/>
                </c:ext>
              </c:extLst>
            </c:dLbl>
            <c:dLbl>
              <c:idx val="4"/>
              <c:layout>
                <c:manualLayout>
                  <c:x val="5.377377877319349E-2"/>
                  <c:y val="7.4037062207694376E-2"/>
                </c:manualLayout>
              </c:layout>
              <c:numFmt formatCode="0.00%" sourceLinked="0"/>
              <c:spPr>
                <a:noFill/>
                <a:ln>
                  <a:noFill/>
                </a:ln>
                <a:effectLst/>
              </c:spPr>
              <c:txPr>
                <a:bodyPr wrap="square" lIns="38100" tIns="19050" rIns="38100" bIns="19050" anchor="ctr" anchorCtr="0">
                  <a:spAutoFit/>
                </a:bodyPr>
                <a:lstStyle/>
                <a:p>
                  <a:pPr algn="ct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77-48EE-830A-F5D99E7C77D4}"/>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169</c:v>
                </c:pt>
                <c:pt idx="1">
                  <c:v>253</c:v>
                </c:pt>
                <c:pt idx="2">
                  <c:v>44</c:v>
                </c:pt>
                <c:pt idx="3">
                  <c:v>23</c:v>
                </c:pt>
                <c:pt idx="4">
                  <c:v>61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A-BE77-48EE-830A-F5D99E7C77D4}"/>
            </c:ext>
          </c:extLst>
        </c:ser>
        <c:dLbls>
          <c:showLegendKey val="0"/>
          <c:showVal val="1"/>
          <c:showCatName val="0"/>
          <c:showSerName val="0"/>
          <c:showPercent val="0"/>
          <c:showBubbleSize val="0"/>
          <c:showLeaderLines val="1"/>
        </c:dLbls>
      </c:pie3DChart>
    </c:plotArea>
    <c:legend>
      <c:legendPos val="r"/>
      <c:layout>
        <c:manualLayout>
          <c:xMode val="edge"/>
          <c:yMode val="edge"/>
          <c:x val="0.72637735194807651"/>
          <c:y val="0.17344325247934611"/>
          <c:w val="0.23071295290181598"/>
          <c:h val="0.6656432207719001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znevýhodnenia</a:t>
            </a:r>
            <a:endParaRPr lang="sk-SK" sz="1100">
              <a:effectLst/>
            </a:endParaRPr>
          </a:p>
        </c:rich>
      </c:tx>
      <c:layout>
        <c:manualLayout>
          <c:xMode val="edge"/>
          <c:yMode val="edge"/>
          <c:x val="0.16061985807498097"/>
          <c:y val="6.582612902246888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458408771685952"/>
          <c:y val="0.31033368618539547"/>
          <c:w val="0.43190950638372627"/>
          <c:h val="0.57537437722801088"/>
        </c:manualLayout>
      </c:layout>
      <c:pie3DChart>
        <c:varyColors val="1"/>
        <c:ser>
          <c:idx val="0"/>
          <c:order val="0"/>
          <c:explosion val="25"/>
          <c:dPt>
            <c:idx val="0"/>
            <c:bubble3D val="0"/>
            <c:explosion val="14"/>
            <c:extLst>
              <c:ext xmlns:c16="http://schemas.microsoft.com/office/drawing/2014/chart" uri="{C3380CC4-5D6E-409C-BE32-E72D297353CC}">
                <c16:uniqueId val="{00000001-641B-424E-B201-A1E864C5C44E}"/>
              </c:ext>
            </c:extLst>
          </c:dPt>
          <c:dPt>
            <c:idx val="1"/>
            <c:bubble3D val="0"/>
            <c:explosion val="7"/>
            <c:extLst>
              <c:ext xmlns:c16="http://schemas.microsoft.com/office/drawing/2014/chart" uri="{C3380CC4-5D6E-409C-BE32-E72D297353CC}">
                <c16:uniqueId val="{00000003-641B-424E-B201-A1E864C5C44E}"/>
              </c:ext>
            </c:extLst>
          </c:dPt>
          <c:dPt>
            <c:idx val="2"/>
            <c:bubble3D val="0"/>
            <c:explosion val="9"/>
            <c:extLst>
              <c:ext xmlns:c16="http://schemas.microsoft.com/office/drawing/2014/chart" uri="{C3380CC4-5D6E-409C-BE32-E72D297353CC}">
                <c16:uniqueId val="{00000005-641B-424E-B201-A1E864C5C44E}"/>
              </c:ext>
            </c:extLst>
          </c:dPt>
          <c:dPt>
            <c:idx val="3"/>
            <c:bubble3D val="0"/>
            <c:explosion val="8"/>
            <c:extLst>
              <c:ext xmlns:c16="http://schemas.microsoft.com/office/drawing/2014/chart" uri="{C3380CC4-5D6E-409C-BE32-E72D297353CC}">
                <c16:uniqueId val="{00000007-641B-424E-B201-A1E864C5C44E}"/>
              </c:ext>
            </c:extLst>
          </c:dPt>
          <c:dPt>
            <c:idx val="4"/>
            <c:bubble3D val="0"/>
            <c:explosion val="11"/>
            <c:extLst>
              <c:ext xmlns:c16="http://schemas.microsoft.com/office/drawing/2014/chart" uri="{C3380CC4-5D6E-409C-BE32-E72D297353CC}">
                <c16:uniqueId val="{00000009-641B-424E-B201-A1E864C5C44E}"/>
              </c:ext>
            </c:extLst>
          </c:dPt>
          <c:dLbls>
            <c:dLbl>
              <c:idx val="0"/>
              <c:layout>
                <c:manualLayout>
                  <c:x val="6.4447791258844728E-2"/>
                  <c:y val="-1.00286149336751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1B-424E-B201-A1E864C5C44E}"/>
                </c:ext>
              </c:extLst>
            </c:dLbl>
            <c:dLbl>
              <c:idx val="1"/>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1B-424E-B201-A1E864C5C44E}"/>
                </c:ext>
              </c:extLst>
            </c:dLbl>
            <c:dLbl>
              <c:idx val="2"/>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1B-424E-B201-A1E864C5C44E}"/>
                </c:ext>
              </c:extLst>
            </c:dLbl>
            <c:dLbl>
              <c:idx val="3"/>
              <c:layout>
                <c:manualLayout>
                  <c:x val="-4.5753719753946605E-2"/>
                  <c:y val="-0.2160925531554078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1B-424E-B201-A1E864C5C44E}"/>
                </c:ext>
              </c:extLst>
            </c:dLbl>
            <c:dLbl>
              <c:idx val="4"/>
              <c:layout>
                <c:manualLayout>
                  <c:x val="0.10387696988975696"/>
                  <c:y val="3.19491178995960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1B-424E-B201-A1E864C5C44E}"/>
                </c:ext>
              </c:extLst>
            </c:dLbl>
            <c:dLbl>
              <c:idx val="5"/>
              <c:layout>
                <c:manualLayout>
                  <c:x val="-4.5393577129621498E-2"/>
                  <c:y val="1.19465116735719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41B-424E-B201-A1E864C5C44E}"/>
                </c:ext>
              </c:extLst>
            </c:dLbl>
            <c:dLbl>
              <c:idx val="6"/>
              <c:layout>
                <c:manualLayout>
                  <c:x val="3.5572164548423109E-2"/>
                  <c:y val="-3.97349503835257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41B-424E-B201-A1E864C5C44E}"/>
                </c:ext>
              </c:extLst>
            </c:dLbl>
            <c:dLbl>
              <c:idx val="7"/>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41B-424E-B201-A1E864C5C44E}"/>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Hárok1!$A$1:$A$7</c:f>
              <c:strCache>
                <c:ptCount val="7"/>
                <c:pt idx="0">
                  <c:v>absolventi škôl</c:v>
                </c:pt>
                <c:pt idx="1">
                  <c:v>občan starší ako 50 rokov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strCache>
            </c:strRef>
          </c:cat>
          <c:val>
            <c:numRef>
              <c:f>Hárok1!$B$1:$B$7</c:f>
              <c:numCache>
                <c:formatCode>General</c:formatCode>
                <c:ptCount val="7"/>
                <c:pt idx="0">
                  <c:v>12</c:v>
                </c:pt>
                <c:pt idx="1">
                  <c:v>136</c:v>
                </c:pt>
                <c:pt idx="2">
                  <c:v>50</c:v>
                </c:pt>
                <c:pt idx="3">
                  <c:v>297</c:v>
                </c:pt>
                <c:pt idx="4">
                  <c:v>206</c:v>
                </c:pt>
                <c:pt idx="5">
                  <c:v>3</c:v>
                </c:pt>
                <c:pt idx="6">
                  <c:v>24</c:v>
                </c:pt>
              </c:numCache>
            </c:numRef>
          </c:val>
          <c:extLst>
            <c:ext xmlns:c16="http://schemas.microsoft.com/office/drawing/2014/chart" uri="{C3380CC4-5D6E-409C-BE32-E72D297353CC}">
              <c16:uniqueId val="{0000000D-641B-424E-B201-A1E864C5C44E}"/>
            </c:ext>
          </c:extLst>
        </c:ser>
        <c:dLbls>
          <c:showLegendKey val="0"/>
          <c:showVal val="1"/>
          <c:showCatName val="0"/>
          <c:showSerName val="0"/>
          <c:showPercent val="0"/>
          <c:showBubbleSize val="0"/>
          <c:showLeaderLines val="1"/>
        </c:dLbls>
      </c:pie3DChart>
    </c:plotArea>
    <c:legend>
      <c:legendPos val="r"/>
      <c:layout>
        <c:manualLayout>
          <c:xMode val="edge"/>
          <c:yMode val="edge"/>
          <c:x val="0.66558638092907085"/>
          <c:y val="0.14740921497258999"/>
          <c:w val="0.26293089406280623"/>
          <c:h val="0.79818135405937574"/>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pracovných miest podľa SK ISCO</a:t>
            </a:r>
            <a:endParaRPr lang="sk-SK" sz="1100">
              <a:effectLst/>
            </a:endParaRPr>
          </a:p>
        </c:rich>
      </c:tx>
      <c:layout>
        <c:manualLayout>
          <c:xMode val="edge"/>
          <c:yMode val="edge"/>
          <c:x val="0.17968789635215338"/>
          <c:y val="6.188254730545283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701826334208227"/>
          <c:y val="0.27508949333407873"/>
          <c:w val="0.43749470281058611"/>
          <c:h val="0.56620619893114643"/>
        </c:manualLayout>
      </c:layout>
      <c:pie3DChart>
        <c:varyColors val="1"/>
        <c:ser>
          <c:idx val="0"/>
          <c:order val="0"/>
          <c:explosion val="25"/>
          <c:dPt>
            <c:idx val="1"/>
            <c:bubble3D val="0"/>
            <c:explosion val="14"/>
            <c:extLst>
              <c:ext xmlns:c16="http://schemas.microsoft.com/office/drawing/2014/chart" uri="{C3380CC4-5D6E-409C-BE32-E72D297353CC}">
                <c16:uniqueId val="{00000001-38B0-4C31-9628-F16C5E3B3267}"/>
              </c:ext>
            </c:extLst>
          </c:dPt>
          <c:dPt>
            <c:idx val="2"/>
            <c:bubble3D val="0"/>
            <c:explosion val="7"/>
            <c:extLst>
              <c:ext xmlns:c16="http://schemas.microsoft.com/office/drawing/2014/chart" uri="{C3380CC4-5D6E-409C-BE32-E72D297353CC}">
                <c16:uniqueId val="{00000003-38B0-4C31-9628-F16C5E3B3267}"/>
              </c:ext>
            </c:extLst>
          </c:dPt>
          <c:dPt>
            <c:idx val="3"/>
            <c:bubble3D val="0"/>
            <c:explosion val="4"/>
            <c:extLst>
              <c:ext xmlns:c16="http://schemas.microsoft.com/office/drawing/2014/chart" uri="{C3380CC4-5D6E-409C-BE32-E72D297353CC}">
                <c16:uniqueId val="{00000005-38B0-4C31-9628-F16C5E3B3267}"/>
              </c:ext>
            </c:extLst>
          </c:dPt>
          <c:dPt>
            <c:idx val="4"/>
            <c:bubble3D val="0"/>
            <c:explosion val="8"/>
            <c:extLst>
              <c:ext xmlns:c16="http://schemas.microsoft.com/office/drawing/2014/chart" uri="{C3380CC4-5D6E-409C-BE32-E72D297353CC}">
                <c16:uniqueId val="{00000007-38B0-4C31-9628-F16C5E3B3267}"/>
              </c:ext>
            </c:extLst>
          </c:dPt>
          <c:dLbls>
            <c:dLbl>
              <c:idx val="0"/>
              <c:layout>
                <c:manualLayout>
                  <c:x val="-5.4975261132490419E-2"/>
                  <c:y val="4.6522447080716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8B0-4C31-9628-F16C5E3B3267}"/>
                </c:ext>
              </c:extLst>
            </c:dLbl>
            <c:dLbl>
              <c:idx val="1"/>
              <c:layout>
                <c:manualLayout>
                  <c:x val="2.6886712003220598E-2"/>
                  <c:y val="-8.6432845580275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8B0-4C31-9628-F16C5E3B3267}"/>
                </c:ext>
              </c:extLst>
            </c:dLbl>
            <c:dLbl>
              <c:idx val="3"/>
              <c:layout>
                <c:manualLayout>
                  <c:x val="-0.1152044257249592"/>
                  <c:y val="-9.01344938302809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8B0-4C31-9628-F16C5E3B3267}"/>
                </c:ext>
              </c:extLst>
            </c:dLbl>
            <c:dLbl>
              <c:idx val="4"/>
              <c:layout>
                <c:manualLayout>
                  <c:x val="0.14203616246704734"/>
                  <c:y val="-7.87504143977815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8B0-4C31-9628-F16C5E3B3267}"/>
                </c:ext>
              </c:extLst>
            </c:dLbl>
            <c:dLbl>
              <c:idx val="6"/>
              <c:layout>
                <c:manualLayout>
                  <c:x val="9.2774572321572303E-3"/>
                  <c:y val="-6.45066650596246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8B0-4C31-9628-F16C5E3B3267}"/>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Zákonodarcovia, riadiaci pracovníci</c:v>
                </c:pt>
                <c:pt idx="1">
                  <c:v>Špecialisti</c:v>
                </c:pt>
                <c:pt idx="2">
                  <c:v>Technici a odborní pracovníci</c:v>
                </c:pt>
                <c:pt idx="3">
                  <c:v>Kvalifikovaní pracovníci a remeselníci</c:v>
                </c:pt>
                <c:pt idx="4">
                  <c:v>Pomocní a nekvalifikovaní pracovníci</c:v>
                </c:pt>
              </c:strCache>
            </c:strRef>
          </c:cat>
          <c:val>
            <c:numRef>
              <c:f>Hárok1!$B$1:$B$5</c:f>
              <c:numCache>
                <c:formatCode>General</c:formatCode>
                <c:ptCount val="5"/>
                <c:pt idx="0">
                  <c:v>5</c:v>
                </c:pt>
                <c:pt idx="1">
                  <c:v>8</c:v>
                </c:pt>
                <c:pt idx="2">
                  <c:v>57</c:v>
                </c:pt>
                <c:pt idx="3">
                  <c:v>164</c:v>
                </c:pt>
                <c:pt idx="4">
                  <c:v>316</c:v>
                </c:pt>
              </c:numCache>
            </c:numRef>
          </c:val>
          <c:extLst>
            <c:ext xmlns:c16="http://schemas.microsoft.com/office/drawing/2014/chart" uri="{C3380CC4-5D6E-409C-BE32-E72D297353CC}">
              <c16:uniqueId val="{0000000A-38B0-4C31-9628-F16C5E3B3267}"/>
            </c:ext>
          </c:extLst>
        </c:ser>
        <c:dLbls>
          <c:showLegendKey val="0"/>
          <c:showVal val="1"/>
          <c:showCatName val="0"/>
          <c:showSerName val="0"/>
          <c:showPercent val="0"/>
          <c:showBubbleSize val="0"/>
          <c:showLeaderLines val="1"/>
        </c:dLbls>
      </c:pie3DChart>
    </c:plotArea>
    <c:legend>
      <c:legendPos val="r"/>
      <c:layout>
        <c:manualLayout>
          <c:xMode val="edge"/>
          <c:yMode val="edge"/>
          <c:x val="0.6474641904260906"/>
          <c:y val="0.14733329303830042"/>
          <c:w val="0.33912948625807876"/>
          <c:h val="0.67282594560536879"/>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6.5309558064150244E-2"/>
          <c:y val="3.862139195485584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116320687186829"/>
          <c:y val="0.27569536643043391"/>
          <c:w val="0.50029624578022003"/>
          <c:h val="0.65003444504202901"/>
        </c:manualLayout>
      </c:layout>
      <c:pie3DChart>
        <c:varyColors val="1"/>
        <c:ser>
          <c:idx val="0"/>
          <c:order val="0"/>
          <c:explosion val="25"/>
          <c:dPt>
            <c:idx val="0"/>
            <c:bubble3D val="0"/>
            <c:explosion val="14"/>
            <c:extLst>
              <c:ext xmlns:c16="http://schemas.microsoft.com/office/drawing/2014/chart" uri="{C3380CC4-5D6E-409C-BE32-E72D297353CC}">
                <c16:uniqueId val="{00000001-3E32-4A20-AF92-437165593E75}"/>
              </c:ext>
            </c:extLst>
          </c:dPt>
          <c:dPt>
            <c:idx val="1"/>
            <c:bubble3D val="0"/>
            <c:explosion val="9"/>
            <c:extLst>
              <c:ext xmlns:c16="http://schemas.microsoft.com/office/drawing/2014/chart" uri="{C3380CC4-5D6E-409C-BE32-E72D297353CC}">
                <c16:uniqueId val="{00000003-3E32-4A20-AF92-437165593E75}"/>
              </c:ext>
            </c:extLst>
          </c:dPt>
          <c:dPt>
            <c:idx val="2"/>
            <c:bubble3D val="0"/>
            <c:explosion val="3"/>
            <c:extLst>
              <c:ext xmlns:c16="http://schemas.microsoft.com/office/drawing/2014/chart" uri="{C3380CC4-5D6E-409C-BE32-E72D297353CC}">
                <c16:uniqueId val="{00000005-3E32-4A20-AF92-437165593E75}"/>
              </c:ext>
            </c:extLst>
          </c:dPt>
          <c:dPt>
            <c:idx val="3"/>
            <c:bubble3D val="0"/>
            <c:explosion val="10"/>
            <c:extLst>
              <c:ext xmlns:c16="http://schemas.microsoft.com/office/drawing/2014/chart" uri="{C3380CC4-5D6E-409C-BE32-E72D297353CC}">
                <c16:uniqueId val="{00000007-3E32-4A20-AF92-437165593E75}"/>
              </c:ext>
            </c:extLst>
          </c:dPt>
          <c:dPt>
            <c:idx val="4"/>
            <c:bubble3D val="0"/>
            <c:explosion val="18"/>
            <c:extLst>
              <c:ext xmlns:c16="http://schemas.microsoft.com/office/drawing/2014/chart" uri="{C3380CC4-5D6E-409C-BE32-E72D297353CC}">
                <c16:uniqueId val="{00000009-3E32-4A20-AF92-437165593E75}"/>
              </c:ext>
            </c:extLst>
          </c:dPt>
          <c:dLbls>
            <c:dLbl>
              <c:idx val="1"/>
              <c:layout>
                <c:manualLayout>
                  <c:x val="-0.14501920323770717"/>
                  <c:y val="-9.65803846672135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32-4A20-AF92-437165593E75}"/>
                </c:ext>
              </c:extLst>
            </c:dLbl>
            <c:dLbl>
              <c:idx val="2"/>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E32-4A20-AF92-437165593E75}"/>
                </c:ext>
              </c:extLst>
            </c:dLbl>
            <c:dLbl>
              <c:idx val="3"/>
              <c:layout>
                <c:manualLayout>
                  <c:x val="0.12941433566433566"/>
                  <c:y val="-0.12175192253233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32-4A20-AF92-437165593E75}"/>
                </c:ext>
              </c:extLst>
            </c:dLbl>
            <c:dLbl>
              <c:idx val="5"/>
              <c:layout>
                <c:manualLayout>
                  <c:x val="-9.0633001349044659E-2"/>
                  <c:y val="1.51606983270015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E32-4A20-AF92-437165593E75}"/>
                </c:ext>
              </c:extLst>
            </c:dLbl>
            <c:dLbl>
              <c:idx val="6"/>
              <c:layout>
                <c:manualLayout>
                  <c:x val="-5.3402810280270913E-2"/>
                  <c:y val="-3.33268360137841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E32-4A20-AF92-437165593E75}"/>
                </c:ext>
              </c:extLst>
            </c:dLbl>
            <c:dLbl>
              <c:idx val="7"/>
              <c:layout>
                <c:manualLayout>
                  <c:x val="-2.5237140517475136E-3"/>
                  <c:y val="-8.09523423372283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E32-4A20-AF92-437165593E75}"/>
                </c:ext>
              </c:extLst>
            </c:dLbl>
            <c:dLbl>
              <c:idx val="8"/>
              <c:layout>
                <c:manualLayout>
                  <c:x val="5.2967898243488756E-2"/>
                  <c:y val="-5.73409290676591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E32-4A20-AF92-437165593E75}"/>
                </c:ext>
              </c:extLst>
            </c:dLbl>
            <c:dLbl>
              <c:idx val="9"/>
              <c:layout>
                <c:manualLayout>
                  <c:x val="7.0726677358075002E-2"/>
                  <c:y val="-1.9220542317777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3E32-4A20-AF92-437165593E75}"/>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Výššie odborné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78</c:v>
                </c:pt>
                <c:pt idx="1">
                  <c:v>205</c:v>
                </c:pt>
                <c:pt idx="2">
                  <c:v>18</c:v>
                </c:pt>
                <c:pt idx="3">
                  <c:v>147</c:v>
                </c:pt>
                <c:pt idx="4">
                  <c:v>68</c:v>
                </c:pt>
                <c:pt idx="5">
                  <c:v>6</c:v>
                </c:pt>
                <c:pt idx="6">
                  <c:v>1</c:v>
                </c:pt>
                <c:pt idx="7">
                  <c:v>3</c:v>
                </c:pt>
                <c:pt idx="8">
                  <c:v>23</c:v>
                </c:pt>
                <c:pt idx="9">
                  <c:v>1</c:v>
                </c:pt>
              </c:numCache>
            </c:numRef>
          </c:val>
          <c:extLst>
            <c:ext xmlns:c16="http://schemas.microsoft.com/office/drawing/2014/chart" uri="{C3380CC4-5D6E-409C-BE32-E72D297353CC}">
              <c16:uniqueId val="{0000000F-3E32-4A20-AF92-437165593E75}"/>
            </c:ext>
          </c:extLst>
        </c:ser>
        <c:dLbls>
          <c:showLegendKey val="0"/>
          <c:showVal val="1"/>
          <c:showCatName val="0"/>
          <c:showSerName val="0"/>
          <c:showPercent val="0"/>
          <c:showBubbleSize val="0"/>
          <c:showLeaderLines val="1"/>
        </c:dLbls>
      </c:pie3DChart>
    </c:plotArea>
    <c:legend>
      <c:legendPos val="r"/>
      <c:layout>
        <c:manualLayout>
          <c:xMode val="edge"/>
          <c:yMode val="edge"/>
          <c:x val="0.67208481047526381"/>
          <c:y val="7.8140995038705363E-2"/>
          <c:w val="0.30408761452202859"/>
          <c:h val="0.92185900496129469"/>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u="none" strike="noStrike" baseline="0">
                <a:solidFill>
                  <a:srgbClr val="002060"/>
                </a:solidFill>
                <a:effectLst/>
              </a:rPr>
              <a:t>rehľad MD zaradených na vzdelávanie v roku 2024 v štruktúre podľa jednotlivých úradov </a:t>
            </a:r>
            <a:endParaRPr lang="sk-SK" sz="1200">
              <a:solidFill>
                <a:srgbClr val="002060"/>
              </a:solidFill>
              <a:effectLst/>
            </a:endParaRPr>
          </a:p>
        </c:rich>
      </c:tx>
      <c:layout>
        <c:manualLayout>
          <c:xMode val="edge"/>
          <c:yMode val="edge"/>
          <c:x val="0.13133575682304222"/>
          <c:y val="7.6109789661708949E-2"/>
        </c:manualLayout>
      </c:layout>
      <c:overlay val="0"/>
    </c:title>
    <c:autoTitleDeleted val="0"/>
    <c:plotArea>
      <c:layout>
        <c:manualLayout>
          <c:layoutTarget val="inner"/>
          <c:xMode val="edge"/>
          <c:yMode val="edge"/>
          <c:x val="0.16569001330044877"/>
          <c:y val="0.25896566614268623"/>
          <c:w val="0.68854169410753752"/>
          <c:h val="0.68122166547363394"/>
        </c:manualLayout>
      </c:layout>
      <c:radarChart>
        <c:radarStyle val="marker"/>
        <c:varyColors val="0"/>
        <c:ser>
          <c:idx val="0"/>
          <c:order val="0"/>
          <c:spPr>
            <a:ln>
              <a:solidFill>
                <a:srgbClr val="FF0000"/>
              </a:solidFill>
            </a:ln>
          </c:spPr>
          <c:marker>
            <c:spPr>
              <a:solidFill>
                <a:srgbClr val="FF0000"/>
              </a:solidFill>
            </c:spPr>
          </c:marker>
          <c:dLbls>
            <c:dLbl>
              <c:idx val="0"/>
              <c:delete val="1"/>
              <c:extLst>
                <c:ext xmlns:c15="http://schemas.microsoft.com/office/drawing/2012/chart" uri="{CE6537A1-D6FC-4f65-9D91-7224C49458BB}"/>
                <c:ext xmlns:c16="http://schemas.microsoft.com/office/drawing/2014/chart" uri="{C3380CC4-5D6E-409C-BE32-E72D297353CC}">
                  <c16:uniqueId val="{00000000-59C3-43BD-8808-C4E4FBE16892}"/>
                </c:ext>
              </c:extLst>
            </c:dLbl>
            <c:dLbl>
              <c:idx val="1"/>
              <c:layout>
                <c:manualLayout>
                  <c:x val="1.3895974925888873E-2"/>
                  <c:y val="1.6605546684286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C3-43BD-8808-C4E4FBE16892}"/>
                </c:ext>
              </c:extLst>
            </c:dLbl>
            <c:dLbl>
              <c:idx val="2"/>
              <c:layout>
                <c:manualLayout>
                  <c:x val="3.2620894354264025E-2"/>
                  <c:y val="-6.565662683772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C3-43BD-8808-C4E4FBE16892}"/>
                </c:ext>
              </c:extLst>
            </c:dLbl>
            <c:dLbl>
              <c:idx val="3"/>
              <c:layout>
                <c:manualLayout>
                  <c:x val="4.6299345835311846E-2"/>
                  <c:y val="-6.3623699135510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C3-43BD-8808-C4E4FBE16892}"/>
                </c:ext>
              </c:extLst>
            </c:dLbl>
            <c:dLbl>
              <c:idx val="4"/>
              <c:layout>
                <c:manualLayout>
                  <c:x val="0.11529882346754096"/>
                  <c:y val="-8.4239500943927459E-2"/>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3.7261164032817574E-2"/>
                    </c:manualLayout>
                  </c15:layout>
                </c:ext>
                <c:ext xmlns:c16="http://schemas.microsoft.com/office/drawing/2014/chart" uri="{C3380CC4-5D6E-409C-BE32-E72D297353CC}">
                  <c16:uniqueId val="{00000004-59C3-43BD-8808-C4E4FBE16892}"/>
                </c:ext>
              </c:extLst>
            </c:dLbl>
            <c:dLbl>
              <c:idx val="5"/>
              <c:layout>
                <c:manualLayout>
                  <c:x val="0.12655534953015779"/>
                  <c:y val="-6.836981071607906E-2"/>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2.793715470880825E-2"/>
                    </c:manualLayout>
                  </c15:layout>
                </c:ext>
                <c:ext xmlns:c16="http://schemas.microsoft.com/office/drawing/2014/chart" uri="{C3380CC4-5D6E-409C-BE32-E72D297353CC}">
                  <c16:uniqueId val="{00000005-59C3-43BD-8808-C4E4FBE16892}"/>
                </c:ext>
              </c:extLst>
            </c:dLbl>
            <c:dLbl>
              <c:idx val="6"/>
              <c:layout>
                <c:manualLayout>
                  <c:x val="0.12473083649363836"/>
                  <c:y val="-4.7478026860018993E-2"/>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3.7261164032817574E-2"/>
                    </c:manualLayout>
                  </c15:layout>
                </c:ext>
                <c:ext xmlns:c16="http://schemas.microsoft.com/office/drawing/2014/chart" uri="{C3380CC4-5D6E-409C-BE32-E72D297353CC}">
                  <c16:uniqueId val="{00000006-59C3-43BD-8808-C4E4FBE16892}"/>
                </c:ext>
              </c:extLst>
            </c:dLbl>
            <c:dLbl>
              <c:idx val="7"/>
              <c:layout>
                <c:manualLayout>
                  <c:x val="0.18191770654147088"/>
                  <c:y val="-4.8443374444878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C3-43BD-8808-C4E4FBE16892}"/>
                </c:ext>
              </c:extLst>
            </c:dLbl>
            <c:dLbl>
              <c:idx val="8"/>
              <c:layout>
                <c:manualLayout>
                  <c:x val="0.17945345418082198"/>
                  <c:y val="-1.9056912873209819E-2"/>
                </c:manualLayout>
              </c:layout>
              <c:showLegendKey val="0"/>
              <c:showVal val="1"/>
              <c:showCatName val="0"/>
              <c:showSerName val="0"/>
              <c:showPercent val="0"/>
              <c:showBubbleSize val="0"/>
              <c:extLst>
                <c:ext xmlns:c15="http://schemas.microsoft.com/office/drawing/2012/chart" uri="{CE6537A1-D6FC-4f65-9D91-7224C49458BB}">
                  <c15:layout>
                    <c:manualLayout>
                      <c:w val="4.6962959146578123E-2"/>
                      <c:h val="3.9216344547732485E-2"/>
                    </c:manualLayout>
                  </c15:layout>
                </c:ext>
                <c:ext xmlns:c16="http://schemas.microsoft.com/office/drawing/2014/chart" uri="{C3380CC4-5D6E-409C-BE32-E72D297353CC}">
                  <c16:uniqueId val="{00000008-59C3-43BD-8808-C4E4FBE16892}"/>
                </c:ext>
              </c:extLst>
            </c:dLbl>
            <c:dLbl>
              <c:idx val="9"/>
              <c:layout>
                <c:manualLayout>
                  <c:x val="0.20935723246951224"/>
                  <c:y val="1.6620270116076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C3-43BD-8808-C4E4FBE16892}"/>
                </c:ext>
              </c:extLst>
            </c:dLbl>
            <c:dLbl>
              <c:idx val="10"/>
              <c:layout>
                <c:manualLayout>
                  <c:x val="0.20641614182566531"/>
                  <c:y val="5.0389516823658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C3-43BD-8808-C4E4FBE16892}"/>
                </c:ext>
              </c:extLst>
            </c:dLbl>
            <c:dLbl>
              <c:idx val="11"/>
              <c:layout>
                <c:manualLayout>
                  <c:x val="0.19679910143614787"/>
                  <c:y val="9.085368691926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C3-43BD-8808-C4E4FBE16892}"/>
                </c:ext>
              </c:extLst>
            </c:dLbl>
            <c:dLbl>
              <c:idx val="12"/>
              <c:layout>
                <c:manualLayout>
                  <c:x val="0.17437909744485869"/>
                  <c:y val="0.12961418432763241"/>
                </c:manualLayout>
              </c:layout>
              <c:showLegendKey val="0"/>
              <c:showVal val="1"/>
              <c:showCatName val="0"/>
              <c:showSerName val="0"/>
              <c:showPercent val="0"/>
              <c:showBubbleSize val="0"/>
              <c:extLst>
                <c:ext xmlns:c15="http://schemas.microsoft.com/office/drawing/2012/chart" uri="{CE6537A1-D6FC-4f65-9D91-7224C49458BB}">
                  <c15:layout>
                    <c:manualLayout>
                      <c:w val="5.1887788220020888E-2"/>
                      <c:h val="2.7995882190326015E-2"/>
                    </c:manualLayout>
                  </c15:layout>
                </c:ext>
                <c:ext xmlns:c16="http://schemas.microsoft.com/office/drawing/2014/chart" uri="{C3380CC4-5D6E-409C-BE32-E72D297353CC}">
                  <c16:uniqueId val="{0000000C-59C3-43BD-8808-C4E4FBE16892}"/>
                </c:ext>
              </c:extLst>
            </c:dLbl>
            <c:dLbl>
              <c:idx val="13"/>
              <c:layout>
                <c:manualLayout>
                  <c:x val="0.15967086507400613"/>
                  <c:y val="0.17941907577906455"/>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4.1923168694822231E-2"/>
                    </c:manualLayout>
                  </c15:layout>
                </c:ext>
                <c:ext xmlns:c16="http://schemas.microsoft.com/office/drawing/2014/chart" uri="{C3380CC4-5D6E-409C-BE32-E72D297353CC}">
                  <c16:uniqueId val="{0000000D-59C3-43BD-8808-C4E4FBE16892}"/>
                </c:ext>
              </c:extLst>
            </c:dLbl>
            <c:dLbl>
              <c:idx val="14"/>
              <c:layout>
                <c:manualLayout>
                  <c:x val="0.11508110987523013"/>
                  <c:y val="0.19628393967721328"/>
                </c:manualLayout>
              </c:layout>
              <c:showLegendKey val="0"/>
              <c:showVal val="1"/>
              <c:showCatName val="0"/>
              <c:showSerName val="0"/>
              <c:showPercent val="0"/>
              <c:showBubbleSize val="0"/>
              <c:extLst>
                <c:ext xmlns:c15="http://schemas.microsoft.com/office/drawing/2012/chart" uri="{CE6537A1-D6FC-4f65-9D91-7224C49458BB}">
                  <c15:layout>
                    <c:manualLayout>
                      <c:w val="4.8614095878379185E-2"/>
                      <c:h val="5.5508721906160879E-2"/>
                    </c:manualLayout>
                  </c15:layout>
                </c:ext>
                <c:ext xmlns:c16="http://schemas.microsoft.com/office/drawing/2014/chart" uri="{C3380CC4-5D6E-409C-BE32-E72D297353CC}">
                  <c16:uniqueId val="{0000000E-59C3-43BD-8808-C4E4FBE16892}"/>
                </c:ext>
              </c:extLst>
            </c:dLbl>
            <c:dLbl>
              <c:idx val="15"/>
              <c:layout>
                <c:manualLayout>
                  <c:x val="9.994673649035693E-2"/>
                  <c:y val="0.23325059121618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C3-43BD-8808-C4E4FBE16892}"/>
                </c:ext>
              </c:extLst>
            </c:dLbl>
            <c:dLbl>
              <c:idx val="16"/>
              <c:layout>
                <c:manualLayout>
                  <c:x val="5.3325345766545067E-2"/>
                  <c:y val="0.24483481372519539"/>
                </c:manualLayout>
              </c:layout>
              <c:showLegendKey val="0"/>
              <c:showVal val="1"/>
              <c:showCatName val="0"/>
              <c:showSerName val="0"/>
              <c:showPercent val="0"/>
              <c:showBubbleSize val="0"/>
              <c:extLst>
                <c:ext xmlns:c15="http://schemas.microsoft.com/office/drawing/2012/chart" uri="{CE6537A1-D6FC-4f65-9D91-7224C49458BB}">
                  <c15:layout>
                    <c:manualLayout>
                      <c:w val="5.1035485169859063E-2"/>
                      <c:h val="4.0524208248150548E-2"/>
                    </c:manualLayout>
                  </c15:layout>
                </c:ext>
                <c:ext xmlns:c16="http://schemas.microsoft.com/office/drawing/2014/chart" uri="{C3380CC4-5D6E-409C-BE32-E72D297353CC}">
                  <c16:uniqueId val="{00000010-59C3-43BD-8808-C4E4FBE16892}"/>
                </c:ext>
              </c:extLst>
            </c:dLbl>
            <c:dLbl>
              <c:idx val="17"/>
              <c:layout>
                <c:manualLayout>
                  <c:x val="-3.3669956291427399E-3"/>
                  <c:y val="0.24344173292146268"/>
                </c:manualLayout>
              </c:layout>
              <c:showLegendKey val="0"/>
              <c:showVal val="1"/>
              <c:showCatName val="0"/>
              <c:showSerName val="0"/>
              <c:showPercent val="0"/>
              <c:showBubbleSize val="0"/>
              <c:extLst>
                <c:ext xmlns:c15="http://schemas.microsoft.com/office/drawing/2012/chart" uri="{CE6537A1-D6FC-4f65-9D91-7224C49458BB}">
                  <c15:layout>
                    <c:manualLayout>
                      <c:w val="3.5487307668010663E-2"/>
                      <c:h val="3.7971814404460659E-2"/>
                    </c:manualLayout>
                  </c15:layout>
                </c:ext>
                <c:ext xmlns:c16="http://schemas.microsoft.com/office/drawing/2014/chart" uri="{C3380CC4-5D6E-409C-BE32-E72D297353CC}">
                  <c16:uniqueId val="{00000011-59C3-43BD-8808-C4E4FBE16892}"/>
                </c:ext>
              </c:extLst>
            </c:dLbl>
            <c:dLbl>
              <c:idx val="18"/>
              <c:layout>
                <c:manualLayout>
                  <c:x val="-5.7582150920118313E-2"/>
                  <c:y val="0.23272595250580505"/>
                </c:manualLayout>
              </c:layout>
              <c:showLegendKey val="0"/>
              <c:showVal val="1"/>
              <c:showCatName val="0"/>
              <c:showSerName val="0"/>
              <c:showPercent val="0"/>
              <c:showBubbleSize val="0"/>
              <c:extLst>
                <c:ext xmlns:c15="http://schemas.microsoft.com/office/drawing/2012/chart" uri="{CE6537A1-D6FC-4f65-9D91-7224C49458BB}">
                  <c15:layout>
                    <c:manualLayout>
                      <c:w val="4.1669530439887317E-2"/>
                      <c:h val="3.9467001260080327E-2"/>
                    </c:manualLayout>
                  </c15:layout>
                </c:ext>
                <c:ext xmlns:c16="http://schemas.microsoft.com/office/drawing/2014/chart" uri="{C3380CC4-5D6E-409C-BE32-E72D297353CC}">
                  <c16:uniqueId val="{00000012-59C3-43BD-8808-C4E4FBE16892}"/>
                </c:ext>
              </c:extLst>
            </c:dLbl>
            <c:dLbl>
              <c:idx val="19"/>
              <c:layout>
                <c:manualLayout>
                  <c:x val="-0.10312485597643213"/>
                  <c:y val="0.236968133460248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9C3-43BD-8808-C4E4FBE16892}"/>
                </c:ext>
              </c:extLst>
            </c:dLbl>
            <c:dLbl>
              <c:idx val="20"/>
              <c:layout>
                <c:manualLayout>
                  <c:x val="-0.14120222396652438"/>
                  <c:y val="0.20758057922387277"/>
                </c:manualLayout>
              </c:layout>
              <c:showLegendKey val="0"/>
              <c:showVal val="1"/>
              <c:showCatName val="0"/>
              <c:showSerName val="0"/>
              <c:showPercent val="0"/>
              <c:showBubbleSize val="0"/>
              <c:extLst>
                <c:ext xmlns:c15="http://schemas.microsoft.com/office/drawing/2012/chart" uri="{CE6537A1-D6FC-4f65-9D91-7224C49458BB}">
                  <c15:layout>
                    <c:manualLayout>
                      <c:w val="4.1569997444675044E-2"/>
                      <c:h val="6.0521749484767642E-2"/>
                    </c:manualLayout>
                  </c15:layout>
                </c:ext>
                <c:ext xmlns:c16="http://schemas.microsoft.com/office/drawing/2014/chart" uri="{C3380CC4-5D6E-409C-BE32-E72D297353CC}">
                  <c16:uniqueId val="{00000014-59C3-43BD-8808-C4E4FBE16892}"/>
                </c:ext>
              </c:extLst>
            </c:dLbl>
            <c:dLbl>
              <c:idx val="21"/>
              <c:layout>
                <c:manualLayout>
                  <c:x val="-0.18292700288372887"/>
                  <c:y val="0.1986999685829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9C3-43BD-8808-C4E4FBE16892}"/>
                </c:ext>
              </c:extLst>
            </c:dLbl>
            <c:dLbl>
              <c:idx val="22"/>
              <c:layout>
                <c:manualLayout>
                  <c:x val="-0.22861574174676561"/>
                  <c:y val="0.16110625053635894"/>
                </c:manualLayout>
              </c:layout>
              <c:showLegendKey val="0"/>
              <c:showVal val="1"/>
              <c:showCatName val="0"/>
              <c:showSerName val="0"/>
              <c:showPercent val="0"/>
              <c:showBubbleSize val="0"/>
              <c:extLst>
                <c:ext xmlns:c15="http://schemas.microsoft.com/office/drawing/2012/chart" uri="{CE6537A1-D6FC-4f65-9D91-7224C49458BB}">
                  <c15:layout>
                    <c:manualLayout>
                      <c:w val="3.0613589261554521E-2"/>
                      <c:h val="4.7304443582272711E-2"/>
                    </c:manualLayout>
                  </c15:layout>
                </c:ext>
                <c:ext xmlns:c16="http://schemas.microsoft.com/office/drawing/2014/chart" uri="{C3380CC4-5D6E-409C-BE32-E72D297353CC}">
                  <c16:uniqueId val="{00000016-59C3-43BD-8808-C4E4FBE16892}"/>
                </c:ext>
              </c:extLst>
            </c:dLbl>
            <c:dLbl>
              <c:idx val="23"/>
              <c:layout>
                <c:manualLayout>
                  <c:x val="-0.26831708325219755"/>
                  <c:y val="0.129554642921899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9C3-43BD-8808-C4E4FBE16892}"/>
                </c:ext>
              </c:extLst>
            </c:dLbl>
            <c:dLbl>
              <c:idx val="24"/>
              <c:layout>
                <c:manualLayout>
                  <c:x val="-0.28722858442841775"/>
                  <c:y val="6.5643539002875617E-2"/>
                </c:manualLayout>
              </c:layout>
              <c:showLegendKey val="0"/>
              <c:showVal val="1"/>
              <c:showCatName val="0"/>
              <c:showSerName val="0"/>
              <c:showPercent val="0"/>
              <c:showBubbleSize val="0"/>
              <c:extLst>
                <c:ext xmlns:c15="http://schemas.microsoft.com/office/drawing/2012/chart" uri="{CE6537A1-D6FC-4f65-9D91-7224C49458BB}">
                  <c15:layout>
                    <c:manualLayout>
                      <c:w val="3.4024308644647436E-2"/>
                      <c:h val="4.8817235146460809E-2"/>
                    </c:manualLayout>
                  </c15:layout>
                </c:ext>
                <c:ext xmlns:c16="http://schemas.microsoft.com/office/drawing/2014/chart" uri="{C3380CC4-5D6E-409C-BE32-E72D297353CC}">
                  <c16:uniqueId val="{00000018-59C3-43BD-8808-C4E4FBE16892}"/>
                </c:ext>
              </c:extLst>
            </c:dLbl>
            <c:dLbl>
              <c:idx val="25"/>
              <c:layout>
                <c:manualLayout>
                  <c:x val="-0.29348051908567141"/>
                  <c:y val="1.692486304549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9C3-43BD-8808-C4E4FBE16892}"/>
                </c:ext>
              </c:extLst>
            </c:dLbl>
            <c:dLbl>
              <c:idx val="26"/>
              <c:layout>
                <c:manualLayout>
                  <c:x val="-0.29080285704151282"/>
                  <c:y val="-2.5073000988271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9C3-43BD-8808-C4E4FBE16892}"/>
                </c:ext>
              </c:extLst>
            </c:dLbl>
            <c:dLbl>
              <c:idx val="27"/>
              <c:layout>
                <c:manualLayout>
                  <c:x val="-0.30423653091593317"/>
                  <c:y val="-8.919577992905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9C3-43BD-8808-C4E4FBE16892}"/>
                </c:ext>
              </c:extLst>
            </c:dLbl>
            <c:dLbl>
              <c:idx val="28"/>
              <c:layout>
                <c:manualLayout>
                  <c:x val="-0.28642913653908342"/>
                  <c:y val="-0.12958600702120066"/>
                </c:manualLayout>
              </c:layout>
              <c:showLegendKey val="0"/>
              <c:showVal val="1"/>
              <c:showCatName val="0"/>
              <c:showSerName val="0"/>
              <c:showPercent val="0"/>
              <c:showBubbleSize val="0"/>
              <c:extLst>
                <c:ext xmlns:c15="http://schemas.microsoft.com/office/drawing/2012/chart" uri="{CE6537A1-D6FC-4f65-9D91-7224C49458BB}">
                  <c15:layout>
                    <c:manualLayout>
                      <c:w val="4.8522756660108066E-2"/>
                      <c:h val="5.1247178018831552E-2"/>
                    </c:manualLayout>
                  </c15:layout>
                </c:ext>
                <c:ext xmlns:c16="http://schemas.microsoft.com/office/drawing/2014/chart" uri="{C3380CC4-5D6E-409C-BE32-E72D297353CC}">
                  <c16:uniqueId val="{0000001C-59C3-43BD-8808-C4E4FBE16892}"/>
                </c:ext>
              </c:extLst>
            </c:dLbl>
            <c:dLbl>
              <c:idx val="29"/>
              <c:layout>
                <c:manualLayout>
                  <c:x val="-0.25874654624648885"/>
                  <c:y val="-0.17555940267813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9C3-43BD-8808-C4E4FBE16892}"/>
                </c:ext>
              </c:extLst>
            </c:dLbl>
            <c:dLbl>
              <c:idx val="30"/>
              <c:layout>
                <c:manualLayout>
                  <c:x val="-0.21604188238007779"/>
                  <c:y val="-0.217272172405724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9C3-43BD-8808-C4E4FBE16892}"/>
                </c:ext>
              </c:extLst>
            </c:dLbl>
            <c:dLbl>
              <c:idx val="31"/>
              <c:layout>
                <c:manualLayout>
                  <c:x val="-0.1782522097813668"/>
                  <c:y val="-0.24625457232027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9C3-43BD-8808-C4E4FBE16892}"/>
                </c:ext>
              </c:extLst>
            </c:dLbl>
            <c:dLbl>
              <c:idx val="32"/>
              <c:layout>
                <c:manualLayout>
                  <c:x val="-0.12862583519044613"/>
                  <c:y val="-0.276578075583055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9C3-43BD-8808-C4E4FBE16892}"/>
                </c:ext>
              </c:extLst>
            </c:dLbl>
            <c:dLbl>
              <c:idx val="33"/>
              <c:layout>
                <c:manualLayout>
                  <c:x val="-6.7150681207855611E-2"/>
                  <c:y val="-0.28828871389168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9C3-43BD-8808-C4E4FBE16892}"/>
                </c:ext>
              </c:extLst>
            </c:dLbl>
            <c:dLbl>
              <c:idx val="34"/>
              <c:layout>
                <c:manualLayout>
                  <c:x val="-0.29461259554458297"/>
                  <c:y val="2.1947579979076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9C3-43BD-8808-C4E4FBE16892}"/>
                </c:ext>
              </c:extLst>
            </c:dLbl>
            <c:dLbl>
              <c:idx val="35"/>
              <c:layout>
                <c:manualLayout>
                  <c:x val="-0.29295882023121572"/>
                  <c:y val="-1.6523135656993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9C3-43BD-8808-C4E4FBE16892}"/>
                </c:ext>
              </c:extLst>
            </c:dLbl>
            <c:dLbl>
              <c:idx val="36"/>
              <c:layout>
                <c:manualLayout>
                  <c:x val="-0.28941179712919801"/>
                  <c:y val="-4.6266174770111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9C3-43BD-8808-C4E4FBE16892}"/>
                </c:ext>
              </c:extLst>
            </c:dLbl>
            <c:dLbl>
              <c:idx val="37"/>
              <c:layout>
                <c:manualLayout>
                  <c:x val="-0.2828356148083373"/>
                  <c:y val="-7.8967934952186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9C3-43BD-8808-C4E4FBE16892}"/>
                </c:ext>
              </c:extLst>
            </c:dLbl>
            <c:dLbl>
              <c:idx val="38"/>
              <c:layout>
                <c:manualLayout>
                  <c:x val="-0.26790936618562988"/>
                  <c:y val="-0.11525686911513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9C3-43BD-8808-C4E4FBE16892}"/>
                </c:ext>
              </c:extLst>
            </c:dLbl>
            <c:dLbl>
              <c:idx val="39"/>
              <c:layout>
                <c:manualLayout>
                  <c:x val="-0.25046232526283779"/>
                  <c:y val="-0.149786538920397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9C3-43BD-8808-C4E4FBE16892}"/>
                </c:ext>
              </c:extLst>
            </c:dLbl>
            <c:dLbl>
              <c:idx val="40"/>
              <c:layout>
                <c:manualLayout>
                  <c:x val="-0.22265614452666663"/>
                  <c:y val="-0.18532184351081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9C3-43BD-8808-C4E4FBE16892}"/>
                </c:ext>
              </c:extLst>
            </c:dLbl>
            <c:dLbl>
              <c:idx val="41"/>
              <c:layout>
                <c:manualLayout>
                  <c:x val="-0.19189100762233813"/>
                  <c:y val="-0.20716149991740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9C3-43BD-8808-C4E4FBE16892}"/>
                </c:ext>
              </c:extLst>
            </c:dLbl>
            <c:dLbl>
              <c:idx val="42"/>
              <c:layout>
                <c:manualLayout>
                  <c:x val="-0.16258542379831281"/>
                  <c:y val="-0.22627425068369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9C3-43BD-8808-C4E4FBE16892}"/>
                </c:ext>
              </c:extLst>
            </c:dLbl>
            <c:dLbl>
              <c:idx val="43"/>
              <c:layout>
                <c:manualLayout>
                  <c:x val="-0.1337247075819481"/>
                  <c:y val="-0.24785492722500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9C3-43BD-8808-C4E4FBE16892}"/>
                </c:ext>
              </c:extLst>
            </c:dLbl>
            <c:dLbl>
              <c:idx val="44"/>
              <c:layout>
                <c:manualLayout>
                  <c:x val="-9.4550846654377713E-2"/>
                  <c:y val="-0.26413688673531194"/>
                </c:manualLayout>
              </c:layout>
              <c:showLegendKey val="0"/>
              <c:showVal val="1"/>
              <c:showCatName val="0"/>
              <c:showSerName val="0"/>
              <c:showPercent val="0"/>
              <c:showBubbleSize val="0"/>
              <c:extLst>
                <c:ext xmlns:c15="http://schemas.microsoft.com/office/drawing/2012/chart" uri="{CE6537A1-D6FC-4f65-9D91-7224C49458BB}">
                  <c15:layout>
                    <c:manualLayout>
                      <c:w val="4.0991730872350626E-2"/>
                      <c:h val="3.2667686983928801E-2"/>
                    </c:manualLayout>
                  </c15:layout>
                </c:ext>
                <c:ext xmlns:c16="http://schemas.microsoft.com/office/drawing/2014/chart" uri="{C3380CC4-5D6E-409C-BE32-E72D297353CC}">
                  <c16:uniqueId val="{0000002C-59C3-43BD-8808-C4E4FBE16892}"/>
                </c:ext>
              </c:extLst>
            </c:dLbl>
            <c:dLbl>
              <c:idx val="45"/>
              <c:layout>
                <c:manualLayout>
                  <c:x val="-5.8892181488066679E-2"/>
                  <c:y val="-0.26906266490413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9C3-43BD-8808-C4E4FBE16892}"/>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'prehľad zaradenych_2024'!$A$2:$A$35</c:f>
              <c:strCache>
                <c:ptCount val="34"/>
                <c:pt idx="1">
                  <c:v>RS</c:v>
                </c:pt>
                <c:pt idx="2">
                  <c:v>TN</c:v>
                </c:pt>
                <c:pt idx="3">
                  <c:v>TT</c:v>
                </c:pt>
                <c:pt idx="4">
                  <c:v>KE</c:v>
                </c:pt>
                <c:pt idx="5">
                  <c:v>PE</c:v>
                </c:pt>
                <c:pt idx="6">
                  <c:v>MI</c:v>
                </c:pt>
                <c:pt idx="7">
                  <c:v>NZ</c:v>
                </c:pt>
                <c:pt idx="8">
                  <c:v>GA</c:v>
                </c:pt>
                <c:pt idx="9">
                  <c:v>PP</c:v>
                </c:pt>
                <c:pt idx="10">
                  <c:v>LM</c:v>
                </c:pt>
                <c:pt idx="11">
                  <c:v>NR</c:v>
                </c:pt>
                <c:pt idx="12">
                  <c:v>PB</c:v>
                </c:pt>
                <c:pt idx="13">
                  <c:v>BB</c:v>
                </c:pt>
                <c:pt idx="14">
                  <c:v>PO</c:v>
                </c:pt>
                <c:pt idx="15">
                  <c:v>ZA</c:v>
                </c:pt>
                <c:pt idx="16">
                  <c:v>ZV</c:v>
                </c:pt>
                <c:pt idx="17">
                  <c:v>RK</c:v>
                </c:pt>
                <c:pt idx="18">
                  <c:v>LV</c:v>
                </c:pt>
                <c:pt idx="19">
                  <c:v>DK</c:v>
                </c:pt>
                <c:pt idx="20">
                  <c:v>SE</c:v>
                </c:pt>
                <c:pt idx="21">
                  <c:v>TV</c:v>
                </c:pt>
                <c:pt idx="22">
                  <c:v>PD</c:v>
                </c:pt>
                <c:pt idx="23">
                  <c:v>MA</c:v>
                </c:pt>
                <c:pt idx="24">
                  <c:v>PN</c:v>
                </c:pt>
                <c:pt idx="25">
                  <c:v>CA</c:v>
                </c:pt>
                <c:pt idx="26">
                  <c:v>RV</c:v>
                </c:pt>
                <c:pt idx="27">
                  <c:v>BA</c:v>
                </c:pt>
                <c:pt idx="28">
                  <c:v>BS</c:v>
                </c:pt>
                <c:pt idx="29">
                  <c:v>BR</c:v>
                </c:pt>
                <c:pt idx="30">
                  <c:v>VT</c:v>
                </c:pt>
                <c:pt idx="31">
                  <c:v>NM</c:v>
                </c:pt>
                <c:pt idx="32">
                  <c:v>RA</c:v>
                </c:pt>
                <c:pt idx="33">
                  <c:v>TO</c:v>
                </c:pt>
              </c:strCache>
            </c:strRef>
          </c:cat>
          <c:val>
            <c:numRef>
              <c:f>'prehľad zaradenych_2024'!$B$2:$B$35</c:f>
              <c:numCache>
                <c:formatCode>#\ ##0;\-#\ ##0;\0</c:formatCode>
                <c:ptCount val="34"/>
                <c:pt idx="0" formatCode="#,##0">
                  <c:v>0</c:v>
                </c:pt>
                <c:pt idx="1">
                  <c:v>14</c:v>
                </c:pt>
                <c:pt idx="2" formatCode="#,##0">
                  <c:v>10</c:v>
                </c:pt>
                <c:pt idx="3">
                  <c:v>10</c:v>
                </c:pt>
                <c:pt idx="4">
                  <c:v>8</c:v>
                </c:pt>
                <c:pt idx="5">
                  <c:v>8</c:v>
                </c:pt>
                <c:pt idx="6">
                  <c:v>8</c:v>
                </c:pt>
                <c:pt idx="7">
                  <c:v>6</c:v>
                </c:pt>
                <c:pt idx="8">
                  <c:v>6</c:v>
                </c:pt>
                <c:pt idx="9">
                  <c:v>5</c:v>
                </c:pt>
                <c:pt idx="10">
                  <c:v>5</c:v>
                </c:pt>
                <c:pt idx="11">
                  <c:v>5</c:v>
                </c:pt>
                <c:pt idx="12">
                  <c:v>5</c:v>
                </c:pt>
                <c:pt idx="13">
                  <c:v>4</c:v>
                </c:pt>
                <c:pt idx="14">
                  <c:v>4</c:v>
                </c:pt>
                <c:pt idx="15">
                  <c:v>3</c:v>
                </c:pt>
                <c:pt idx="16">
                  <c:v>3</c:v>
                </c:pt>
                <c:pt idx="17">
                  <c:v>3</c:v>
                </c:pt>
                <c:pt idx="18">
                  <c:v>3</c:v>
                </c:pt>
                <c:pt idx="19">
                  <c:v>3</c:v>
                </c:pt>
                <c:pt idx="20">
                  <c:v>3</c:v>
                </c:pt>
                <c:pt idx="21">
                  <c:v>3</c:v>
                </c:pt>
                <c:pt idx="22">
                  <c:v>2</c:v>
                </c:pt>
                <c:pt idx="23">
                  <c:v>2</c:v>
                </c:pt>
                <c:pt idx="24">
                  <c:v>2</c:v>
                </c:pt>
                <c:pt idx="25">
                  <c:v>2</c:v>
                </c:pt>
                <c:pt idx="26">
                  <c:v>2</c:v>
                </c:pt>
                <c:pt idx="27">
                  <c:v>1</c:v>
                </c:pt>
                <c:pt idx="28">
                  <c:v>1</c:v>
                </c:pt>
                <c:pt idx="29">
                  <c:v>1</c:v>
                </c:pt>
                <c:pt idx="30">
                  <c:v>1</c:v>
                </c:pt>
                <c:pt idx="31">
                  <c:v>1</c:v>
                </c:pt>
                <c:pt idx="32" formatCode="#,##0">
                  <c:v>1</c:v>
                </c:pt>
                <c:pt idx="33">
                  <c:v>1</c:v>
                </c:pt>
              </c:numCache>
            </c:numRef>
          </c:val>
          <c:extLst>
            <c:ext xmlns:c16="http://schemas.microsoft.com/office/drawing/2014/chart" uri="{C3380CC4-5D6E-409C-BE32-E72D297353CC}">
              <c16:uniqueId val="{0000002E-59C3-43BD-8808-C4E4FBE16892}"/>
            </c:ext>
          </c:extLst>
        </c:ser>
        <c:dLbls>
          <c:showLegendKey val="0"/>
          <c:showVal val="1"/>
          <c:showCatName val="0"/>
          <c:showSerName val="0"/>
          <c:showPercent val="0"/>
          <c:showBubbleSize val="0"/>
        </c:dLbls>
        <c:axId val="452542840"/>
        <c:axId val="452542056"/>
      </c:radarChart>
      <c:catAx>
        <c:axId val="452542840"/>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452542056"/>
        <c:crosses val="autoZero"/>
        <c:auto val="1"/>
        <c:lblAlgn val="ctr"/>
        <c:lblOffset val="100"/>
        <c:noMultiLvlLbl val="0"/>
      </c:catAx>
      <c:valAx>
        <c:axId val="452542056"/>
        <c:scaling>
          <c:orientation val="minMax"/>
        </c:scaling>
        <c:delete val="0"/>
        <c:axPos val="l"/>
        <c:majorGridlines/>
        <c:minorGridlines>
          <c:spPr>
            <a:ln>
              <a:noFill/>
            </a:ln>
          </c:spPr>
        </c:minorGridlines>
        <c:numFmt formatCode="#,##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452542840"/>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0394272171626765"/>
          <c:y val="7.716535433070867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458408771685952"/>
          <c:y val="0.30334060294564436"/>
          <c:w val="0.47306622684294863"/>
          <c:h val="0.61404396212577139"/>
        </c:manualLayout>
      </c:layout>
      <c:pie3DChart>
        <c:varyColors val="1"/>
        <c:ser>
          <c:idx val="0"/>
          <c:order val="0"/>
          <c:explosion val="25"/>
          <c:dPt>
            <c:idx val="0"/>
            <c:bubble3D val="0"/>
            <c:explosion val="14"/>
            <c:extLst>
              <c:ext xmlns:c16="http://schemas.microsoft.com/office/drawing/2014/chart" uri="{C3380CC4-5D6E-409C-BE32-E72D297353CC}">
                <c16:uniqueId val="{00000001-23E6-4061-AE64-FFF771DC3F0E}"/>
              </c:ext>
            </c:extLst>
          </c:dPt>
          <c:dPt>
            <c:idx val="1"/>
            <c:bubble3D val="0"/>
            <c:explosion val="7"/>
            <c:extLst>
              <c:ext xmlns:c16="http://schemas.microsoft.com/office/drawing/2014/chart" uri="{C3380CC4-5D6E-409C-BE32-E72D297353CC}">
                <c16:uniqueId val="{00000003-23E6-4061-AE64-FFF771DC3F0E}"/>
              </c:ext>
            </c:extLst>
          </c:dPt>
          <c:dPt>
            <c:idx val="2"/>
            <c:bubble3D val="0"/>
            <c:explosion val="12"/>
            <c:extLst>
              <c:ext xmlns:c16="http://schemas.microsoft.com/office/drawing/2014/chart" uri="{C3380CC4-5D6E-409C-BE32-E72D297353CC}">
                <c16:uniqueId val="{00000005-23E6-4061-AE64-FFF771DC3F0E}"/>
              </c:ext>
            </c:extLst>
          </c:dPt>
          <c:dPt>
            <c:idx val="3"/>
            <c:bubble3D val="0"/>
            <c:explosion val="16"/>
            <c:extLst>
              <c:ext xmlns:c16="http://schemas.microsoft.com/office/drawing/2014/chart" uri="{C3380CC4-5D6E-409C-BE32-E72D297353CC}">
                <c16:uniqueId val="{00000007-23E6-4061-AE64-FFF771DC3F0E}"/>
              </c:ext>
            </c:extLst>
          </c:dPt>
          <c:dPt>
            <c:idx val="4"/>
            <c:bubble3D val="0"/>
            <c:explosion val="5"/>
            <c:extLst>
              <c:ext xmlns:c16="http://schemas.microsoft.com/office/drawing/2014/chart" uri="{C3380CC4-5D6E-409C-BE32-E72D297353CC}">
                <c16:uniqueId val="{00000009-23E6-4061-AE64-FFF771DC3F0E}"/>
              </c:ext>
            </c:extLst>
          </c:dPt>
          <c:dLbls>
            <c:dLbl>
              <c:idx val="0"/>
              <c:layout>
                <c:manualLayout>
                  <c:x val="-8.1404172469343533E-2"/>
                  <c:y val="-2.21469381244471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E6-4061-AE64-FFF771DC3F0E}"/>
                </c:ext>
              </c:extLst>
            </c:dLbl>
            <c:dLbl>
              <c:idx val="1"/>
              <c:layout>
                <c:manualLayout>
                  <c:x val="5.5159727475308951E-2"/>
                  <c:y val="-7.31696707076497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E6-4061-AE64-FFF771DC3F0E}"/>
                </c:ext>
              </c:extLst>
            </c:dLbl>
            <c:dLbl>
              <c:idx val="2"/>
              <c:layout>
                <c:manualLayout>
                  <c:x val="3.2442343494023064E-2"/>
                  <c:y val="-5.5670658526634609E-2"/>
                </c:manualLayout>
              </c:layout>
              <c:numFmt formatCode="0.00%" sourceLinked="0"/>
              <c:spPr>
                <a:noFill/>
                <a:ln>
                  <a:noFill/>
                </a:ln>
                <a:effectLst/>
              </c:spPr>
              <c:txPr>
                <a:bodyPr wrap="square" lIns="38100" tIns="19050" rIns="38100" bIns="19050" anchor="ctr">
                  <a:noAutofit/>
                </a:bodyPr>
                <a:lstStyle/>
                <a:p>
                  <a:pPr>
                    <a:defRPr sz="10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6.6836262601367394E-2"/>
                      <c:h val="5.2269975888988178E-2"/>
                    </c:manualLayout>
                  </c15:layout>
                </c:ext>
                <c:ext xmlns:c16="http://schemas.microsoft.com/office/drawing/2014/chart" uri="{C3380CC4-5D6E-409C-BE32-E72D297353CC}">
                  <c16:uniqueId val="{00000005-23E6-4061-AE64-FFF771DC3F0E}"/>
                </c:ext>
              </c:extLst>
            </c:dLbl>
            <c:dLbl>
              <c:idx val="3"/>
              <c:layout>
                <c:manualLayout>
                  <c:x val="5.3865158439728854E-2"/>
                  <c:y val="-5.644674501340437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E6-4061-AE64-FFF771DC3F0E}"/>
                </c:ext>
              </c:extLst>
            </c:dLbl>
            <c:dLbl>
              <c:idx val="4"/>
              <c:layout>
                <c:manualLayout>
                  <c:x val="0.1445703574392094"/>
                  <c:y val="-0.11198367869969153"/>
                </c:manualLayout>
              </c:layout>
              <c:numFmt formatCode="0.00%" sourceLinked="0"/>
              <c:spPr>
                <a:noFill/>
                <a:ln>
                  <a:noFill/>
                </a:ln>
                <a:effectLst/>
              </c:spPr>
              <c:txPr>
                <a:bodyPr wrap="square" lIns="38100" tIns="19050" rIns="38100" bIns="19050" anchor="ctr">
                  <a:noAutofit/>
                </a:bodyPr>
                <a:lstStyle/>
                <a:p>
                  <a:pPr>
                    <a:defRPr sz="10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7.7818779096888849E-2"/>
                      <c:h val="7.7965907366504245E-2"/>
                    </c:manualLayout>
                  </c15:layout>
                </c:ext>
                <c:ext xmlns:c16="http://schemas.microsoft.com/office/drawing/2014/chart" uri="{C3380CC4-5D6E-409C-BE32-E72D297353CC}">
                  <c16:uniqueId val="{00000009-23E6-4061-AE64-FFF771DC3F0E}"/>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80</c:v>
                </c:pt>
                <c:pt idx="1">
                  <c:v>73</c:v>
                </c:pt>
                <c:pt idx="2">
                  <c:v>55</c:v>
                </c:pt>
                <c:pt idx="3">
                  <c:v>85</c:v>
                </c:pt>
                <c:pt idx="4">
                  <c:v>401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A-23E6-4061-AE64-FFF771DC3F0E}"/>
            </c:ext>
          </c:extLst>
        </c:ser>
        <c:dLbls>
          <c:showLegendKey val="0"/>
          <c:showVal val="1"/>
          <c:showCatName val="0"/>
          <c:showSerName val="0"/>
          <c:showPercent val="0"/>
          <c:showBubbleSize val="0"/>
          <c:showLeaderLines val="1"/>
        </c:dLbls>
      </c:pie3DChart>
    </c:plotArea>
    <c:legend>
      <c:legendPos val="r"/>
      <c:layout>
        <c:manualLayout>
          <c:xMode val="edge"/>
          <c:yMode val="edge"/>
          <c:x val="0.66759901790138254"/>
          <c:y val="0.18174294166267888"/>
          <c:w val="0.27649448655111553"/>
          <c:h val="0.7125918997694349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UoZ</a:t>
            </a:r>
            <a:r>
              <a:rPr lang="en-US" sz="1200">
                <a:solidFill>
                  <a:sysClr val="windowText" lastClr="000000"/>
                </a:solidFill>
              </a:rPr>
              <a:t> podľa veku</a:t>
            </a:r>
          </a:p>
        </c:rich>
      </c:tx>
      <c:layout>
        <c:manualLayout>
          <c:xMode val="edge"/>
          <c:yMode val="edge"/>
          <c:x val="0.21171206431841993"/>
          <c:y val="7.790374750873983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657364947896817"/>
          <c:y val="0.30597575717973013"/>
          <c:w val="0.49176928638207179"/>
          <c:h val="0.51706841756601507"/>
        </c:manualLayout>
      </c:layout>
      <c:pie3DChart>
        <c:varyColors val="1"/>
        <c:ser>
          <c:idx val="0"/>
          <c:order val="0"/>
          <c:tx>
            <c:strRef>
              <c:f>Hárok1!$B$1</c:f>
              <c:strCache>
                <c:ptCount val="1"/>
                <c:pt idx="0">
                  <c:v>Štruktúra zaradených UoZ podľa veku</c:v>
                </c:pt>
              </c:strCache>
            </c:strRef>
          </c:tx>
          <c:dPt>
            <c:idx val="0"/>
            <c:bubble3D val="0"/>
            <c:explosion val="7"/>
            <c:extLst>
              <c:ext xmlns:c16="http://schemas.microsoft.com/office/drawing/2014/chart" uri="{C3380CC4-5D6E-409C-BE32-E72D297353CC}">
                <c16:uniqueId val="{00000001-BDFB-4B02-B643-69ADCAFC72CE}"/>
              </c:ext>
            </c:extLst>
          </c:dPt>
          <c:dPt>
            <c:idx val="1"/>
            <c:bubble3D val="0"/>
            <c:explosion val="9"/>
            <c:extLst>
              <c:ext xmlns:c16="http://schemas.microsoft.com/office/drawing/2014/chart" uri="{C3380CC4-5D6E-409C-BE32-E72D297353CC}">
                <c16:uniqueId val="{00000003-BDFB-4B02-B643-69ADCAFC72CE}"/>
              </c:ext>
            </c:extLst>
          </c:dPt>
          <c:dPt>
            <c:idx val="2"/>
            <c:bubble3D val="0"/>
            <c:explosion val="11"/>
            <c:extLst>
              <c:ext xmlns:c16="http://schemas.microsoft.com/office/drawing/2014/chart" uri="{C3380CC4-5D6E-409C-BE32-E72D297353CC}">
                <c16:uniqueId val="{00000005-BDFB-4B02-B643-69ADCAFC72CE}"/>
              </c:ext>
            </c:extLst>
          </c:dPt>
          <c:dPt>
            <c:idx val="3"/>
            <c:bubble3D val="0"/>
            <c:explosion val="3"/>
            <c:extLst>
              <c:ext xmlns:c16="http://schemas.microsoft.com/office/drawing/2014/chart" uri="{C3380CC4-5D6E-409C-BE32-E72D297353CC}">
                <c16:uniqueId val="{00000007-BDFB-4B02-B643-69ADCAFC72CE}"/>
              </c:ext>
            </c:extLst>
          </c:dPt>
          <c:dLbls>
            <c:dLbl>
              <c:idx val="0"/>
              <c:layout>
                <c:manualLayout>
                  <c:x val="-7.520360150336107E-2"/>
                  <c:y val="-1.22169765086418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FB-4B02-B643-69ADCAFC72CE}"/>
                </c:ext>
              </c:extLst>
            </c:dLbl>
            <c:dLbl>
              <c:idx val="1"/>
              <c:layout>
                <c:manualLayout>
                  <c:x val="1.1239999384708993E-2"/>
                  <c:y val="-3.44309996394220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FB-4B02-B643-69ADCAFC72CE}"/>
                </c:ext>
              </c:extLst>
            </c:dLbl>
            <c:dLbl>
              <c:idx val="2"/>
              <c:layout>
                <c:manualLayout>
                  <c:x val="-0.1329635320438429"/>
                  <c:y val="-0.21203583832412193"/>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FB-4B02-B643-69ADCAFC72CE}"/>
                </c:ext>
              </c:extLst>
            </c:dLbl>
            <c:dLbl>
              <c:idx val="3"/>
              <c:layout>
                <c:manualLayout>
                  <c:x val="0.11615070527731679"/>
                  <c:y val="4.0193011402620271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FB-4B02-B643-69ADCAFC72CE}"/>
                </c:ext>
              </c:extLst>
            </c:dLbl>
            <c:numFmt formatCode="0.00%" sourceLinked="0"/>
            <c:spPr>
              <a:noFill/>
              <a:ln>
                <a:noFill/>
              </a:ln>
              <a:effectLst/>
            </c:spPr>
            <c:txPr>
              <a:bodyPr/>
              <a:lstStyle/>
              <a:p>
                <a:pPr>
                  <a:defRPr sz="9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49</c:v>
                </c:pt>
                <c:pt idx="1">
                  <c:v>59</c:v>
                </c:pt>
                <c:pt idx="2">
                  <c:v>359</c:v>
                </c:pt>
                <c:pt idx="3">
                  <c:v>227</c:v>
                </c:pt>
              </c:numCache>
            </c:numRef>
          </c:val>
          <c:extLst>
            <c:ext xmlns:c16="http://schemas.microsoft.com/office/drawing/2014/chart" uri="{C3380CC4-5D6E-409C-BE32-E72D297353CC}">
              <c16:uniqueId val="{00000008-BDFB-4B02-B643-69ADCAFC72CE}"/>
            </c:ext>
          </c:extLst>
        </c:ser>
        <c:dLbls>
          <c:showLegendKey val="0"/>
          <c:showVal val="0"/>
          <c:showCatName val="0"/>
          <c:showSerName val="0"/>
          <c:showPercent val="0"/>
          <c:showBubbleSize val="0"/>
          <c:showLeaderLines val="1"/>
        </c:dLbls>
      </c:pie3DChart>
    </c:plotArea>
    <c:legend>
      <c:legendPos val="r"/>
      <c:layout>
        <c:manualLayout>
          <c:xMode val="edge"/>
          <c:yMode val="edge"/>
          <c:x val="0.71039243602255386"/>
          <c:y val="0.20986661548011892"/>
          <c:w val="0.17799411713431629"/>
          <c:h val="0.59406957558728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r>
              <a:rPr lang="sk-SK" sz="1200">
                <a:solidFill>
                  <a:srgbClr val="002060"/>
                </a:solidFill>
              </a:rPr>
              <a:t>Vzdelanostná štruktúra UoZ zaradených do OPS - § 43   </a:t>
            </a:r>
          </a:p>
          <a:p>
            <a:pPr>
              <a:defRPr>
                <a:solidFill>
                  <a:srgbClr val="002060"/>
                </a:solidFill>
              </a:defRPr>
            </a:pPr>
            <a:r>
              <a:rPr lang="sk-SK" sz="1200">
                <a:solidFill>
                  <a:srgbClr val="002060"/>
                </a:solidFill>
              </a:rPr>
              <a:t>v roku 2024</a:t>
            </a:r>
          </a:p>
        </c:rich>
      </c:tx>
      <c:layout>
        <c:manualLayout>
          <c:xMode val="edge"/>
          <c:yMode val="edge"/>
          <c:x val="0.11720670332875058"/>
          <c:y val="2.5673940949935817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mn-lt"/>
              <a:ea typeface="+mn-ea"/>
              <a:cs typeface="+mn-cs"/>
            </a:defRPr>
          </a:pPr>
          <a:endParaRPr lang="sk-SK"/>
        </a:p>
      </c:txPr>
    </c:title>
    <c:autoTitleDeleted val="0"/>
    <c:plotArea>
      <c:layout/>
      <c:barChart>
        <c:barDir val="bar"/>
        <c:grouping val="clustered"/>
        <c:varyColors val="0"/>
        <c:ser>
          <c:idx val="0"/>
          <c:order val="0"/>
          <c:spPr>
            <a:solidFill>
              <a:schemeClr val="tx2">
                <a:lumMod val="60000"/>
                <a:lumOff val="40000"/>
              </a:schemeClr>
            </a:solidFill>
            <a:ln>
              <a:noFill/>
            </a:ln>
            <a:effectLst>
              <a:outerShdw blurRad="39000" dist="25400" dir="5400000">
                <a:srgbClr val="000000">
                  <a:alpha val="35000"/>
                </a:srgbClr>
              </a:outerShdw>
            </a:effectLst>
          </c:spPr>
          <c:invertIfNegative val="0"/>
          <c:dLbls>
            <c:dLbl>
              <c:idx val="2"/>
              <c:layout>
                <c:manualLayout>
                  <c:x val="8.453665078698954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95-4DA5-B4D0-51729FC056D6}"/>
                </c:ext>
              </c:extLst>
            </c:dLbl>
            <c:dLbl>
              <c:idx val="3"/>
              <c:layout>
                <c:manualLayout>
                  <c:x val="2.14869301211956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5-4DA5-B4D0-51729FC056D6}"/>
                </c:ext>
              </c:extLst>
            </c:dLbl>
            <c:dLbl>
              <c:idx val="4"/>
              <c:layout>
                <c:manualLayout>
                  <c:x val="-9.7526994078718217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95-4DA5-B4D0-51729FC056D6}"/>
                </c:ext>
              </c:extLst>
            </c:dLbl>
            <c:dLbl>
              <c:idx val="5"/>
              <c:layout>
                <c:manualLayout>
                  <c:x val="7.6628352490421458E-4"/>
                  <c:y val="3.3840947546531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95-4DA5-B4D0-51729FC056D6}"/>
                </c:ext>
              </c:extLst>
            </c:dLbl>
            <c:dLbl>
              <c:idx val="6"/>
              <c:layout>
                <c:manualLayout>
                  <c:x val="2.5078369905956114E-3"/>
                  <c:y val="-6.20410204654781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95-4DA5-B4D0-51729FC056D6}"/>
                </c:ext>
              </c:extLst>
            </c:dLbl>
            <c:dLbl>
              <c:idx val="7"/>
              <c:layout>
                <c:manualLayout>
                  <c:x val="1.53256704980842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95-4DA5-B4D0-51729FC056D6}"/>
                </c:ext>
              </c:extLst>
            </c:dLbl>
            <c:dLbl>
              <c:idx val="8"/>
              <c:layout>
                <c:manualLayout>
                  <c:x val="5.3639846743295016E-3"/>
                  <c:y val="-6.20410204654781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95-4DA5-B4D0-51729FC056D6}"/>
                </c:ext>
              </c:extLst>
            </c:dLbl>
            <c:dLbl>
              <c:idx val="9"/>
              <c:layout>
                <c:manualLayout>
                  <c:x val="7.1055381400208983E-3"/>
                  <c:y val="3.3840947546530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95-4DA5-B4D0-51729FC056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'pocet_XoZ_mimo NP_10_GRAFY'!$E$43:$E$52</c:f>
              <c:strCache>
                <c:ptCount val="10"/>
                <c:pt idx="0">
                  <c:v>Vysokoškolské vzdelanie tretieho stupňa</c:v>
                </c:pt>
                <c:pt idx="1">
                  <c:v>Vyššie odborné vzdelanie</c:v>
                </c:pt>
                <c:pt idx="2">
                  <c:v>Nižšie stredné odborné vzdelanie</c:v>
                </c:pt>
                <c:pt idx="3">
                  <c:v>Vysokoškolské vzdelanie prvého stupňa</c:v>
                </c:pt>
                <c:pt idx="4">
                  <c:v>Neukončené základné vzdelanie</c:v>
                </c:pt>
                <c:pt idx="5">
                  <c:v>Úplné stredné všeobecné vzdelanie</c:v>
                </c:pt>
                <c:pt idx="6">
                  <c:v>Vysokoškolské vzdelanie druhého stupňa</c:v>
                </c:pt>
                <c:pt idx="7">
                  <c:v>Základné vzdelanie</c:v>
                </c:pt>
                <c:pt idx="8">
                  <c:v>Stredné odborné vzdelanie</c:v>
                </c:pt>
                <c:pt idx="9">
                  <c:v>Úplné stredné odborné vzdelanie</c:v>
                </c:pt>
              </c:strCache>
            </c:strRef>
          </c:cat>
          <c:val>
            <c:numRef>
              <c:f>'pocet_XoZ_mimo NP_10_GRAFY'!$F$43:$F$52</c:f>
              <c:numCache>
                <c:formatCode>0.00%</c:formatCode>
                <c:ptCount val="10"/>
                <c:pt idx="0">
                  <c:v>3.8130515306678287E-3</c:v>
                </c:pt>
                <c:pt idx="1">
                  <c:v>5.2293278134873077E-3</c:v>
                </c:pt>
                <c:pt idx="2">
                  <c:v>1.4707484475433054E-2</c:v>
                </c:pt>
                <c:pt idx="3">
                  <c:v>2.6800305044122452E-2</c:v>
                </c:pt>
                <c:pt idx="4">
                  <c:v>2.9414968950866108E-2</c:v>
                </c:pt>
                <c:pt idx="5">
                  <c:v>4.6628173003595161E-2</c:v>
                </c:pt>
                <c:pt idx="6">
                  <c:v>0.11090532737770999</c:v>
                </c:pt>
                <c:pt idx="7">
                  <c:v>0.19631768166466934</c:v>
                </c:pt>
                <c:pt idx="8">
                  <c:v>0.24447107528053164</c:v>
                </c:pt>
                <c:pt idx="9">
                  <c:v>0.32105893888223119</c:v>
                </c:pt>
              </c:numCache>
            </c:numRef>
          </c:val>
          <c:extLst>
            <c:ext xmlns:c16="http://schemas.microsoft.com/office/drawing/2014/chart" uri="{C3380CC4-5D6E-409C-BE32-E72D297353CC}">
              <c16:uniqueId val="{00000008-2095-4DA5-B4D0-51729FC056D6}"/>
            </c:ext>
          </c:extLst>
        </c:ser>
        <c:ser>
          <c:idx val="1"/>
          <c:order val="1"/>
          <c:spPr>
            <a:gradFill rotWithShape="1">
              <a:gsLst>
                <a:gs pos="0">
                  <a:schemeClr val="accent2">
                    <a:shade val="40000"/>
                    <a:satMod val="155000"/>
                  </a:schemeClr>
                </a:gs>
                <a:gs pos="65000">
                  <a:schemeClr val="accent2">
                    <a:shade val="85000"/>
                    <a:satMod val="155000"/>
                  </a:schemeClr>
                </a:gs>
                <a:gs pos="100000">
                  <a:schemeClr val="accent2">
                    <a:shade val="95000"/>
                    <a:satMod val="155000"/>
                  </a:schemeClr>
                </a:gs>
              </a:gsLst>
              <a:lin ang="16200000" scaled="0"/>
            </a:gradFill>
            <a:ln>
              <a:noFill/>
            </a:ln>
            <a:effectLst>
              <a:outerShdw blurRad="39000" dist="25400" dir="5400000">
                <a:srgbClr val="000000">
                  <a:alpha val="35000"/>
                </a:srgbClr>
              </a:outerShdw>
            </a:effectLst>
          </c:spPr>
          <c:invertIfNegative val="0"/>
          <c:dLbls>
            <c:delete val="1"/>
          </c:dLbls>
          <c:cat>
            <c:strRef>
              <c:f>'pocet_XoZ_mimo NP_10_GRAFY'!$E$43:$E$52</c:f>
              <c:strCache>
                <c:ptCount val="10"/>
                <c:pt idx="0">
                  <c:v>Vysokoškolské vzdelanie tretieho stupňa</c:v>
                </c:pt>
                <c:pt idx="1">
                  <c:v>Vyššie odborné vzdelanie</c:v>
                </c:pt>
                <c:pt idx="2">
                  <c:v>Nižšie stredné odborné vzdelanie</c:v>
                </c:pt>
                <c:pt idx="3">
                  <c:v>Vysokoškolské vzdelanie prvého stupňa</c:v>
                </c:pt>
                <c:pt idx="4">
                  <c:v>Neukončené základné vzdelanie</c:v>
                </c:pt>
                <c:pt idx="5">
                  <c:v>Úplné stredné všeobecné vzdelanie</c:v>
                </c:pt>
                <c:pt idx="6">
                  <c:v>Vysokoškolské vzdelanie druhého stupňa</c:v>
                </c:pt>
                <c:pt idx="7">
                  <c:v>Základné vzdelanie</c:v>
                </c:pt>
                <c:pt idx="8">
                  <c:v>Stredné odborné vzdelanie</c:v>
                </c:pt>
                <c:pt idx="9">
                  <c:v>Úplné stredné odborné vzdelanie</c:v>
                </c:pt>
              </c:strCache>
            </c:strRef>
          </c:cat>
          <c:val>
            <c:numRef>
              <c:f>'pocet_XoZ_mimo NP_10_GRAFY'!$G$43:$G$52</c:f>
              <c:numCache>
                <c:formatCode>General</c:formatCode>
                <c:ptCount val="10"/>
              </c:numCache>
            </c:numRef>
          </c:val>
          <c:extLst>
            <c:ext xmlns:c16="http://schemas.microsoft.com/office/drawing/2014/chart" uri="{C3380CC4-5D6E-409C-BE32-E72D297353CC}">
              <c16:uniqueId val="{00000009-2095-4DA5-B4D0-51729FC056D6}"/>
            </c:ext>
          </c:extLst>
        </c:ser>
        <c:dLbls>
          <c:dLblPos val="inEnd"/>
          <c:showLegendKey val="0"/>
          <c:showVal val="1"/>
          <c:showCatName val="0"/>
          <c:showSerName val="0"/>
          <c:showPercent val="0"/>
          <c:showBubbleSize val="0"/>
        </c:dLbls>
        <c:gapWidth val="9"/>
        <c:overlap val="45"/>
        <c:axId val="593567528"/>
        <c:axId val="452558968"/>
      </c:barChart>
      <c:catAx>
        <c:axId val="5935675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452558968"/>
        <c:crossesAt val="0"/>
        <c:auto val="1"/>
        <c:lblAlgn val="ctr"/>
        <c:lblOffset val="100"/>
        <c:noMultiLvlLbl val="0"/>
      </c:catAx>
      <c:valAx>
        <c:axId val="452558968"/>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593567528"/>
        <c:crosses val="autoZero"/>
        <c:crossBetween val="between"/>
      </c:valAx>
      <c:spPr>
        <a:noFill/>
        <a:ln>
          <a:noFill/>
        </a:ln>
        <a:effectLst/>
      </c:spPr>
    </c:plotArea>
    <c:plotVisOnly val="1"/>
    <c:dispBlanksAs val="gap"/>
    <c:showDLblsOverMax val="0"/>
  </c:chart>
  <c:spPr>
    <a:gradFill flip="none" rotWithShape="1">
      <a:gsLst>
        <a:gs pos="0">
          <a:schemeClr val="tx2">
            <a:lumMod val="40000"/>
            <a:lumOff val="60000"/>
            <a:alpha val="9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ln w="9525" cap="flat" cmpd="sng" algn="ctr">
      <a:solidFill>
        <a:schemeClr val="tx2">
          <a:lumMod val="15000"/>
          <a:lumOff val="85000"/>
        </a:schemeClr>
      </a:solidFill>
      <a:round/>
    </a:ln>
    <a:effectLst/>
  </c:spPr>
  <c:txPr>
    <a:bodyPr/>
    <a:lstStyle/>
    <a:p>
      <a:pPr>
        <a:defRPr/>
      </a:pPr>
      <a:endParaRPr lang="sk-SK"/>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zaradených UoZ podľa znevýhodnenia</a:t>
            </a:r>
          </a:p>
        </c:rich>
      </c:tx>
      <c:layout>
        <c:manualLayout>
          <c:xMode val="edge"/>
          <c:yMode val="edge"/>
          <c:x val="0.21028927387124394"/>
          <c:y val="7.284183108290169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9431080029096855E-2"/>
          <c:y val="0.2661287920405298"/>
          <c:w val="0.48566178329700732"/>
          <c:h val="0.62921020328732669"/>
        </c:manualLayout>
      </c:layout>
      <c:pie3DChart>
        <c:varyColors val="1"/>
        <c:ser>
          <c:idx val="0"/>
          <c:order val="0"/>
          <c:explosion val="16"/>
          <c:dPt>
            <c:idx val="0"/>
            <c:bubble3D val="0"/>
            <c:extLst>
              <c:ext xmlns:c16="http://schemas.microsoft.com/office/drawing/2014/chart" uri="{C3380CC4-5D6E-409C-BE32-E72D297353CC}">
                <c16:uniqueId val="{00000000-A379-43CB-A162-DF616DA2CB1C}"/>
              </c:ext>
            </c:extLst>
          </c:dPt>
          <c:dPt>
            <c:idx val="1"/>
            <c:bubble3D val="0"/>
            <c:extLst>
              <c:ext xmlns:c16="http://schemas.microsoft.com/office/drawing/2014/chart" uri="{C3380CC4-5D6E-409C-BE32-E72D297353CC}">
                <c16:uniqueId val="{00000001-A379-43CB-A162-DF616DA2CB1C}"/>
              </c:ext>
            </c:extLst>
          </c:dPt>
          <c:dPt>
            <c:idx val="2"/>
            <c:bubble3D val="0"/>
            <c:explosion val="12"/>
            <c:extLst>
              <c:ext xmlns:c16="http://schemas.microsoft.com/office/drawing/2014/chart" uri="{C3380CC4-5D6E-409C-BE32-E72D297353CC}">
                <c16:uniqueId val="{00000003-A379-43CB-A162-DF616DA2CB1C}"/>
              </c:ext>
            </c:extLst>
          </c:dPt>
          <c:dPt>
            <c:idx val="3"/>
            <c:bubble3D val="0"/>
            <c:explosion val="4"/>
            <c:extLst>
              <c:ext xmlns:c16="http://schemas.microsoft.com/office/drawing/2014/chart" uri="{C3380CC4-5D6E-409C-BE32-E72D297353CC}">
                <c16:uniqueId val="{00000005-A379-43CB-A162-DF616DA2CB1C}"/>
              </c:ext>
            </c:extLst>
          </c:dPt>
          <c:dPt>
            <c:idx val="4"/>
            <c:bubble3D val="0"/>
            <c:explosion val="8"/>
            <c:extLst>
              <c:ext xmlns:c16="http://schemas.microsoft.com/office/drawing/2014/chart" uri="{C3380CC4-5D6E-409C-BE32-E72D297353CC}">
                <c16:uniqueId val="{00000007-A379-43CB-A162-DF616DA2CB1C}"/>
              </c:ext>
            </c:extLst>
          </c:dPt>
          <c:dLbls>
            <c:dLbl>
              <c:idx val="0"/>
              <c:layout>
                <c:manualLayout>
                  <c:x val="7.8216308734783579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379-43CB-A162-DF616DA2CB1C}"/>
                </c:ext>
              </c:extLst>
            </c:dLbl>
            <c:dLbl>
              <c:idx val="2"/>
              <c:layout>
                <c:manualLayout>
                  <c:x val="-0.13057332811084474"/>
                  <c:y val="-8.89419478458728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79-43CB-A162-DF616DA2CB1C}"/>
                </c:ext>
              </c:extLst>
            </c:dLbl>
            <c:dLbl>
              <c:idx val="3"/>
              <c:layout>
                <c:manualLayout>
                  <c:x val="8.0229371652692477E-2"/>
                  <c:y val="-0.155882072880424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79-43CB-A162-DF616DA2CB1C}"/>
                </c:ext>
              </c:extLst>
            </c:dLbl>
            <c:dLbl>
              <c:idx val="4"/>
              <c:layout>
                <c:manualLayout>
                  <c:x val="0.10410919572247331"/>
                  <c:y val="4.9448818897637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79-43CB-A162-DF616DA2CB1C}"/>
                </c:ext>
              </c:extLst>
            </c:dLbl>
            <c:dLbl>
              <c:idx val="5"/>
              <c:layout>
                <c:manualLayout>
                  <c:x val="-8.4516206999106058E-2"/>
                  <c:y val="3.327445286069244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379-43CB-A162-DF616DA2CB1C}"/>
                </c:ext>
              </c:extLst>
            </c:dLbl>
            <c:dLbl>
              <c:idx val="6"/>
              <c:layout>
                <c:manualLayout>
                  <c:x val="-4.5674776665761016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79-43CB-A162-DF616DA2CB1C}"/>
                </c:ext>
              </c:extLst>
            </c:dLbl>
            <c:dLbl>
              <c:idx val="7"/>
              <c:layout>
                <c:manualLayout>
                  <c:x val="8.4787730694433454E-3"/>
                  <c:y val="-5.3706775246250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379-43CB-A162-DF616DA2CB1C}"/>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1</c:v>
                </c:pt>
                <c:pt idx="1">
                  <c:v>224</c:v>
                </c:pt>
                <c:pt idx="2">
                  <c:v>497</c:v>
                </c:pt>
                <c:pt idx="3">
                  <c:v>515</c:v>
                </c:pt>
                <c:pt idx="4">
                  <c:v>541</c:v>
                </c:pt>
                <c:pt idx="5">
                  <c:v>10</c:v>
                </c:pt>
                <c:pt idx="6">
                  <c:v>11</c:v>
                </c:pt>
                <c:pt idx="7">
                  <c:v>30</c:v>
                </c:pt>
              </c:numCache>
            </c:numRef>
          </c:val>
          <c:extLst>
            <c:ext xmlns:c16="http://schemas.microsoft.com/office/drawing/2014/chart" uri="{C3380CC4-5D6E-409C-BE32-E72D297353CC}">
              <c16:uniqueId val="{0000000B-A379-43CB-A162-DF616DA2CB1C}"/>
            </c:ext>
          </c:extLst>
        </c:ser>
        <c:dLbls>
          <c:showLegendKey val="0"/>
          <c:showVal val="1"/>
          <c:showCatName val="0"/>
          <c:showSerName val="0"/>
          <c:showPercent val="0"/>
          <c:showBubbleSize val="0"/>
          <c:showLeaderLines val="1"/>
        </c:dLbls>
      </c:pie3DChart>
    </c:plotArea>
    <c:legend>
      <c:legendPos val="r"/>
      <c:layout>
        <c:manualLayout>
          <c:xMode val="edge"/>
          <c:yMode val="edge"/>
          <c:x val="0.63980636131990787"/>
          <c:y val="0.16162215321312309"/>
          <c:w val="0.33197207723426786"/>
          <c:h val="0.76958115119331016"/>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solidFill>
            <a:schemeClr val="tx1"/>
          </a:solidFill>
        </a:defRPr>
      </a:pPr>
      <a:endParaRPr lang="sk-SK"/>
    </a:p>
  </c:txPr>
  <c:externalData r:id="rId2">
    <c:autoUpdate val="0"/>
  </c:externalData>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628757171085228"/>
          <c:y val="3.029307470232679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126122407557281"/>
          <c:y val="0.25500105740998491"/>
          <c:w val="0.50989066093804236"/>
          <c:h val="0.66068458923993245"/>
        </c:manualLayout>
      </c:layout>
      <c:pie3DChart>
        <c:varyColors val="1"/>
        <c:ser>
          <c:idx val="0"/>
          <c:order val="0"/>
          <c:explosion val="25"/>
          <c:dPt>
            <c:idx val="0"/>
            <c:bubble3D val="0"/>
            <c:explosion val="8"/>
            <c:extLst>
              <c:ext xmlns:c16="http://schemas.microsoft.com/office/drawing/2014/chart" uri="{C3380CC4-5D6E-409C-BE32-E72D297353CC}">
                <c16:uniqueId val="{00000001-F56E-41A8-9C8D-64EFD3DB3FA8}"/>
              </c:ext>
            </c:extLst>
          </c:dPt>
          <c:dPt>
            <c:idx val="1"/>
            <c:bubble3D val="0"/>
            <c:explosion val="10"/>
            <c:extLst>
              <c:ext xmlns:c16="http://schemas.microsoft.com/office/drawing/2014/chart" uri="{C3380CC4-5D6E-409C-BE32-E72D297353CC}">
                <c16:uniqueId val="{00000003-F56E-41A8-9C8D-64EFD3DB3FA8}"/>
              </c:ext>
            </c:extLst>
          </c:dPt>
          <c:dPt>
            <c:idx val="2"/>
            <c:bubble3D val="0"/>
            <c:explosion val="8"/>
            <c:extLst>
              <c:ext xmlns:c16="http://schemas.microsoft.com/office/drawing/2014/chart" uri="{C3380CC4-5D6E-409C-BE32-E72D297353CC}">
                <c16:uniqueId val="{00000005-F56E-41A8-9C8D-64EFD3DB3FA8}"/>
              </c:ext>
            </c:extLst>
          </c:dPt>
          <c:dPt>
            <c:idx val="3"/>
            <c:bubble3D val="0"/>
            <c:explosion val="10"/>
            <c:extLst>
              <c:ext xmlns:c16="http://schemas.microsoft.com/office/drawing/2014/chart" uri="{C3380CC4-5D6E-409C-BE32-E72D297353CC}">
                <c16:uniqueId val="{00000007-F56E-41A8-9C8D-64EFD3DB3FA8}"/>
              </c:ext>
            </c:extLst>
          </c:dPt>
          <c:dLbls>
            <c:dLbl>
              <c:idx val="0"/>
              <c:layout>
                <c:manualLayout>
                  <c:x val="-7.551720932533168E-2"/>
                  <c:y val="6.64838675711423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6E-41A8-9C8D-64EFD3DB3FA8}"/>
                </c:ext>
              </c:extLst>
            </c:dLbl>
            <c:dLbl>
              <c:idx val="1"/>
              <c:layout>
                <c:manualLayout>
                  <c:x val="-8.0917557784427857E-2"/>
                  <c:y val="-0.190676380693299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6E-41A8-9C8D-64EFD3DB3FA8}"/>
                </c:ext>
              </c:extLst>
            </c:dLbl>
            <c:dLbl>
              <c:idx val="2"/>
              <c:layout>
                <c:manualLayout>
                  <c:x val="-2.205031421868324E-2"/>
                  <c:y val="-5.88308262163328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6E-41A8-9C8D-64EFD3DB3FA8}"/>
                </c:ext>
              </c:extLst>
            </c:dLbl>
            <c:dLbl>
              <c:idx val="3"/>
              <c:layout>
                <c:manualLayout>
                  <c:x val="0.10404463278329784"/>
                  <c:y val="3.66728064469134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6E-41A8-9C8D-64EFD3DB3FA8}"/>
                </c:ext>
              </c:extLst>
            </c:dLbl>
            <c:dLbl>
              <c:idx val="4"/>
              <c:layout>
                <c:manualLayout>
                  <c:x val="-6.0405972756059016E-2"/>
                  <c:y val="6.06488397732387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56E-41A8-9C8D-64EFD3DB3FA8}"/>
                </c:ext>
              </c:extLst>
            </c:dLbl>
            <c:dLbl>
              <c:idx val="5"/>
              <c:layout>
                <c:manualLayout>
                  <c:x val="-8.1005653292580276E-2"/>
                  <c:y val="-4.54516631982725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6E-41A8-9C8D-64EFD3DB3FA8}"/>
                </c:ext>
              </c:extLst>
            </c:dLbl>
            <c:dLbl>
              <c:idx val="6"/>
              <c:layout>
                <c:manualLayout>
                  <c:x val="-7.1090175517294601E-2"/>
                  <c:y val="-9.59901884675351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56E-41A8-9C8D-64EFD3DB3FA8}"/>
                </c:ext>
              </c:extLst>
            </c:dLbl>
            <c:dLbl>
              <c:idx val="7"/>
              <c:layout>
                <c:manualLayout>
                  <c:x val="5.2116211023281317E-3"/>
                  <c:y val="-9.10191859820339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56E-41A8-9C8D-64EFD3DB3FA8}"/>
                </c:ext>
              </c:extLst>
            </c:dLbl>
            <c:dLbl>
              <c:idx val="8"/>
              <c:layout>
                <c:manualLayout>
                  <c:x val="8.3845262329320283E-2"/>
                  <c:y val="-8.6876683910782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56E-41A8-9C8D-64EFD3DB3FA8}"/>
                </c:ext>
              </c:extLst>
            </c:dLbl>
            <c:dLbl>
              <c:idx val="9"/>
              <c:layout>
                <c:manualLayout>
                  <c:x val="0.10491032252507482"/>
                  <c:y val="-2.0596650770766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56E-41A8-9C8D-64EFD3DB3FA8}"/>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5175</c:v>
                </c:pt>
                <c:pt idx="1">
                  <c:v>14977</c:v>
                </c:pt>
                <c:pt idx="2">
                  <c:v>427</c:v>
                </c:pt>
                <c:pt idx="3">
                  <c:v>5856</c:v>
                </c:pt>
                <c:pt idx="4">
                  <c:v>1230</c:v>
                </c:pt>
                <c:pt idx="5">
                  <c:v>157</c:v>
                </c:pt>
                <c:pt idx="6">
                  <c:v>10</c:v>
                </c:pt>
                <c:pt idx="7">
                  <c:v>27</c:v>
                </c:pt>
                <c:pt idx="8">
                  <c:v>115</c:v>
                </c:pt>
                <c:pt idx="9">
                  <c:v>4</c:v>
                </c:pt>
              </c:numCache>
            </c:numRef>
          </c:val>
          <c:extLst>
            <c:ext xmlns:c16="http://schemas.microsoft.com/office/drawing/2014/chart" uri="{C3380CC4-5D6E-409C-BE32-E72D297353CC}">
              <c16:uniqueId val="{0000000E-F56E-41A8-9C8D-64EFD3DB3FA8}"/>
            </c:ext>
          </c:extLst>
        </c:ser>
        <c:dLbls>
          <c:showLegendKey val="0"/>
          <c:showVal val="1"/>
          <c:showCatName val="0"/>
          <c:showSerName val="0"/>
          <c:showPercent val="0"/>
          <c:showBubbleSize val="0"/>
          <c:showLeaderLines val="1"/>
        </c:dLbls>
      </c:pie3DChart>
    </c:plotArea>
    <c:legend>
      <c:legendPos val="r"/>
      <c:layout>
        <c:manualLayout>
          <c:xMode val="edge"/>
          <c:yMode val="edge"/>
          <c:x val="0.67208481047526381"/>
          <c:y val="9.9246521276803945E-2"/>
          <c:w val="0.30192147133996422"/>
          <c:h val="0.872792176868529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podľa právnej formy zamestnávateľa</a:t>
            </a:r>
            <a:endParaRPr lang="sk-SK" sz="1200">
              <a:effectLst/>
            </a:endParaRPr>
          </a:p>
        </c:rich>
      </c:tx>
      <c:layout>
        <c:manualLayout>
          <c:xMode val="edge"/>
          <c:yMode val="edge"/>
          <c:x val="0.20827500887950132"/>
          <c:y val="8.907529974494862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68296148098071"/>
          <c:y val="0.23837370984530062"/>
          <c:w val="0.47084812535282078"/>
          <c:h val="0.60601159470450805"/>
        </c:manualLayout>
      </c:layout>
      <c:pie3DChart>
        <c:varyColors val="1"/>
        <c:ser>
          <c:idx val="0"/>
          <c:order val="0"/>
          <c:explosion val="25"/>
          <c:dPt>
            <c:idx val="0"/>
            <c:bubble3D val="0"/>
            <c:explosion val="18"/>
            <c:extLst>
              <c:ext xmlns:c16="http://schemas.microsoft.com/office/drawing/2014/chart" uri="{C3380CC4-5D6E-409C-BE32-E72D297353CC}">
                <c16:uniqueId val="{00000001-731D-477B-B0C7-A9967AC5DABC}"/>
              </c:ext>
            </c:extLst>
          </c:dPt>
          <c:dPt>
            <c:idx val="1"/>
            <c:bubble3D val="0"/>
            <c:explosion val="0"/>
            <c:extLst>
              <c:ext xmlns:c16="http://schemas.microsoft.com/office/drawing/2014/chart" uri="{C3380CC4-5D6E-409C-BE32-E72D297353CC}">
                <c16:uniqueId val="{00000003-731D-477B-B0C7-A9967AC5DABC}"/>
              </c:ext>
            </c:extLst>
          </c:dPt>
          <c:dPt>
            <c:idx val="2"/>
            <c:bubble3D val="0"/>
            <c:explosion val="12"/>
            <c:extLst>
              <c:ext xmlns:c16="http://schemas.microsoft.com/office/drawing/2014/chart" uri="{C3380CC4-5D6E-409C-BE32-E72D297353CC}">
                <c16:uniqueId val="{00000005-731D-477B-B0C7-A9967AC5DABC}"/>
              </c:ext>
            </c:extLst>
          </c:dPt>
          <c:dLbls>
            <c:dLbl>
              <c:idx val="0"/>
              <c:layout>
                <c:manualLayout>
                  <c:x val="-0.17308678918948597"/>
                  <c:y val="-0.12831772951457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1D-477B-B0C7-A9967AC5DABC}"/>
                </c:ext>
              </c:extLst>
            </c:dLbl>
            <c:dLbl>
              <c:idx val="1"/>
              <c:layout>
                <c:manualLayout>
                  <c:x val="0.1132926563521464"/>
                  <c:y val="5.47702691009777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1D-477B-B0C7-A9967AC5DABC}"/>
                </c:ext>
              </c:extLst>
            </c:dLbl>
            <c:dLbl>
              <c:idx val="2"/>
              <c:layout>
                <c:manualLayout>
                  <c:x val="7.4102741406615963E-2"/>
                  <c:y val="1.14538722518413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1D-477B-B0C7-A9967AC5DABC}"/>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Hárok1!$A$1:$A$2</c:f>
              <c:strCache>
                <c:ptCount val="2"/>
                <c:pt idx="0">
                  <c:v>Obec a mesto</c:v>
                </c:pt>
                <c:pt idx="1">
                  <c:v>Rozpočtová organizácia</c:v>
                </c:pt>
              </c:strCache>
            </c:strRef>
          </c:cat>
          <c:val>
            <c:numRef>
              <c:f>Hárok1!$B$1:$B$2</c:f>
              <c:numCache>
                <c:formatCode>General</c:formatCode>
                <c:ptCount val="2"/>
                <c:pt idx="0">
                  <c:v>50</c:v>
                </c:pt>
                <c:pt idx="1">
                  <c:v>23</c:v>
                </c:pt>
              </c:numCache>
            </c:numRef>
          </c:val>
          <c:extLst>
            <c:ext xmlns:c16="http://schemas.microsoft.com/office/drawing/2014/chart" uri="{C3380CC4-5D6E-409C-BE32-E72D297353CC}">
              <c16:uniqueId val="{00000006-731D-477B-B0C7-A9967AC5DABC}"/>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962678895907242"/>
          <c:w val="0.28303183065289644"/>
          <c:h val="0.38457662023016354"/>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0394272171626765"/>
          <c:y val="7.716535433070867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241794453479517"/>
          <c:y val="0.27876443710060866"/>
          <c:w val="0.45140479502230529"/>
          <c:h val="0.58455276602202022"/>
        </c:manualLayout>
      </c:layout>
      <c:pie3DChart>
        <c:varyColors val="1"/>
        <c:ser>
          <c:idx val="0"/>
          <c:order val="0"/>
          <c:explosion val="25"/>
          <c:dPt>
            <c:idx val="0"/>
            <c:bubble3D val="0"/>
            <c:explosion val="14"/>
            <c:extLst>
              <c:ext xmlns:c16="http://schemas.microsoft.com/office/drawing/2014/chart" uri="{C3380CC4-5D6E-409C-BE32-E72D297353CC}">
                <c16:uniqueId val="{00000001-6CC7-4055-A292-CB0C8705EE9C}"/>
              </c:ext>
            </c:extLst>
          </c:dPt>
          <c:dPt>
            <c:idx val="1"/>
            <c:bubble3D val="0"/>
            <c:explosion val="20"/>
            <c:extLst>
              <c:ext xmlns:c16="http://schemas.microsoft.com/office/drawing/2014/chart" uri="{C3380CC4-5D6E-409C-BE32-E72D297353CC}">
                <c16:uniqueId val="{00000003-6CC7-4055-A292-CB0C8705EE9C}"/>
              </c:ext>
            </c:extLst>
          </c:dPt>
          <c:dPt>
            <c:idx val="2"/>
            <c:bubble3D val="0"/>
            <c:explosion val="12"/>
            <c:extLst>
              <c:ext xmlns:c16="http://schemas.microsoft.com/office/drawing/2014/chart" uri="{C3380CC4-5D6E-409C-BE32-E72D297353CC}">
                <c16:uniqueId val="{00000005-6CC7-4055-A292-CB0C8705EE9C}"/>
              </c:ext>
            </c:extLst>
          </c:dPt>
          <c:dPt>
            <c:idx val="3"/>
            <c:bubble3D val="0"/>
            <c:explosion val="16"/>
            <c:extLst>
              <c:ext xmlns:c16="http://schemas.microsoft.com/office/drawing/2014/chart" uri="{C3380CC4-5D6E-409C-BE32-E72D297353CC}">
                <c16:uniqueId val="{00000007-6CC7-4055-A292-CB0C8705EE9C}"/>
              </c:ext>
            </c:extLst>
          </c:dPt>
          <c:dPt>
            <c:idx val="4"/>
            <c:bubble3D val="0"/>
            <c:explosion val="5"/>
            <c:extLst>
              <c:ext xmlns:c16="http://schemas.microsoft.com/office/drawing/2014/chart" uri="{C3380CC4-5D6E-409C-BE32-E72D297353CC}">
                <c16:uniqueId val="{00000009-6CC7-4055-A292-CB0C8705EE9C}"/>
              </c:ext>
            </c:extLst>
          </c:dPt>
          <c:dLbls>
            <c:dLbl>
              <c:idx val="0"/>
              <c:layout>
                <c:manualLayout>
                  <c:x val="-9.4401031561729576E-2"/>
                  <c:y val="-1.45660444129877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C7-4055-A292-CB0C8705EE9C}"/>
                </c:ext>
              </c:extLst>
            </c:dLbl>
            <c:dLbl>
              <c:idx val="1"/>
              <c:layout>
                <c:manualLayout>
                  <c:x val="-9.824567986621081E-3"/>
                  <c:y val="-1.43939259890777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C7-4055-A292-CB0C8705EE9C}"/>
                </c:ext>
              </c:extLst>
            </c:dLbl>
            <c:dLbl>
              <c:idx val="2"/>
              <c:layout>
                <c:manualLayout>
                  <c:x val="2.5943913947830063E-2"/>
                  <c:y val="-2.1827189885227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C7-4055-A292-CB0C8705EE9C}"/>
                </c:ext>
              </c:extLst>
            </c:dLbl>
            <c:dLbl>
              <c:idx val="3"/>
              <c:layout>
                <c:manualLayout>
                  <c:x val="-9.9931007486838974E-2"/>
                  <c:y val="1.57686017299229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C7-4055-A292-CB0C8705EE9C}"/>
                </c:ext>
              </c:extLst>
            </c:dLbl>
            <c:dLbl>
              <c:idx val="4"/>
              <c:layout>
                <c:manualLayout>
                  <c:x val="0.14673658590250135"/>
                  <c:y val="-0.153653173332904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CC7-4055-A292-CB0C8705EE9C}"/>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455</c:v>
                </c:pt>
                <c:pt idx="1">
                  <c:v>647</c:v>
                </c:pt>
                <c:pt idx="2">
                  <c:v>1143</c:v>
                </c:pt>
                <c:pt idx="3">
                  <c:v>2191</c:v>
                </c:pt>
                <c:pt idx="4">
                  <c:v>11350</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A-6CC7-4055-A292-CB0C8705EE9C}"/>
            </c:ext>
          </c:extLst>
        </c:ser>
        <c:dLbls>
          <c:showLegendKey val="0"/>
          <c:showVal val="1"/>
          <c:showCatName val="0"/>
          <c:showSerName val="0"/>
          <c:showPercent val="0"/>
          <c:showBubbleSize val="0"/>
          <c:showLeaderLines val="1"/>
        </c:dLbls>
      </c:pie3DChart>
    </c:plotArea>
    <c:legend>
      <c:legendPos val="r"/>
      <c:layout>
        <c:manualLayout>
          <c:xMode val="edge"/>
          <c:yMode val="edge"/>
          <c:x val="0.68492816335789708"/>
          <c:y val="0.15722808908334876"/>
          <c:w val="0.27649448655111553"/>
          <c:h val="0.7125918997694349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UoZ</a:t>
            </a:r>
            <a:r>
              <a:rPr lang="en-US" sz="1200">
                <a:solidFill>
                  <a:sysClr val="windowText" lastClr="000000"/>
                </a:solidFill>
              </a:rPr>
              <a:t> podľa veku</a:t>
            </a:r>
          </a:p>
        </c:rich>
      </c:tx>
      <c:layout>
        <c:manualLayout>
          <c:xMode val="edge"/>
          <c:yMode val="edge"/>
          <c:x val="0.21171206431841993"/>
          <c:y val="7.790374750873983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9176791906872287"/>
          <c:y val="0.30991976919863923"/>
          <c:w val="0.47223379690952999"/>
          <c:h val="0.49734836192212317"/>
        </c:manualLayout>
      </c:layout>
      <c:pie3DChart>
        <c:varyColors val="1"/>
        <c:ser>
          <c:idx val="0"/>
          <c:order val="0"/>
          <c:tx>
            <c:strRef>
              <c:f>Hárok1!$B$1</c:f>
              <c:strCache>
                <c:ptCount val="1"/>
                <c:pt idx="0">
                  <c:v>Štruktúra zaradených UoZ podľa veku</c:v>
                </c:pt>
              </c:strCache>
            </c:strRef>
          </c:tx>
          <c:dPt>
            <c:idx val="0"/>
            <c:bubble3D val="0"/>
            <c:explosion val="7"/>
            <c:extLst>
              <c:ext xmlns:c16="http://schemas.microsoft.com/office/drawing/2014/chart" uri="{C3380CC4-5D6E-409C-BE32-E72D297353CC}">
                <c16:uniqueId val="{00000001-AD1A-46DB-9E6E-07B6DF7A6A55}"/>
              </c:ext>
            </c:extLst>
          </c:dPt>
          <c:dPt>
            <c:idx val="1"/>
            <c:bubble3D val="0"/>
            <c:explosion val="9"/>
            <c:extLst>
              <c:ext xmlns:c16="http://schemas.microsoft.com/office/drawing/2014/chart" uri="{C3380CC4-5D6E-409C-BE32-E72D297353CC}">
                <c16:uniqueId val="{00000003-AD1A-46DB-9E6E-07B6DF7A6A55}"/>
              </c:ext>
            </c:extLst>
          </c:dPt>
          <c:dPt>
            <c:idx val="2"/>
            <c:bubble3D val="0"/>
            <c:explosion val="11"/>
            <c:extLst>
              <c:ext xmlns:c16="http://schemas.microsoft.com/office/drawing/2014/chart" uri="{C3380CC4-5D6E-409C-BE32-E72D297353CC}">
                <c16:uniqueId val="{00000005-AD1A-46DB-9E6E-07B6DF7A6A55}"/>
              </c:ext>
            </c:extLst>
          </c:dPt>
          <c:dPt>
            <c:idx val="3"/>
            <c:bubble3D val="0"/>
            <c:explosion val="3"/>
            <c:extLst>
              <c:ext xmlns:c16="http://schemas.microsoft.com/office/drawing/2014/chart" uri="{C3380CC4-5D6E-409C-BE32-E72D297353CC}">
                <c16:uniqueId val="{00000007-AD1A-46DB-9E6E-07B6DF7A6A55}"/>
              </c:ext>
            </c:extLst>
          </c:dPt>
          <c:dLbls>
            <c:dLbl>
              <c:idx val="0"/>
              <c:layout>
                <c:manualLayout>
                  <c:x val="-7.520360150336107E-2"/>
                  <c:y val="-1.22169765086418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1A-46DB-9E6E-07B6DF7A6A55}"/>
                </c:ext>
              </c:extLst>
            </c:dLbl>
            <c:dLbl>
              <c:idx val="1"/>
              <c:layout>
                <c:manualLayout>
                  <c:x val="1.1239999384708993E-2"/>
                  <c:y val="-3.44309996394220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1A-46DB-9E6E-07B6DF7A6A55}"/>
                </c:ext>
              </c:extLst>
            </c:dLbl>
            <c:dLbl>
              <c:idx val="2"/>
              <c:layout>
                <c:manualLayout>
                  <c:x val="-0.15032841157499116"/>
                  <c:y val="-0.17011697818922794"/>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1A-46DB-9E6E-07B6DF7A6A55}"/>
                </c:ext>
              </c:extLst>
            </c:dLbl>
            <c:dLbl>
              <c:idx val="3"/>
              <c:layout>
                <c:manualLayout>
                  <c:x val="0.11615070527731679"/>
                  <c:y val="4.0193011402620271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1A-46DB-9E6E-07B6DF7A6A55}"/>
                </c:ext>
              </c:extLst>
            </c:dLbl>
            <c:numFmt formatCode="0.00%" sourceLinked="0"/>
            <c:spPr>
              <a:noFill/>
              <a:ln>
                <a:noFill/>
              </a:ln>
              <a:effectLst/>
            </c:spPr>
            <c:txPr>
              <a:bodyPr/>
              <a:lstStyle/>
              <a:p>
                <a:pPr>
                  <a:defRPr sz="9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659</c:v>
                </c:pt>
                <c:pt idx="1">
                  <c:v>1189</c:v>
                </c:pt>
                <c:pt idx="2">
                  <c:v>8243</c:v>
                </c:pt>
                <c:pt idx="3">
                  <c:v>5695</c:v>
                </c:pt>
              </c:numCache>
            </c:numRef>
          </c:val>
          <c:extLst>
            <c:ext xmlns:c16="http://schemas.microsoft.com/office/drawing/2014/chart" uri="{C3380CC4-5D6E-409C-BE32-E72D297353CC}">
              <c16:uniqueId val="{00000008-AD1A-46DB-9E6E-07B6DF7A6A55}"/>
            </c:ext>
          </c:extLst>
        </c:ser>
        <c:dLbls>
          <c:showLegendKey val="0"/>
          <c:showVal val="0"/>
          <c:showCatName val="0"/>
          <c:showSerName val="0"/>
          <c:showPercent val="0"/>
          <c:showBubbleSize val="0"/>
          <c:showLeaderLines val="1"/>
        </c:dLbls>
      </c:pie3DChart>
    </c:plotArea>
    <c:legend>
      <c:legendPos val="r"/>
      <c:layout>
        <c:manualLayout>
          <c:xMode val="edge"/>
          <c:yMode val="edge"/>
          <c:x val="0.71039243602255386"/>
          <c:y val="0.20986661548011892"/>
          <c:w val="0.17799411713431629"/>
          <c:h val="0.59406957558728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zaradených UoZ podľa znevýhodnenia</a:t>
            </a:r>
          </a:p>
        </c:rich>
      </c:tx>
      <c:layout>
        <c:manualLayout>
          <c:xMode val="edge"/>
          <c:yMode val="edge"/>
          <c:x val="0.20593903739194103"/>
          <c:y val="5.08598817527365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1461449863628384"/>
          <c:y val="0.28924653789956051"/>
          <c:w val="0.43998475720714358"/>
          <c:h val="0.57059136613235673"/>
        </c:manualLayout>
      </c:layout>
      <c:pie3DChart>
        <c:varyColors val="1"/>
        <c:ser>
          <c:idx val="0"/>
          <c:order val="0"/>
          <c:explosion val="16"/>
          <c:dPt>
            <c:idx val="0"/>
            <c:bubble3D val="0"/>
            <c:extLst>
              <c:ext xmlns:c16="http://schemas.microsoft.com/office/drawing/2014/chart" uri="{C3380CC4-5D6E-409C-BE32-E72D297353CC}">
                <c16:uniqueId val="{00000000-93B3-4D59-8501-70418F556BCC}"/>
              </c:ext>
            </c:extLst>
          </c:dPt>
          <c:dPt>
            <c:idx val="1"/>
            <c:bubble3D val="0"/>
            <c:extLst>
              <c:ext xmlns:c16="http://schemas.microsoft.com/office/drawing/2014/chart" uri="{C3380CC4-5D6E-409C-BE32-E72D297353CC}">
                <c16:uniqueId val="{00000001-93B3-4D59-8501-70418F556BCC}"/>
              </c:ext>
            </c:extLst>
          </c:dPt>
          <c:dPt>
            <c:idx val="2"/>
            <c:bubble3D val="0"/>
            <c:explosion val="12"/>
            <c:extLst>
              <c:ext xmlns:c16="http://schemas.microsoft.com/office/drawing/2014/chart" uri="{C3380CC4-5D6E-409C-BE32-E72D297353CC}">
                <c16:uniqueId val="{00000003-93B3-4D59-8501-70418F556BCC}"/>
              </c:ext>
            </c:extLst>
          </c:dPt>
          <c:dPt>
            <c:idx val="3"/>
            <c:bubble3D val="0"/>
            <c:explosion val="4"/>
            <c:extLst>
              <c:ext xmlns:c16="http://schemas.microsoft.com/office/drawing/2014/chart" uri="{C3380CC4-5D6E-409C-BE32-E72D297353CC}">
                <c16:uniqueId val="{00000005-93B3-4D59-8501-70418F556BCC}"/>
              </c:ext>
            </c:extLst>
          </c:dPt>
          <c:dPt>
            <c:idx val="4"/>
            <c:bubble3D val="0"/>
            <c:explosion val="8"/>
            <c:extLst>
              <c:ext xmlns:c16="http://schemas.microsoft.com/office/drawing/2014/chart" uri="{C3380CC4-5D6E-409C-BE32-E72D297353CC}">
                <c16:uniqueId val="{00000007-93B3-4D59-8501-70418F556BCC}"/>
              </c:ext>
            </c:extLst>
          </c:dPt>
          <c:dLbls>
            <c:dLbl>
              <c:idx val="0"/>
              <c:layout>
                <c:manualLayout>
                  <c:x val="7.8216308734783579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3B3-4D59-8501-70418F556BCC}"/>
                </c:ext>
              </c:extLst>
            </c:dLbl>
            <c:dLbl>
              <c:idx val="1"/>
              <c:layout>
                <c:manualLayout>
                  <c:x val="7.1562006909798082E-2"/>
                  <c:y val="-6.715965778111407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B3-4D59-8501-70418F556BCC}"/>
                </c:ext>
              </c:extLst>
            </c:dLbl>
            <c:dLbl>
              <c:idx val="2"/>
              <c:layout>
                <c:manualLayout>
                  <c:x val="-0.13492526321648621"/>
                  <c:y val="-5.92749477743854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B3-4D59-8501-70418F556BCC}"/>
                </c:ext>
              </c:extLst>
            </c:dLbl>
            <c:dLbl>
              <c:idx val="3"/>
              <c:layout>
                <c:manualLayout>
                  <c:x val="8.0197471237791848E-2"/>
                  <c:y val="-0.126647383362793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B3-4D59-8501-70418F556BCC}"/>
                </c:ext>
              </c:extLst>
            </c:dLbl>
            <c:dLbl>
              <c:idx val="4"/>
              <c:layout>
                <c:manualLayout>
                  <c:x val="0.10846325987851714"/>
                  <c:y val="4.40397587218432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B3-4D59-8501-70418F556BCC}"/>
                </c:ext>
              </c:extLst>
            </c:dLbl>
            <c:dLbl>
              <c:idx val="5"/>
              <c:layout>
                <c:manualLayout>
                  <c:x val="-0.16432912443856426"/>
                  <c:y val="-4.929026728801757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1E6-4EFF-85BC-7A17CB508938}"/>
                </c:ext>
              </c:extLst>
            </c:dLbl>
            <c:dLbl>
              <c:idx val="6"/>
              <c:layout>
                <c:manualLayout>
                  <c:x val="-9.3216529010545765E-2"/>
                  <c:y val="-2.38834431410359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3B3-4D59-8501-70418F556BCC}"/>
                </c:ext>
              </c:extLst>
            </c:dLbl>
            <c:dLbl>
              <c:idx val="7"/>
              <c:layout>
                <c:manualLayout>
                  <c:x val="-4.5674776665761016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B3-4D59-8501-70418F556BCC}"/>
                </c:ext>
              </c:extLst>
            </c:dLbl>
            <c:dLbl>
              <c:idx val="8"/>
              <c:layout>
                <c:manualLayout>
                  <c:x val="8.4787730694433454E-3"/>
                  <c:y val="-5.3706775246250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3B3-4D59-8501-70418F556BCC}"/>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9"/>
                <c:pt idx="0">
                  <c:v>absolventi škôl</c:v>
                </c:pt>
                <c:pt idx="1">
                  <c:v>občan starší ako 50 rokv veku</c:v>
                </c:pt>
                <c:pt idx="2">
                  <c:v>dlhodobo nezamestnaný občan</c:v>
                </c:pt>
                <c:pt idx="3">
                  <c:v>občan - vzdelanie nižšie ako str.odb.</c:v>
                </c:pt>
                <c:pt idx="4">
                  <c:v>občan - 12 kal.mesiacov nemal pravidelne plat.zam.</c:v>
                </c:pt>
                <c:pt idx="5">
                  <c:v>štátny príslušník tretej krajiny- azyl/doplnková ochrana</c:v>
                </c:pt>
                <c:pt idx="6">
                  <c:v>osamelý občan - starostlivosť o odkázanú osobu/starajúci sa o dieťa</c:v>
                </c:pt>
                <c:pt idx="7">
                  <c:v>občan so zdravotným postihnutím</c:v>
                </c:pt>
                <c:pt idx="8">
                  <c:v>ukončil poberanie materského alebo poberanie rodičovského príspevku</c:v>
                </c:pt>
              </c:strCache>
            </c:strRef>
          </c:cat>
          <c:val>
            <c:numRef>
              <c:f>Hárok1!$B$1:$B$9</c:f>
              <c:numCache>
                <c:formatCode>General</c:formatCode>
                <c:ptCount val="9"/>
                <c:pt idx="0">
                  <c:v>32</c:v>
                </c:pt>
                <c:pt idx="1">
                  <c:v>5720</c:v>
                </c:pt>
                <c:pt idx="2">
                  <c:v>13777</c:v>
                </c:pt>
                <c:pt idx="3">
                  <c:v>11567</c:v>
                </c:pt>
                <c:pt idx="4">
                  <c:v>12527</c:v>
                </c:pt>
                <c:pt idx="5">
                  <c:v>0</c:v>
                </c:pt>
                <c:pt idx="6">
                  <c:v>183</c:v>
                </c:pt>
                <c:pt idx="7">
                  <c:v>228</c:v>
                </c:pt>
                <c:pt idx="8">
                  <c:v>632</c:v>
                </c:pt>
              </c:numCache>
            </c:numRef>
          </c:val>
          <c:extLst>
            <c:ext xmlns:c16="http://schemas.microsoft.com/office/drawing/2014/chart" uri="{C3380CC4-5D6E-409C-BE32-E72D297353CC}">
              <c16:uniqueId val="{0000000B-93B3-4D59-8501-70418F556BCC}"/>
            </c:ext>
          </c:extLst>
        </c:ser>
        <c:dLbls>
          <c:showLegendKey val="0"/>
          <c:showVal val="1"/>
          <c:showCatName val="0"/>
          <c:showSerName val="0"/>
          <c:showPercent val="0"/>
          <c:showBubbleSize val="0"/>
          <c:showLeaderLines val="1"/>
        </c:dLbls>
      </c:pie3DChart>
    </c:plotArea>
    <c:legend>
      <c:legendPos val="r"/>
      <c:layout>
        <c:manualLayout>
          <c:xMode val="edge"/>
          <c:yMode val="edge"/>
          <c:x val="0.6700884167619342"/>
          <c:y val="0.12132186535851366"/>
          <c:w val="0.28010823236188759"/>
          <c:h val="0.87867813464148636"/>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solidFill>
            <a:schemeClr val="tx1"/>
          </a:solidFill>
        </a:defRPr>
      </a:pPr>
      <a:endParaRPr lang="sk-SK"/>
    </a:p>
  </c:txPr>
  <c:externalData r:id="rId2">
    <c:autoUpdate val="0"/>
  </c:externalData>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628757171085228"/>
          <c:y val="3.029307470232679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6928937711444146E-2"/>
          <c:y val="0.25133731337255677"/>
          <c:w val="0.50989066093804236"/>
          <c:h val="0.66068458923993245"/>
        </c:manualLayout>
      </c:layout>
      <c:pie3DChart>
        <c:varyColors val="1"/>
        <c:ser>
          <c:idx val="0"/>
          <c:order val="0"/>
          <c:explosion val="25"/>
          <c:dPt>
            <c:idx val="0"/>
            <c:bubble3D val="0"/>
            <c:explosion val="8"/>
            <c:extLst>
              <c:ext xmlns:c16="http://schemas.microsoft.com/office/drawing/2014/chart" uri="{C3380CC4-5D6E-409C-BE32-E72D297353CC}">
                <c16:uniqueId val="{00000001-2A17-488C-BCD3-AE3F77E83E38}"/>
              </c:ext>
            </c:extLst>
          </c:dPt>
          <c:dPt>
            <c:idx val="1"/>
            <c:bubble3D val="0"/>
            <c:explosion val="10"/>
            <c:extLst>
              <c:ext xmlns:c16="http://schemas.microsoft.com/office/drawing/2014/chart" uri="{C3380CC4-5D6E-409C-BE32-E72D297353CC}">
                <c16:uniqueId val="{00000003-2A17-488C-BCD3-AE3F77E83E38}"/>
              </c:ext>
            </c:extLst>
          </c:dPt>
          <c:dPt>
            <c:idx val="2"/>
            <c:bubble3D val="0"/>
            <c:explosion val="2"/>
            <c:extLst>
              <c:ext xmlns:c16="http://schemas.microsoft.com/office/drawing/2014/chart" uri="{C3380CC4-5D6E-409C-BE32-E72D297353CC}">
                <c16:uniqueId val="{00000005-2A17-488C-BCD3-AE3F77E83E38}"/>
              </c:ext>
            </c:extLst>
          </c:dPt>
          <c:dPt>
            <c:idx val="3"/>
            <c:bubble3D val="0"/>
            <c:explosion val="10"/>
            <c:extLst>
              <c:ext xmlns:c16="http://schemas.microsoft.com/office/drawing/2014/chart" uri="{C3380CC4-5D6E-409C-BE32-E72D297353CC}">
                <c16:uniqueId val="{00000007-2A17-488C-BCD3-AE3F77E83E38}"/>
              </c:ext>
            </c:extLst>
          </c:dPt>
          <c:dLbls>
            <c:dLbl>
              <c:idx val="1"/>
              <c:layout>
                <c:manualLayout>
                  <c:x val="-8.9582130512685154E-2"/>
                  <c:y val="-0.183349031361920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17-488C-BCD3-AE3F77E83E38}"/>
                </c:ext>
              </c:extLst>
            </c:dLbl>
            <c:dLbl>
              <c:idx val="2"/>
              <c:layout>
                <c:manualLayout>
                  <c:x val="-2.4216457400747574E-2"/>
                  <c:y val="-1.12031522157493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17-488C-BCD3-AE3F77E83E38}"/>
                </c:ext>
              </c:extLst>
            </c:dLbl>
            <c:dLbl>
              <c:idx val="3"/>
              <c:layout>
                <c:manualLayout>
                  <c:x val="9.104777369091184E-2"/>
                  <c:y val="3.30090221738024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17-488C-BCD3-AE3F77E83E38}"/>
                </c:ext>
              </c:extLst>
            </c:dLbl>
            <c:dLbl>
              <c:idx val="4"/>
              <c:layout>
                <c:manualLayout>
                  <c:x val="-6.0405972756059016E-2"/>
                  <c:y val="6.06488397732387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A17-488C-BCD3-AE3F77E83E38}"/>
                </c:ext>
              </c:extLst>
            </c:dLbl>
            <c:dLbl>
              <c:idx val="5"/>
              <c:layout>
                <c:manualLayout>
                  <c:x val="-8.1005653292580276E-2"/>
                  <c:y val="-4.54516631982725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17-488C-BCD3-AE3F77E83E38}"/>
                </c:ext>
              </c:extLst>
            </c:dLbl>
            <c:dLbl>
              <c:idx val="6"/>
              <c:layout>
                <c:manualLayout>
                  <c:x val="-7.1090175517294601E-2"/>
                  <c:y val="-9.59901884675351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A17-488C-BCD3-AE3F77E83E38}"/>
                </c:ext>
              </c:extLst>
            </c:dLbl>
            <c:dLbl>
              <c:idx val="7"/>
              <c:layout>
                <c:manualLayout>
                  <c:x val="5.2116211023281317E-3"/>
                  <c:y val="-9.10191859820339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17-488C-BCD3-AE3F77E83E38}"/>
                </c:ext>
              </c:extLst>
            </c:dLbl>
            <c:dLbl>
              <c:idx val="8"/>
              <c:layout>
                <c:manualLayout>
                  <c:x val="8.3845262329320283E-2"/>
                  <c:y val="-8.6876683910782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A17-488C-BCD3-AE3F77E83E38}"/>
                </c:ext>
              </c:extLst>
            </c:dLbl>
            <c:dLbl>
              <c:idx val="9"/>
              <c:layout>
                <c:manualLayout>
                  <c:x val="0.10491032252507482"/>
                  <c:y val="-2.0596650770766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A17-488C-BCD3-AE3F77E83E38}"/>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2887</c:v>
                </c:pt>
                <c:pt idx="1">
                  <c:v>8426</c:v>
                </c:pt>
                <c:pt idx="2">
                  <c:v>262</c:v>
                </c:pt>
                <c:pt idx="3">
                  <c:v>3436</c:v>
                </c:pt>
                <c:pt idx="4">
                  <c:v>624</c:v>
                </c:pt>
                <c:pt idx="5">
                  <c:v>75</c:v>
                </c:pt>
                <c:pt idx="6">
                  <c:v>10</c:v>
                </c:pt>
                <c:pt idx="7">
                  <c:v>9</c:v>
                </c:pt>
                <c:pt idx="8">
                  <c:v>55</c:v>
                </c:pt>
                <c:pt idx="9">
                  <c:v>2</c:v>
                </c:pt>
              </c:numCache>
            </c:numRef>
          </c:val>
          <c:extLst>
            <c:ext xmlns:c16="http://schemas.microsoft.com/office/drawing/2014/chart" uri="{C3380CC4-5D6E-409C-BE32-E72D297353CC}">
              <c16:uniqueId val="{0000000E-2A17-488C-BCD3-AE3F77E83E38}"/>
            </c:ext>
          </c:extLst>
        </c:ser>
        <c:dLbls>
          <c:showLegendKey val="0"/>
          <c:showVal val="1"/>
          <c:showCatName val="0"/>
          <c:showSerName val="0"/>
          <c:showPercent val="0"/>
          <c:showBubbleSize val="0"/>
          <c:showLeaderLines val="1"/>
        </c:dLbls>
      </c:pie3DChart>
    </c:plotArea>
    <c:legend>
      <c:legendPos val="r"/>
      <c:layout>
        <c:manualLayout>
          <c:xMode val="edge"/>
          <c:yMode val="edge"/>
          <c:x val="0.64175880592636314"/>
          <c:y val="0.10657398819835194"/>
          <c:w val="0.34307819179918658"/>
          <c:h val="0.872792176868529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podľa právnej formy zamestnávateľa</a:t>
            </a:r>
            <a:endParaRPr lang="sk-SK" sz="1200">
              <a:effectLst/>
            </a:endParaRPr>
          </a:p>
        </c:rich>
      </c:tx>
      <c:layout>
        <c:manualLayout>
          <c:xMode val="edge"/>
          <c:yMode val="edge"/>
          <c:x val="0.20827500887950132"/>
          <c:y val="8.907529974494862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414275492747979"/>
          <c:y val="0.21225844593147292"/>
          <c:w val="0.50135586124299292"/>
          <c:h val="0.64557195856502692"/>
        </c:manualLayout>
      </c:layout>
      <c:pie3DChart>
        <c:varyColors val="1"/>
        <c:ser>
          <c:idx val="0"/>
          <c:order val="0"/>
          <c:explosion val="25"/>
          <c:dPt>
            <c:idx val="0"/>
            <c:bubble3D val="0"/>
            <c:explosion val="37"/>
            <c:extLst>
              <c:ext xmlns:c16="http://schemas.microsoft.com/office/drawing/2014/chart" uri="{C3380CC4-5D6E-409C-BE32-E72D297353CC}">
                <c16:uniqueId val="{00000001-9EF9-4D93-A02D-AD388854DF88}"/>
              </c:ext>
            </c:extLst>
          </c:dPt>
          <c:dPt>
            <c:idx val="1"/>
            <c:bubble3D val="0"/>
            <c:explosion val="7"/>
            <c:extLst>
              <c:ext xmlns:c16="http://schemas.microsoft.com/office/drawing/2014/chart" uri="{C3380CC4-5D6E-409C-BE32-E72D297353CC}">
                <c16:uniqueId val="{00000003-9EF9-4D93-A02D-AD388854DF88}"/>
              </c:ext>
            </c:extLst>
          </c:dPt>
          <c:dPt>
            <c:idx val="2"/>
            <c:bubble3D val="0"/>
            <c:explosion val="12"/>
            <c:extLst>
              <c:ext xmlns:c16="http://schemas.microsoft.com/office/drawing/2014/chart" uri="{C3380CC4-5D6E-409C-BE32-E72D297353CC}">
                <c16:uniqueId val="{00000005-9EF9-4D93-A02D-AD388854DF88}"/>
              </c:ext>
            </c:extLst>
          </c:dPt>
          <c:dLbls>
            <c:dLbl>
              <c:idx val="0"/>
              <c:layout>
                <c:manualLayout>
                  <c:x val="-5.7593217605262842E-2"/>
                  <c:y val="-0.243076949440079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F9-4D93-A02D-AD388854DF88}"/>
                </c:ext>
              </c:extLst>
            </c:dLbl>
            <c:dLbl>
              <c:idx val="1"/>
              <c:layout>
                <c:manualLayout>
                  <c:x val="-1.7454783177162779E-2"/>
                  <c:y val="1.969137970920116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F9-4D93-A02D-AD388854DF88}"/>
                </c:ext>
              </c:extLst>
            </c:dLbl>
            <c:dLbl>
              <c:idx val="2"/>
              <c:layout>
                <c:manualLayout>
                  <c:x val="7.8460989390926258E-2"/>
                  <c:y val="2.88639654537197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F9-4D93-A02D-AD388854DF88}"/>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Hárok1!$A$1:$A$3</c:f>
              <c:strCache>
                <c:ptCount val="3"/>
                <c:pt idx="0">
                  <c:v>Obec a mesto</c:v>
                </c:pt>
                <c:pt idx="1">
                  <c:v>Príspevková organizácia</c:v>
                </c:pt>
                <c:pt idx="2">
                  <c:v>Rozpočtová organizácia</c:v>
                </c:pt>
              </c:strCache>
            </c:strRef>
          </c:cat>
          <c:val>
            <c:numRef>
              <c:f>Hárok1!$B$1:$B$3</c:f>
              <c:numCache>
                <c:formatCode>General</c:formatCode>
                <c:ptCount val="3"/>
                <c:pt idx="0">
                  <c:v>1719</c:v>
                </c:pt>
                <c:pt idx="1">
                  <c:v>20</c:v>
                </c:pt>
                <c:pt idx="2">
                  <c:v>65</c:v>
                </c:pt>
              </c:numCache>
            </c:numRef>
          </c:val>
          <c:extLst>
            <c:ext xmlns:c16="http://schemas.microsoft.com/office/drawing/2014/chart" uri="{C3380CC4-5D6E-409C-BE32-E72D297353CC}">
              <c16:uniqueId val="{00000006-9EF9-4D93-A02D-AD388854DF88}"/>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16439967582256051"/>
          <c:w val="0.28303183065289644"/>
          <c:h val="0.6746863503817826"/>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UoZ</a:t>
            </a:r>
            <a:r>
              <a:rPr lang="en-US" sz="1200">
                <a:solidFill>
                  <a:sysClr val="windowText" lastClr="000000"/>
                </a:solidFill>
              </a:rPr>
              <a:t> podľa veku</a:t>
            </a:r>
          </a:p>
        </c:rich>
      </c:tx>
      <c:layout>
        <c:manualLayout>
          <c:xMode val="edge"/>
          <c:yMode val="edge"/>
          <c:x val="0.22934876196031051"/>
          <c:y val="6.492229903542454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657364947896817"/>
          <c:y val="0.30597575717973013"/>
          <c:w val="0.49176928638207179"/>
          <c:h val="0.51706841756601507"/>
        </c:manualLayout>
      </c:layout>
      <c:pie3DChart>
        <c:varyColors val="1"/>
        <c:ser>
          <c:idx val="0"/>
          <c:order val="0"/>
          <c:tx>
            <c:strRef>
              <c:f>Hárok1!$B$1</c:f>
              <c:strCache>
                <c:ptCount val="1"/>
                <c:pt idx="0">
                  <c:v>Štruktúra zaradených UoZ podľa veku</c:v>
                </c:pt>
              </c:strCache>
            </c:strRef>
          </c:tx>
          <c:dPt>
            <c:idx val="0"/>
            <c:bubble3D val="0"/>
            <c:explosion val="7"/>
            <c:extLst>
              <c:ext xmlns:c16="http://schemas.microsoft.com/office/drawing/2014/chart" uri="{C3380CC4-5D6E-409C-BE32-E72D297353CC}">
                <c16:uniqueId val="{00000001-924D-4789-B9E7-3ABD1F0FCC9F}"/>
              </c:ext>
            </c:extLst>
          </c:dPt>
          <c:dPt>
            <c:idx val="1"/>
            <c:bubble3D val="0"/>
            <c:explosion val="9"/>
            <c:extLst>
              <c:ext xmlns:c16="http://schemas.microsoft.com/office/drawing/2014/chart" uri="{C3380CC4-5D6E-409C-BE32-E72D297353CC}">
                <c16:uniqueId val="{00000003-924D-4789-B9E7-3ABD1F0FCC9F}"/>
              </c:ext>
            </c:extLst>
          </c:dPt>
          <c:dPt>
            <c:idx val="2"/>
            <c:bubble3D val="0"/>
            <c:explosion val="11"/>
            <c:extLst>
              <c:ext xmlns:c16="http://schemas.microsoft.com/office/drawing/2014/chart" uri="{C3380CC4-5D6E-409C-BE32-E72D297353CC}">
                <c16:uniqueId val="{00000005-924D-4789-B9E7-3ABD1F0FCC9F}"/>
              </c:ext>
            </c:extLst>
          </c:dPt>
          <c:dPt>
            <c:idx val="3"/>
            <c:bubble3D val="0"/>
            <c:explosion val="3"/>
            <c:extLst>
              <c:ext xmlns:c16="http://schemas.microsoft.com/office/drawing/2014/chart" uri="{C3380CC4-5D6E-409C-BE32-E72D297353CC}">
                <c16:uniqueId val="{00000007-924D-4789-B9E7-3ABD1F0FCC9F}"/>
              </c:ext>
            </c:extLst>
          </c:dPt>
          <c:dLbls>
            <c:dLbl>
              <c:idx val="0"/>
              <c:layout>
                <c:manualLayout>
                  <c:x val="-5.5362350539515895E-2"/>
                  <c:y val="6.56715400838849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4D-4789-B9E7-3ABD1F0FCC9F}"/>
                </c:ext>
              </c:extLst>
            </c:dLbl>
            <c:dLbl>
              <c:idx val="1"/>
              <c:layout>
                <c:manualLayout>
                  <c:x val="-7.2534335985779561E-2"/>
                  <c:y val="2.18216881262840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4D-4789-B9E7-3ABD1F0FCC9F}"/>
                </c:ext>
              </c:extLst>
            </c:dLbl>
            <c:dLbl>
              <c:idx val="2"/>
              <c:layout>
                <c:manualLayout>
                  <c:x val="-8.6433293060589736E-2"/>
                  <c:y val="-0.22966640204158831"/>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4D-4789-B9E7-3ABD1F0FCC9F}"/>
                </c:ext>
              </c:extLst>
            </c:dLbl>
            <c:dLbl>
              <c:idx val="3"/>
              <c:layout>
                <c:manualLayout>
                  <c:x val="9.4550420780735694E-2"/>
                  <c:y val="3.7211453609406572E-2"/>
                </c:manualLayout>
              </c:layout>
              <c:tx>
                <c:rich>
                  <a:bodyPr/>
                  <a:lstStyle/>
                  <a:p>
                    <a:pPr>
                      <a:defRPr sz="1000" b="0"/>
                    </a:pPr>
                    <a:r>
                      <a:rPr lang="en-US"/>
                      <a:t>33,3</a:t>
                    </a:r>
                  </a:p>
                </c:rich>
              </c:tx>
              <c:numFmt formatCode="0.00%" sourceLinked="0"/>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7.7979076687478319E-2"/>
                      <c:h val="6.4771200724510078E-2"/>
                    </c:manualLayout>
                  </c15:layout>
                </c:ext>
                <c:ext xmlns:c16="http://schemas.microsoft.com/office/drawing/2014/chart" uri="{C3380CC4-5D6E-409C-BE32-E72D297353CC}">
                  <c16:uniqueId val="{00000007-924D-4789-B9E7-3ABD1F0FCC9F}"/>
                </c:ext>
              </c:extLst>
            </c:dLbl>
            <c:numFmt formatCode="0.00%" sourceLinked="0"/>
            <c:spPr>
              <a:noFill/>
              <a:ln>
                <a:noFill/>
              </a:ln>
              <a:effectLst/>
            </c:spPr>
            <c:txPr>
              <a:bodyPr/>
              <a:lstStyle/>
              <a:p>
                <a:pPr>
                  <a:defRPr sz="9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1</c:v>
                </c:pt>
                <c:pt idx="1">
                  <c:v>1</c:v>
                </c:pt>
                <c:pt idx="2">
                  <c:v>4</c:v>
                </c:pt>
                <c:pt idx="3">
                  <c:v>3</c:v>
                </c:pt>
              </c:numCache>
            </c:numRef>
          </c:val>
          <c:extLst>
            <c:ext xmlns:c16="http://schemas.microsoft.com/office/drawing/2014/chart" uri="{C3380CC4-5D6E-409C-BE32-E72D297353CC}">
              <c16:uniqueId val="{00000008-924D-4789-B9E7-3ABD1F0FCC9F}"/>
            </c:ext>
          </c:extLst>
        </c:ser>
        <c:dLbls>
          <c:showLegendKey val="0"/>
          <c:showVal val="0"/>
          <c:showCatName val="0"/>
          <c:showSerName val="0"/>
          <c:showPercent val="0"/>
          <c:showBubbleSize val="0"/>
          <c:showLeaderLines val="1"/>
        </c:dLbls>
      </c:pie3DChart>
    </c:plotArea>
    <c:legend>
      <c:legendPos val="r"/>
      <c:layout>
        <c:manualLayout>
          <c:xMode val="edge"/>
          <c:yMode val="edge"/>
          <c:x val="0.71039243602255386"/>
          <c:y val="0.20986661548011892"/>
          <c:w val="0.17799411713431629"/>
          <c:h val="0.59406957558728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4957750072907552"/>
          <c:y val="3.301897607626633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807244709779198"/>
          <c:y val="0.23807656532946694"/>
          <c:w val="0.51522783610382039"/>
          <c:h val="0.59100529100529087"/>
        </c:manualLayout>
      </c:layout>
      <c:pie3DChart>
        <c:varyColors val="1"/>
        <c:ser>
          <c:idx val="0"/>
          <c:order val="0"/>
          <c:explosion val="12"/>
          <c:dPt>
            <c:idx val="0"/>
            <c:bubble3D val="0"/>
            <c:explosion val="4"/>
            <c:extLst>
              <c:ext xmlns:c16="http://schemas.microsoft.com/office/drawing/2014/chart" uri="{C3380CC4-5D6E-409C-BE32-E72D297353CC}">
                <c16:uniqueId val="{00000001-1747-4AA6-A417-8F93C95B16F4}"/>
              </c:ext>
            </c:extLst>
          </c:dPt>
          <c:dPt>
            <c:idx val="1"/>
            <c:bubble3D val="0"/>
            <c:explosion val="8"/>
            <c:extLst>
              <c:ext xmlns:c16="http://schemas.microsoft.com/office/drawing/2014/chart" uri="{C3380CC4-5D6E-409C-BE32-E72D297353CC}">
                <c16:uniqueId val="{00000003-1747-4AA6-A417-8F93C95B16F4}"/>
              </c:ext>
            </c:extLst>
          </c:dPt>
          <c:dPt>
            <c:idx val="2"/>
            <c:bubble3D val="0"/>
            <c:explosion val="7"/>
            <c:extLst>
              <c:ext xmlns:c16="http://schemas.microsoft.com/office/drawing/2014/chart" uri="{C3380CC4-5D6E-409C-BE32-E72D297353CC}">
                <c16:uniqueId val="{00000005-1747-4AA6-A417-8F93C95B16F4}"/>
              </c:ext>
            </c:extLst>
          </c:dPt>
          <c:dPt>
            <c:idx val="3"/>
            <c:bubble3D val="0"/>
            <c:explosion val="6"/>
            <c:extLst>
              <c:ext xmlns:c16="http://schemas.microsoft.com/office/drawing/2014/chart" uri="{C3380CC4-5D6E-409C-BE32-E72D297353CC}">
                <c16:uniqueId val="{00000007-1747-4AA6-A417-8F93C95B16F4}"/>
              </c:ext>
            </c:extLst>
          </c:dPt>
          <c:dPt>
            <c:idx val="4"/>
            <c:bubble3D val="0"/>
            <c:explosion val="8"/>
            <c:extLst>
              <c:ext xmlns:c16="http://schemas.microsoft.com/office/drawing/2014/chart" uri="{C3380CC4-5D6E-409C-BE32-E72D297353CC}">
                <c16:uniqueId val="{00000009-1747-4AA6-A417-8F93C95B16F4}"/>
              </c:ext>
            </c:extLst>
          </c:dPt>
          <c:dLbls>
            <c:dLbl>
              <c:idx val="0"/>
              <c:layout>
                <c:manualLayout>
                  <c:x val="-0.11073734908999018"/>
                  <c:y val="6.8038952206936676E-2"/>
                </c:manualLayout>
              </c:layout>
              <c:tx>
                <c:rich>
                  <a:bodyPr/>
                  <a:lstStyle/>
                  <a:p>
                    <a:r>
                      <a:rPr lang="en-US" sz="1000"/>
                      <a:t>53,00 %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47-4AA6-A417-8F93C95B16F4}"/>
                </c:ext>
              </c:extLst>
            </c:dLbl>
            <c:dLbl>
              <c:idx val="1"/>
              <c:layout>
                <c:manualLayout>
                  <c:x val="-8.1657541830708655E-2"/>
                  <c:y val="-0.1304553274252013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47-4AA6-A417-8F93C95B16F4}"/>
                </c:ext>
              </c:extLst>
            </c:dLbl>
            <c:dLbl>
              <c:idx val="2"/>
              <c:layout>
                <c:manualLayout>
                  <c:x val="4.8621363735782634E-3"/>
                  <c:y val="-0.157374010507671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47-4AA6-A417-8F93C95B16F4}"/>
                </c:ext>
              </c:extLst>
            </c:dLbl>
            <c:dLbl>
              <c:idx val="3"/>
              <c:layout>
                <c:manualLayout>
                  <c:x val="0.10799278581797385"/>
                  <c:y val="-0.10322611556042667"/>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747-4AA6-A417-8F93C95B16F4}"/>
                </c:ext>
              </c:extLst>
            </c:dLbl>
            <c:dLbl>
              <c:idx val="4"/>
              <c:layout>
                <c:manualLayout>
                  <c:x val="0.10320558434960664"/>
                  <c:y val="6.85546936410472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47-4AA6-A417-8F93C95B16F4}"/>
                </c:ext>
              </c:extLst>
            </c:dLbl>
            <c:numFmt formatCode="0.00%" sourceLinked="0"/>
            <c:spPr>
              <a:noFill/>
              <a:ln w="25400">
                <a:noFill/>
              </a:ln>
            </c:spPr>
            <c:txPr>
              <a:bodyPr wrap="square" lIns="38100" tIns="19050" rIns="38100" bIns="19050" anchor="ctr">
                <a:spAutoFit/>
              </a:bodyPr>
              <a:lstStyle/>
              <a:p>
                <a:pPr>
                  <a:defRPr sz="10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3</c:v>
                </c:pt>
                <c:pt idx="1">
                  <c:v>1</c:v>
                </c:pt>
                <c:pt idx="2">
                  <c:v>1</c:v>
                </c:pt>
                <c:pt idx="3">
                  <c:v>2</c:v>
                </c:pt>
                <c:pt idx="4">
                  <c:v>2</c:v>
                </c:pt>
              </c:numCache>
            </c:numRef>
          </c:val>
          <c:extLst>
            <c:ext xmlns:c16="http://schemas.microsoft.com/office/drawing/2014/chart" uri="{C3380CC4-5D6E-409C-BE32-E72D297353CC}">
              <c16:uniqueId val="{0000000A-1747-4AA6-A417-8F93C95B16F4}"/>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251001339676296"/>
          <c:y val="0.21581840204943006"/>
          <c:w val="0.30555610236220476"/>
          <c:h val="0.71993058768395524"/>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Štruktúra znevýhodnených UoZ, ktorým boli v roku 2024 poskytnuté OPS - § 43</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endParaRPr lang="sk-SK"/>
        </a:p>
      </c:txPr>
    </c:title>
    <c:autoTitleDeleted val="0"/>
    <c:plotArea>
      <c:layout>
        <c:manualLayout>
          <c:layoutTarget val="inner"/>
          <c:xMode val="edge"/>
          <c:yMode val="edge"/>
          <c:x val="0.47395377661125693"/>
          <c:y val="0.22312740439013351"/>
          <c:w val="0.48314498882084184"/>
          <c:h val="0.6718793042926660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'pocet_XoZ_mimo NP_10_GRAFY'!$AH$48:$AH$56</c:f>
              <c:strCache>
                <c:ptCount val="9"/>
                <c:pt idx="0">
                  <c:v>Štátní príslušníci tretej krajiny, ktorým bol udelený azyl</c:v>
                </c:pt>
                <c:pt idx="1">
                  <c:v>Občania, ktorí žijú v domácnosti s osobami odkázanými na starostlivosť</c:v>
                </c:pt>
                <c:pt idx="2">
                  <c:v>Občan, ktorý ukončil poberanie materského alebo poberanie rodičovského príspevku</c:v>
                </c:pt>
                <c:pt idx="3">
                  <c:v>Občania so zdravotným postihnutím</c:v>
                </c:pt>
                <c:pt idx="4">
                  <c:v>Absolventi školy</c:v>
                </c:pt>
                <c:pt idx="5">
                  <c:v>Občania starší ako 50 rokov veku</c:v>
                </c:pt>
                <c:pt idx="6">
                  <c:v>Občania s nižším vzdelaním ako stredné odborné</c:v>
                </c:pt>
                <c:pt idx="7">
                  <c:v>Dlhodobo nezamestnaní občania</c:v>
                </c:pt>
                <c:pt idx="8">
                  <c:v>Občania, ktorí nemali pravidelne platené zamestnanie</c:v>
                </c:pt>
              </c:strCache>
            </c:strRef>
          </c:cat>
          <c:val>
            <c:numRef>
              <c:f>'pocet_XoZ_mimo NP_10_GRAFY'!$AI$48:$AI$56</c:f>
              <c:numCache>
                <c:formatCode>0.00%</c:formatCode>
                <c:ptCount val="9"/>
                <c:pt idx="0">
                  <c:v>0</c:v>
                </c:pt>
                <c:pt idx="1">
                  <c:v>1.185682326621924E-2</c:v>
                </c:pt>
                <c:pt idx="2">
                  <c:v>2.3042505592841163E-2</c:v>
                </c:pt>
                <c:pt idx="3">
                  <c:v>2.9865771812080538E-2</c:v>
                </c:pt>
                <c:pt idx="4">
                  <c:v>9.2729306487695756E-2</c:v>
                </c:pt>
                <c:pt idx="5">
                  <c:v>0.22740492170022372</c:v>
                </c:pt>
                <c:pt idx="6">
                  <c:v>0.24351230425055928</c:v>
                </c:pt>
                <c:pt idx="7">
                  <c:v>0.48970917225950783</c:v>
                </c:pt>
                <c:pt idx="8">
                  <c:v>0.60604026845637582</c:v>
                </c:pt>
              </c:numCache>
            </c:numRef>
          </c:val>
          <c:extLst>
            <c:ext xmlns:c16="http://schemas.microsoft.com/office/drawing/2014/chart" uri="{C3380CC4-5D6E-409C-BE32-E72D297353CC}">
              <c16:uniqueId val="{00000000-6389-477A-8262-478A0847FEA4}"/>
            </c:ext>
          </c:extLst>
        </c:ser>
        <c:dLbls>
          <c:showLegendKey val="0"/>
          <c:showVal val="0"/>
          <c:showCatName val="0"/>
          <c:showSerName val="0"/>
          <c:showPercent val="0"/>
          <c:showBubbleSize val="0"/>
        </c:dLbls>
        <c:gapWidth val="117"/>
        <c:axId val="585092704"/>
        <c:axId val="585093032"/>
      </c:barChart>
      <c:catAx>
        <c:axId val="58509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585093032"/>
        <c:crosses val="autoZero"/>
        <c:auto val="1"/>
        <c:lblAlgn val="ctr"/>
        <c:lblOffset val="100"/>
        <c:noMultiLvlLbl val="0"/>
      </c:catAx>
      <c:valAx>
        <c:axId val="5850930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585092704"/>
        <c:crosses val="autoZero"/>
        <c:crossBetween val="between"/>
      </c:valAx>
      <c:spPr>
        <a:noFill/>
        <a:ln>
          <a:noFill/>
        </a:ln>
        <a:effectLst/>
      </c:spPr>
    </c:plotArea>
    <c:plotVisOnly val="1"/>
    <c:dispBlanksAs val="gap"/>
    <c:showDLblsOverMax val="0"/>
  </c:chart>
  <c:spPr>
    <a:gradFill>
      <a:gsLst>
        <a:gs pos="0">
          <a:schemeClr val="tx2">
            <a:lumMod val="40000"/>
            <a:lumOff val="60000"/>
            <a:alpha val="9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gra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zaradených UoZ podľa znevýhodnenia</a:t>
            </a:r>
          </a:p>
        </c:rich>
      </c:tx>
      <c:layout>
        <c:manualLayout>
          <c:xMode val="edge"/>
          <c:yMode val="edge"/>
          <c:x val="0.21028927387124394"/>
          <c:y val="7.284183108290169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1460035736575273"/>
          <c:y val="0.21618783325436755"/>
          <c:w val="0.48566178329700732"/>
          <c:h val="0.62921020328732669"/>
        </c:manualLayout>
      </c:layout>
      <c:pie3DChart>
        <c:varyColors val="1"/>
        <c:ser>
          <c:idx val="0"/>
          <c:order val="0"/>
          <c:explosion val="16"/>
          <c:dPt>
            <c:idx val="0"/>
            <c:bubble3D val="0"/>
            <c:extLst>
              <c:ext xmlns:c16="http://schemas.microsoft.com/office/drawing/2014/chart" uri="{C3380CC4-5D6E-409C-BE32-E72D297353CC}">
                <c16:uniqueId val="{00000000-74ED-407F-A35A-052C322082CA}"/>
              </c:ext>
            </c:extLst>
          </c:dPt>
          <c:dPt>
            <c:idx val="1"/>
            <c:bubble3D val="0"/>
            <c:extLst>
              <c:ext xmlns:c16="http://schemas.microsoft.com/office/drawing/2014/chart" uri="{C3380CC4-5D6E-409C-BE32-E72D297353CC}">
                <c16:uniqueId val="{00000001-74ED-407F-A35A-052C322082CA}"/>
              </c:ext>
            </c:extLst>
          </c:dPt>
          <c:dPt>
            <c:idx val="2"/>
            <c:bubble3D val="0"/>
            <c:explosion val="12"/>
            <c:extLst>
              <c:ext xmlns:c16="http://schemas.microsoft.com/office/drawing/2014/chart" uri="{C3380CC4-5D6E-409C-BE32-E72D297353CC}">
                <c16:uniqueId val="{00000003-74ED-407F-A35A-052C322082CA}"/>
              </c:ext>
            </c:extLst>
          </c:dPt>
          <c:dPt>
            <c:idx val="3"/>
            <c:bubble3D val="0"/>
            <c:explosion val="4"/>
            <c:extLst>
              <c:ext xmlns:c16="http://schemas.microsoft.com/office/drawing/2014/chart" uri="{C3380CC4-5D6E-409C-BE32-E72D297353CC}">
                <c16:uniqueId val="{00000005-74ED-407F-A35A-052C322082CA}"/>
              </c:ext>
            </c:extLst>
          </c:dPt>
          <c:dPt>
            <c:idx val="4"/>
            <c:bubble3D val="0"/>
            <c:explosion val="8"/>
            <c:extLst>
              <c:ext xmlns:c16="http://schemas.microsoft.com/office/drawing/2014/chart" uri="{C3380CC4-5D6E-409C-BE32-E72D297353CC}">
                <c16:uniqueId val="{00000007-74ED-407F-A35A-052C322082CA}"/>
              </c:ext>
            </c:extLst>
          </c:dPt>
          <c:dLbls>
            <c:dLbl>
              <c:idx val="0"/>
              <c:layout>
                <c:manualLayout>
                  <c:x val="-3.9047594620704985E-2"/>
                  <c:y val="5.22606020952251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4ED-407F-A35A-052C322082CA}"/>
                </c:ext>
              </c:extLst>
            </c:dLbl>
            <c:dLbl>
              <c:idx val="1"/>
              <c:layout>
                <c:manualLayout>
                  <c:x val="-8.998144775876965E-2"/>
                  <c:y val="2.60162895110889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ED-407F-A35A-052C322082CA}"/>
                </c:ext>
              </c:extLst>
            </c:dLbl>
            <c:dLbl>
              <c:idx val="2"/>
              <c:layout>
                <c:manualLayout>
                  <c:x val="-0.10637632836612043"/>
                  <c:y val="-0.1508134978829651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ED-407F-A35A-052C322082CA}"/>
                </c:ext>
              </c:extLst>
            </c:dLbl>
            <c:dLbl>
              <c:idx val="3"/>
              <c:layout>
                <c:manualLayout>
                  <c:x val="5.1842314498961248E-2"/>
                  <c:y val="-0.1474665523543081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4ED-407F-A35A-052C322082CA}"/>
                </c:ext>
              </c:extLst>
            </c:dLbl>
            <c:dLbl>
              <c:idx val="4"/>
              <c:layout>
                <c:manualLayout>
                  <c:x val="0.12763753879299289"/>
                  <c:y val="3.87747520098669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4ED-407F-A35A-052C322082CA}"/>
                </c:ext>
              </c:extLst>
            </c:dLbl>
            <c:dLbl>
              <c:idx val="6"/>
              <c:layout>
                <c:manualLayout>
                  <c:x val="-8.4516206999106058E-2"/>
                  <c:y val="3.327445286069244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4ED-407F-A35A-052C322082CA}"/>
                </c:ext>
              </c:extLst>
            </c:dLbl>
            <c:dLbl>
              <c:idx val="7"/>
              <c:layout>
                <c:manualLayout>
                  <c:x val="-4.5674776665761016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4ED-407F-A35A-052C322082CA}"/>
                </c:ext>
              </c:extLst>
            </c:dLbl>
            <c:dLbl>
              <c:idx val="8"/>
              <c:layout>
                <c:manualLayout>
                  <c:x val="8.4787730694433454E-3"/>
                  <c:y val="-5.3706775246250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4ED-407F-A35A-052C322082CA}"/>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5"/>
                <c:pt idx="0">
                  <c:v>absolventi škôl</c:v>
                </c:pt>
                <c:pt idx="1">
                  <c:v>občan starší ako 50 rokv veku</c:v>
                </c:pt>
                <c:pt idx="2">
                  <c:v>dlhodobo nezamestnaný občan</c:v>
                </c:pt>
                <c:pt idx="3">
                  <c:v>občan - vzdelanie nižšie ako str.odb.</c:v>
                </c:pt>
                <c:pt idx="4">
                  <c:v>občan - 12 kal.mesiacov nemal pravidelne plat.zam.</c:v>
                </c:pt>
              </c:strCache>
            </c:strRef>
          </c:cat>
          <c:val>
            <c:numRef>
              <c:f>Hárok1!$B$1:$B$9</c:f>
              <c:numCache>
                <c:formatCode>General</c:formatCode>
                <c:ptCount val="9"/>
                <c:pt idx="0">
                  <c:v>1</c:v>
                </c:pt>
                <c:pt idx="1">
                  <c:v>3</c:v>
                </c:pt>
                <c:pt idx="2">
                  <c:v>4</c:v>
                </c:pt>
                <c:pt idx="3">
                  <c:v>1</c:v>
                </c:pt>
                <c:pt idx="4">
                  <c:v>6</c:v>
                </c:pt>
              </c:numCache>
            </c:numRef>
          </c:val>
          <c:extLst>
            <c:ext xmlns:c16="http://schemas.microsoft.com/office/drawing/2014/chart" uri="{C3380CC4-5D6E-409C-BE32-E72D297353CC}">
              <c16:uniqueId val="{0000000B-74ED-407F-A35A-052C322082CA}"/>
            </c:ext>
          </c:extLst>
        </c:ser>
        <c:dLbls>
          <c:showLegendKey val="0"/>
          <c:showVal val="1"/>
          <c:showCatName val="0"/>
          <c:showSerName val="0"/>
          <c:showPercent val="0"/>
          <c:showBubbleSize val="0"/>
          <c:showLeaderLines val="1"/>
        </c:dLbls>
      </c:pie3DChart>
    </c:plotArea>
    <c:legend>
      <c:legendPos val="r"/>
      <c:legendEntry>
        <c:idx val="5"/>
        <c:delete val="1"/>
      </c:legendEntry>
      <c:legendEntry>
        <c:idx val="6"/>
        <c:delete val="1"/>
      </c:legendEntry>
      <c:legendEntry>
        <c:idx val="7"/>
        <c:delete val="1"/>
      </c:legendEntry>
      <c:legendEntry>
        <c:idx val="8"/>
        <c:delete val="1"/>
      </c:legendEntry>
      <c:layout>
        <c:manualLayout>
          <c:xMode val="edge"/>
          <c:yMode val="edge"/>
          <c:x val="0.66138423945510127"/>
          <c:y val="0.1402259288354617"/>
          <c:w val="0.29099317848140432"/>
          <c:h val="0.82713421753839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solidFill>
            <a:schemeClr val="tx1"/>
          </a:solidFill>
        </a:defRPr>
      </a:pPr>
      <a:endParaRPr lang="sk-SK"/>
    </a:p>
  </c:txPr>
  <c:externalData r:id="rId2">
    <c:autoUpdate val="0"/>
  </c:externalData>
  <c:extLst/>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0394272171626765"/>
          <c:y val="7.716535433070867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108251726305252"/>
          <c:y val="0.27545259953714962"/>
          <c:w val="0.42757722001959764"/>
          <c:h val="0.55213981416488866"/>
        </c:manualLayout>
      </c:layout>
      <c:pie3DChart>
        <c:varyColors val="1"/>
        <c:ser>
          <c:idx val="0"/>
          <c:order val="0"/>
          <c:explosion val="4"/>
          <c:dPt>
            <c:idx val="0"/>
            <c:bubble3D val="0"/>
            <c:extLst>
              <c:ext xmlns:c16="http://schemas.microsoft.com/office/drawing/2014/chart" uri="{C3380CC4-5D6E-409C-BE32-E72D297353CC}">
                <c16:uniqueId val="{00000001-5456-4F69-96B0-B0EADD4C494C}"/>
              </c:ext>
            </c:extLst>
          </c:dPt>
          <c:dPt>
            <c:idx val="1"/>
            <c:bubble3D val="0"/>
            <c:extLst>
              <c:ext xmlns:c16="http://schemas.microsoft.com/office/drawing/2014/chart" uri="{C3380CC4-5D6E-409C-BE32-E72D297353CC}">
                <c16:uniqueId val="{00000003-5456-4F69-96B0-B0EADD4C494C}"/>
              </c:ext>
            </c:extLst>
          </c:dPt>
          <c:dPt>
            <c:idx val="2"/>
            <c:bubble3D val="0"/>
            <c:explosion val="9"/>
            <c:extLst>
              <c:ext xmlns:c16="http://schemas.microsoft.com/office/drawing/2014/chart" uri="{C3380CC4-5D6E-409C-BE32-E72D297353CC}">
                <c16:uniqueId val="{00000005-5456-4F69-96B0-B0EADD4C494C}"/>
              </c:ext>
            </c:extLst>
          </c:dPt>
          <c:dPt>
            <c:idx val="3"/>
            <c:bubble3D val="0"/>
            <c:explosion val="8"/>
            <c:extLst>
              <c:ext xmlns:c16="http://schemas.microsoft.com/office/drawing/2014/chart" uri="{C3380CC4-5D6E-409C-BE32-E72D297353CC}">
                <c16:uniqueId val="{00000007-5456-4F69-96B0-B0EADD4C494C}"/>
              </c:ext>
            </c:extLst>
          </c:dPt>
          <c:dPt>
            <c:idx val="4"/>
            <c:bubble3D val="0"/>
            <c:explosion val="10"/>
            <c:extLst>
              <c:ext xmlns:c16="http://schemas.microsoft.com/office/drawing/2014/chart" uri="{C3380CC4-5D6E-409C-BE32-E72D297353CC}">
                <c16:uniqueId val="{00000009-5456-4F69-96B0-B0EADD4C494C}"/>
              </c:ext>
            </c:extLst>
          </c:dPt>
          <c:dLbls>
            <c:dLbl>
              <c:idx val="0"/>
              <c:layout>
                <c:manualLayout>
                  <c:x val="-3.808130882805684E-2"/>
                  <c:y val="-1.77339096955334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56-4F69-96B0-B0EADD4C494C}"/>
                </c:ext>
              </c:extLst>
            </c:dLbl>
            <c:dLbl>
              <c:idx val="1"/>
              <c:layout>
                <c:manualLayout>
                  <c:x val="-8.7805722540937117E-2"/>
                  <c:y val="2.95532729635626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56-4F69-96B0-B0EADD4C494C}"/>
                </c:ext>
              </c:extLst>
            </c:dLbl>
            <c:dLbl>
              <c:idx val="2"/>
              <c:layout>
                <c:manualLayout>
                  <c:x val="-9.7526247429836996E-2"/>
                  <c:y val="-0.168528608460570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56-4F69-96B0-B0EADD4C494C}"/>
                </c:ext>
              </c:extLst>
            </c:dLbl>
            <c:dLbl>
              <c:idx val="3"/>
              <c:layout>
                <c:manualLayout>
                  <c:x val="0.1123510243554658"/>
                  <c:y val="-0.118675421163408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456-4F69-96B0-B0EADD4C494C}"/>
                </c:ext>
              </c:extLst>
            </c:dLbl>
            <c:dLbl>
              <c:idx val="4"/>
              <c:layout>
                <c:manualLayout>
                  <c:x val="7.9586147258506976E-2"/>
                  <c:y val="5.57831970032872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456-4F69-96B0-B0EADD4C494C}"/>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6</c:v>
                </c:pt>
                <c:pt idx="1">
                  <c:v>18</c:v>
                </c:pt>
                <c:pt idx="2">
                  <c:v>28</c:v>
                </c:pt>
                <c:pt idx="3">
                  <c:v>15</c:v>
                </c:pt>
                <c:pt idx="4">
                  <c:v>25</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A-5456-4F69-96B0-B0EADD4C494C}"/>
            </c:ext>
          </c:extLst>
        </c:ser>
        <c:dLbls>
          <c:showLegendKey val="0"/>
          <c:showVal val="1"/>
          <c:showCatName val="0"/>
          <c:showSerName val="0"/>
          <c:showPercent val="0"/>
          <c:showBubbleSize val="0"/>
          <c:showLeaderLines val="1"/>
        </c:dLbls>
      </c:pie3DChart>
    </c:plotArea>
    <c:legend>
      <c:legendPos val="r"/>
      <c:layout>
        <c:manualLayout>
          <c:xMode val="edge"/>
          <c:yMode val="edge"/>
          <c:x val="0.66759901790138254"/>
          <c:y val="0.18174294166267888"/>
          <c:w val="0.27649448655111553"/>
          <c:h val="0.7125918997694349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UoZ</a:t>
            </a:r>
            <a:r>
              <a:rPr lang="en-US" sz="1200">
                <a:solidFill>
                  <a:sysClr val="windowText" lastClr="000000"/>
                </a:solidFill>
              </a:rPr>
              <a:t> podľa veku</a:t>
            </a:r>
          </a:p>
        </c:rich>
      </c:tx>
      <c:layout>
        <c:manualLayout>
          <c:xMode val="edge"/>
          <c:yMode val="edge"/>
          <c:x val="0.27683036256022592"/>
          <c:y val="7.790361668050278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069621886584776"/>
          <c:y val="0.30597568046790308"/>
          <c:w val="0.4244803781988723"/>
          <c:h val="0.44591943349664004"/>
        </c:manualLayout>
      </c:layout>
      <c:pie3DChart>
        <c:varyColors val="1"/>
        <c:ser>
          <c:idx val="0"/>
          <c:order val="0"/>
          <c:tx>
            <c:strRef>
              <c:f>Hárok1!$B$1</c:f>
              <c:strCache>
                <c:ptCount val="1"/>
                <c:pt idx="0">
                  <c:v>Štruktúra zaradených UoZ podľa veku</c:v>
                </c:pt>
              </c:strCache>
            </c:strRef>
          </c:tx>
          <c:dPt>
            <c:idx val="0"/>
            <c:bubble3D val="0"/>
            <c:explosion val="7"/>
            <c:extLst>
              <c:ext xmlns:c16="http://schemas.microsoft.com/office/drawing/2014/chart" uri="{C3380CC4-5D6E-409C-BE32-E72D297353CC}">
                <c16:uniqueId val="{00000001-8922-4F74-AB5C-EDBD4B6BCB9B}"/>
              </c:ext>
            </c:extLst>
          </c:dPt>
          <c:dPt>
            <c:idx val="1"/>
            <c:bubble3D val="0"/>
            <c:explosion val="9"/>
            <c:extLst>
              <c:ext xmlns:c16="http://schemas.microsoft.com/office/drawing/2014/chart" uri="{C3380CC4-5D6E-409C-BE32-E72D297353CC}">
                <c16:uniqueId val="{00000003-8922-4F74-AB5C-EDBD4B6BCB9B}"/>
              </c:ext>
            </c:extLst>
          </c:dPt>
          <c:dPt>
            <c:idx val="2"/>
            <c:bubble3D val="0"/>
            <c:explosion val="11"/>
            <c:extLst>
              <c:ext xmlns:c16="http://schemas.microsoft.com/office/drawing/2014/chart" uri="{C3380CC4-5D6E-409C-BE32-E72D297353CC}">
                <c16:uniqueId val="{00000005-8922-4F74-AB5C-EDBD4B6BCB9B}"/>
              </c:ext>
            </c:extLst>
          </c:dPt>
          <c:dPt>
            <c:idx val="3"/>
            <c:bubble3D val="0"/>
            <c:explosion val="3"/>
            <c:extLst>
              <c:ext xmlns:c16="http://schemas.microsoft.com/office/drawing/2014/chart" uri="{C3380CC4-5D6E-409C-BE32-E72D297353CC}">
                <c16:uniqueId val="{00000007-8922-4F74-AB5C-EDBD4B6BCB9B}"/>
              </c:ext>
            </c:extLst>
          </c:dPt>
          <c:dLbls>
            <c:dLbl>
              <c:idx val="0"/>
              <c:layout>
                <c:manualLayout>
                  <c:x val="-4.2644452382458051E-2"/>
                  <c:y val="6.44602651505622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22-4F74-AB5C-EDBD4B6BCB9B}"/>
                </c:ext>
              </c:extLst>
            </c:dLbl>
            <c:dLbl>
              <c:idx val="1"/>
              <c:layout>
                <c:manualLayout>
                  <c:x val="-6.6901958505458145E-2"/>
                  <c:y val="3.7986633459954885E-2"/>
                </c:manualLayout>
              </c:layout>
              <c:showLegendKey val="0"/>
              <c:showVal val="0"/>
              <c:showCatName val="0"/>
              <c:showSerName val="0"/>
              <c:showPercent val="1"/>
              <c:showBubbleSize val="0"/>
              <c:extLst>
                <c:ext xmlns:c15="http://schemas.microsoft.com/office/drawing/2012/chart" uri="{CE6537A1-D6FC-4f65-9D91-7224C49458BB}">
                  <c15:layout>
                    <c:manualLayout>
                      <c:w val="7.1456479270675055E-2"/>
                      <c:h val="6.8093884430580356E-2"/>
                    </c:manualLayout>
                  </c15:layout>
                </c:ext>
                <c:ext xmlns:c16="http://schemas.microsoft.com/office/drawing/2014/chart" uri="{C3380CC4-5D6E-409C-BE32-E72D297353CC}">
                  <c16:uniqueId val="{00000003-8922-4F74-AB5C-EDBD4B6BCB9B}"/>
                </c:ext>
              </c:extLst>
            </c:dLbl>
            <c:dLbl>
              <c:idx val="2"/>
              <c:layout>
                <c:manualLayout>
                  <c:x val="-9.823377298154648E-2"/>
                  <c:y val="-0.18350798466093551"/>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922-4F74-AB5C-EDBD4B6BCB9B}"/>
                </c:ext>
              </c:extLst>
            </c:dLbl>
            <c:dLbl>
              <c:idx val="3"/>
              <c:layout>
                <c:manualLayout>
                  <c:x val="0.10963887545313619"/>
                  <c:y val="5.2972419981048693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15:layout>
                    <c:manualLayout>
                      <c:w val="7.7979076687478319E-2"/>
                      <c:h val="6.4771200724510078E-2"/>
                    </c:manualLayout>
                  </c15:layout>
                </c:ext>
                <c:ext xmlns:c16="http://schemas.microsoft.com/office/drawing/2014/chart" uri="{C3380CC4-5D6E-409C-BE32-E72D297353CC}">
                  <c16:uniqueId val="{00000007-8922-4F74-AB5C-EDBD4B6BCB9B}"/>
                </c:ext>
              </c:extLst>
            </c:dLbl>
            <c:numFmt formatCode="0.00%" sourceLinked="0"/>
            <c:spPr>
              <a:noFill/>
              <a:ln>
                <a:noFill/>
              </a:ln>
              <a:effectLst/>
            </c:spPr>
            <c:txPr>
              <a:bodyPr/>
              <a:lstStyle/>
              <a:p>
                <a:pPr>
                  <a:defRPr sz="9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8</c:v>
                </c:pt>
                <c:pt idx="1">
                  <c:v>10</c:v>
                </c:pt>
                <c:pt idx="2">
                  <c:v>44</c:v>
                </c:pt>
                <c:pt idx="3">
                  <c:v>30</c:v>
                </c:pt>
              </c:numCache>
            </c:numRef>
          </c:val>
          <c:extLst>
            <c:ext xmlns:c16="http://schemas.microsoft.com/office/drawing/2014/chart" uri="{C3380CC4-5D6E-409C-BE32-E72D297353CC}">
              <c16:uniqueId val="{00000008-8922-4F74-AB5C-EDBD4B6BCB9B}"/>
            </c:ext>
          </c:extLst>
        </c:ser>
        <c:dLbls>
          <c:showLegendKey val="0"/>
          <c:showVal val="0"/>
          <c:showCatName val="0"/>
          <c:showSerName val="0"/>
          <c:showPercent val="0"/>
          <c:showBubbleSize val="0"/>
          <c:showLeaderLines val="1"/>
        </c:dLbls>
      </c:pie3DChart>
    </c:plotArea>
    <c:legend>
      <c:legendPos val="r"/>
      <c:layout>
        <c:manualLayout>
          <c:xMode val="edge"/>
          <c:yMode val="edge"/>
          <c:x val="0.71039243602255386"/>
          <c:y val="0.20986661548011892"/>
          <c:w val="0.17799411713431629"/>
          <c:h val="0.59406957558728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zaradených UoZ podľa znevýhodnenia</a:t>
            </a:r>
          </a:p>
        </c:rich>
      </c:tx>
      <c:layout>
        <c:manualLayout>
          <c:xMode val="edge"/>
          <c:yMode val="edge"/>
          <c:x val="0.18851938163221049"/>
          <c:y val="5.7772939429849478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251584531034527"/>
          <c:y val="0.25892296990847508"/>
          <c:w val="0.42470608502771373"/>
          <c:h val="0.55187070293707485"/>
        </c:manualLayout>
      </c:layout>
      <c:pie3DChart>
        <c:varyColors val="1"/>
        <c:ser>
          <c:idx val="0"/>
          <c:order val="0"/>
          <c:explosion val="16"/>
          <c:dPt>
            <c:idx val="0"/>
            <c:bubble3D val="0"/>
            <c:extLst>
              <c:ext xmlns:c16="http://schemas.microsoft.com/office/drawing/2014/chart" uri="{C3380CC4-5D6E-409C-BE32-E72D297353CC}">
                <c16:uniqueId val="{00000000-EE7E-4163-8BC6-CE84A33C2297}"/>
              </c:ext>
            </c:extLst>
          </c:dPt>
          <c:dPt>
            <c:idx val="1"/>
            <c:bubble3D val="0"/>
            <c:extLst>
              <c:ext xmlns:c16="http://schemas.microsoft.com/office/drawing/2014/chart" uri="{C3380CC4-5D6E-409C-BE32-E72D297353CC}">
                <c16:uniqueId val="{00000001-EE7E-4163-8BC6-CE84A33C2297}"/>
              </c:ext>
            </c:extLst>
          </c:dPt>
          <c:dPt>
            <c:idx val="2"/>
            <c:bubble3D val="0"/>
            <c:explosion val="12"/>
            <c:extLst>
              <c:ext xmlns:c16="http://schemas.microsoft.com/office/drawing/2014/chart" uri="{C3380CC4-5D6E-409C-BE32-E72D297353CC}">
                <c16:uniqueId val="{00000003-EE7E-4163-8BC6-CE84A33C2297}"/>
              </c:ext>
            </c:extLst>
          </c:dPt>
          <c:dPt>
            <c:idx val="3"/>
            <c:bubble3D val="0"/>
            <c:explosion val="4"/>
            <c:extLst>
              <c:ext xmlns:c16="http://schemas.microsoft.com/office/drawing/2014/chart" uri="{C3380CC4-5D6E-409C-BE32-E72D297353CC}">
                <c16:uniqueId val="{00000005-EE7E-4163-8BC6-CE84A33C2297}"/>
              </c:ext>
            </c:extLst>
          </c:dPt>
          <c:dPt>
            <c:idx val="4"/>
            <c:bubble3D val="0"/>
            <c:explosion val="8"/>
            <c:extLst>
              <c:ext xmlns:c16="http://schemas.microsoft.com/office/drawing/2014/chart" uri="{C3380CC4-5D6E-409C-BE32-E72D297353CC}">
                <c16:uniqueId val="{00000007-EE7E-4163-8BC6-CE84A33C2297}"/>
              </c:ext>
            </c:extLst>
          </c:dPt>
          <c:dLbls>
            <c:dLbl>
              <c:idx val="0"/>
              <c:layout>
                <c:manualLayout>
                  <c:x val="7.8216308734783579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E7E-4163-8BC6-CE84A33C2297}"/>
                </c:ext>
              </c:extLst>
            </c:dLbl>
            <c:dLbl>
              <c:idx val="1"/>
              <c:layout>
                <c:manualLayout>
                  <c:x val="-5.9759039862044103E-2"/>
                  <c:y val="5.12966393421955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7E-4163-8BC6-CE84A33C2297}"/>
                </c:ext>
              </c:extLst>
            </c:dLbl>
            <c:dLbl>
              <c:idx val="2"/>
              <c:layout>
                <c:manualLayout>
                  <c:x val="-9.5741414820154122E-2"/>
                  <c:y val="-7.6300977540738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7E-4163-8BC6-CE84A33C2297}"/>
                </c:ext>
              </c:extLst>
            </c:dLbl>
            <c:dLbl>
              <c:idx val="3"/>
              <c:layout>
                <c:manualLayout>
                  <c:x val="1.0533885180102964E-2"/>
                  <c:y val="-0.160629031372961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7E-4163-8BC6-CE84A33C2297}"/>
                </c:ext>
              </c:extLst>
            </c:dLbl>
            <c:dLbl>
              <c:idx val="4"/>
              <c:layout>
                <c:manualLayout>
                  <c:x val="0.10846325987851714"/>
                  <c:y val="2.56557721468111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7E-4163-8BC6-CE84A33C2297}"/>
                </c:ext>
              </c:extLst>
            </c:dLbl>
            <c:dLbl>
              <c:idx val="6"/>
              <c:layout>
                <c:manualLayout>
                  <c:x val="-8.4516206999106058E-2"/>
                  <c:y val="3.327445286069244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E7E-4163-8BC6-CE84A33C2297}"/>
                </c:ext>
              </c:extLst>
            </c:dLbl>
            <c:dLbl>
              <c:idx val="7"/>
              <c:layout>
                <c:manualLayout>
                  <c:x val="-4.5674776665761016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7E-4163-8BC6-CE84A33C2297}"/>
                </c:ext>
              </c:extLst>
            </c:dLbl>
            <c:dLbl>
              <c:idx val="8"/>
              <c:layout>
                <c:manualLayout>
                  <c:x val="8.4787730694433454E-3"/>
                  <c:y val="-5.3706775246250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E7E-4163-8BC6-CE84A33C2297}"/>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9"/>
                <c:pt idx="0">
                  <c:v>absolventi škôl</c:v>
                </c:pt>
                <c:pt idx="1">
                  <c:v>občan starší ako 50 rokv veku</c:v>
                </c:pt>
                <c:pt idx="2">
                  <c:v>dlhodobo nezamestnaný občan</c:v>
                </c:pt>
                <c:pt idx="3">
                  <c:v>občan - vzdelanie nižšie ako str.odb.</c:v>
                </c:pt>
                <c:pt idx="4">
                  <c:v>občan - 12 kal.mesiacov nemal pravidelne plat.zam.</c:v>
                </c:pt>
                <c:pt idx="5">
                  <c:v>štátny príslušník tretej krajiny- azyl/doplnková ochrana</c:v>
                </c:pt>
                <c:pt idx="6">
                  <c:v>osamelý občan - starostlivosť o odkázanú osobu/starajúci sa o dieťa</c:v>
                </c:pt>
                <c:pt idx="7">
                  <c:v>občan so zdravotným postihnutím</c:v>
                </c:pt>
                <c:pt idx="8">
                  <c:v>ukončil poberanie materského alebo poberanie rodičovského príspevku</c:v>
                </c:pt>
              </c:strCache>
            </c:strRef>
          </c:cat>
          <c:val>
            <c:numRef>
              <c:f>Hárok1!$B$1:$B$9</c:f>
              <c:numCache>
                <c:formatCode>General</c:formatCode>
                <c:ptCount val="9"/>
                <c:pt idx="0">
                  <c:v>1</c:v>
                </c:pt>
                <c:pt idx="1">
                  <c:v>29</c:v>
                </c:pt>
                <c:pt idx="2">
                  <c:v>33</c:v>
                </c:pt>
                <c:pt idx="3">
                  <c:v>31</c:v>
                </c:pt>
                <c:pt idx="4">
                  <c:v>50</c:v>
                </c:pt>
                <c:pt idx="5">
                  <c:v>0</c:v>
                </c:pt>
                <c:pt idx="6">
                  <c:v>2</c:v>
                </c:pt>
                <c:pt idx="7">
                  <c:v>7</c:v>
                </c:pt>
                <c:pt idx="8">
                  <c:v>3</c:v>
                </c:pt>
              </c:numCache>
            </c:numRef>
          </c:val>
          <c:extLst>
            <c:ext xmlns:c16="http://schemas.microsoft.com/office/drawing/2014/chart" uri="{C3380CC4-5D6E-409C-BE32-E72D297353CC}">
              <c16:uniqueId val="{0000000B-EE7E-4163-8BC6-CE84A33C2297}"/>
            </c:ext>
          </c:extLst>
        </c:ser>
        <c:dLbls>
          <c:showLegendKey val="0"/>
          <c:showVal val="1"/>
          <c:showCatName val="0"/>
          <c:showSerName val="0"/>
          <c:showPercent val="0"/>
          <c:showBubbleSize val="0"/>
          <c:showLeaderLines val="1"/>
        </c:dLbls>
      </c:pie3DChart>
    </c:plotArea>
    <c:legend>
      <c:legendPos val="r"/>
      <c:legendEntry>
        <c:idx val="5"/>
        <c:delete val="1"/>
      </c:legendEntry>
      <c:layout>
        <c:manualLayout>
          <c:xMode val="edge"/>
          <c:yMode val="edge"/>
          <c:x val="0.68315413169413486"/>
          <c:y val="0.1247580247364671"/>
          <c:w val="0.26486930779456419"/>
          <c:h val="0.8009960355883589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solidFill>
            <a:schemeClr val="tx1"/>
          </a:solidFill>
        </a:defRPr>
      </a:pPr>
      <a:endParaRPr lang="sk-SK"/>
    </a:p>
  </c:txPr>
  <c:externalData r:id="rId2">
    <c:autoUpdate val="0"/>
  </c:externalData>
  <c:extLst/>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628757171085228"/>
          <c:y val="3.029307470232679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8.1858359383421356E-2"/>
          <c:y val="0.27808250383796368"/>
          <c:w val="0.44090278302363223"/>
          <c:h val="0.5729987001720096"/>
        </c:manualLayout>
      </c:layout>
      <c:pie3DChart>
        <c:varyColors val="1"/>
        <c:ser>
          <c:idx val="0"/>
          <c:order val="0"/>
          <c:explosion val="25"/>
          <c:dPt>
            <c:idx val="0"/>
            <c:bubble3D val="0"/>
            <c:explosion val="8"/>
            <c:extLst>
              <c:ext xmlns:c16="http://schemas.microsoft.com/office/drawing/2014/chart" uri="{C3380CC4-5D6E-409C-BE32-E72D297353CC}">
                <c16:uniqueId val="{00000001-95A5-4B1C-9C72-5C830C9A4175}"/>
              </c:ext>
            </c:extLst>
          </c:dPt>
          <c:dPt>
            <c:idx val="1"/>
            <c:bubble3D val="0"/>
            <c:explosion val="10"/>
            <c:extLst>
              <c:ext xmlns:c16="http://schemas.microsoft.com/office/drawing/2014/chart" uri="{C3380CC4-5D6E-409C-BE32-E72D297353CC}">
                <c16:uniqueId val="{00000003-95A5-4B1C-9C72-5C830C9A4175}"/>
              </c:ext>
            </c:extLst>
          </c:dPt>
          <c:dPt>
            <c:idx val="2"/>
            <c:bubble3D val="0"/>
            <c:explosion val="8"/>
            <c:extLst>
              <c:ext xmlns:c16="http://schemas.microsoft.com/office/drawing/2014/chart" uri="{C3380CC4-5D6E-409C-BE32-E72D297353CC}">
                <c16:uniqueId val="{00000005-95A5-4B1C-9C72-5C830C9A4175}"/>
              </c:ext>
            </c:extLst>
          </c:dPt>
          <c:dPt>
            <c:idx val="3"/>
            <c:bubble3D val="0"/>
            <c:explosion val="10"/>
            <c:extLst>
              <c:ext xmlns:c16="http://schemas.microsoft.com/office/drawing/2014/chart" uri="{C3380CC4-5D6E-409C-BE32-E72D297353CC}">
                <c16:uniqueId val="{00000007-95A5-4B1C-9C72-5C830C9A4175}"/>
              </c:ext>
            </c:extLst>
          </c:dPt>
          <c:dLbls>
            <c:dLbl>
              <c:idx val="1"/>
              <c:layout>
                <c:manualLayout>
                  <c:x val="-0.11744412351603618"/>
                  <c:y val="2.91064578466153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A5-4B1C-9C72-5C830C9A4175}"/>
                </c:ext>
              </c:extLst>
            </c:dLbl>
            <c:dLbl>
              <c:idx val="2"/>
              <c:layout>
                <c:manualLayout>
                  <c:x val="1.0441833512281775E-2"/>
                  <c:y val="-1.12030555623668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A5-4B1C-9C72-5C830C9A4175}"/>
                </c:ext>
              </c:extLst>
            </c:dLbl>
            <c:dLbl>
              <c:idx val="3"/>
              <c:layout>
                <c:manualLayout>
                  <c:x val="8.8891925590254106E-2"/>
                  <c:y val="-0.186771076692336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A5-4B1C-9C72-5C830C9A4175}"/>
                </c:ext>
              </c:extLst>
            </c:dLbl>
            <c:dLbl>
              <c:idx val="4"/>
              <c:layout>
                <c:manualLayout>
                  <c:x val="6.2478621669542614E-2"/>
                  <c:y val="5.36840587234288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5A5-4B1C-9C72-5C830C9A4175}"/>
                </c:ext>
              </c:extLst>
            </c:dLbl>
            <c:dLbl>
              <c:idx val="5"/>
              <c:layout>
                <c:manualLayout>
                  <c:x val="-8.1005653292580276E-2"/>
                  <c:y val="-4.54516631982725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A5-4B1C-9C72-5C830C9A4175}"/>
                </c:ext>
              </c:extLst>
            </c:dLbl>
            <c:dLbl>
              <c:idx val="6"/>
              <c:layout>
                <c:manualLayout>
                  <c:x val="-7.1090175517294601E-2"/>
                  <c:y val="-9.59901884675351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5A5-4B1C-9C72-5C830C9A4175}"/>
                </c:ext>
              </c:extLst>
            </c:dLbl>
            <c:dLbl>
              <c:idx val="7"/>
              <c:layout>
                <c:manualLayout>
                  <c:x val="5.2116211023281317E-3"/>
                  <c:y val="-9.10191859820339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A5-4B1C-9C72-5C830C9A4175}"/>
                </c:ext>
              </c:extLst>
            </c:dLbl>
            <c:dLbl>
              <c:idx val="8"/>
              <c:layout>
                <c:manualLayout>
                  <c:x val="8.3845262329320283E-2"/>
                  <c:y val="-8.6876683910782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5A5-4B1C-9C72-5C830C9A4175}"/>
                </c:ext>
              </c:extLst>
            </c:dLbl>
            <c:dLbl>
              <c:idx val="9"/>
              <c:layout>
                <c:manualLayout>
                  <c:x val="0.10491032252507482"/>
                  <c:y val="-2.0596650770766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A5-4B1C-9C72-5C830C9A4175}"/>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5</c:v>
                </c:pt>
                <c:pt idx="1">
                  <c:v>25</c:v>
                </c:pt>
                <c:pt idx="2">
                  <c:v>1</c:v>
                </c:pt>
                <c:pt idx="3">
                  <c:v>42</c:v>
                </c:pt>
                <c:pt idx="4">
                  <c:v>18</c:v>
                </c:pt>
                <c:pt idx="5">
                  <c:v>0</c:v>
                </c:pt>
                <c:pt idx="6">
                  <c:v>0</c:v>
                </c:pt>
                <c:pt idx="7">
                  <c:v>0</c:v>
                </c:pt>
                <c:pt idx="8">
                  <c:v>1</c:v>
                </c:pt>
                <c:pt idx="9">
                  <c:v>0</c:v>
                </c:pt>
              </c:numCache>
            </c:numRef>
          </c:val>
          <c:extLst>
            <c:ext xmlns:c16="http://schemas.microsoft.com/office/drawing/2014/chart" uri="{C3380CC4-5D6E-409C-BE32-E72D297353CC}">
              <c16:uniqueId val="{0000000E-95A5-4B1C-9C72-5C830C9A4175}"/>
            </c:ext>
          </c:extLst>
        </c:ser>
        <c:dLbls>
          <c:showLegendKey val="0"/>
          <c:showVal val="1"/>
          <c:showCatName val="0"/>
          <c:showSerName val="0"/>
          <c:showPercent val="0"/>
          <c:showBubbleSize val="0"/>
          <c:showLeaderLines val="1"/>
        </c:dLbls>
      </c:pie3DChart>
    </c:plotArea>
    <c:legend>
      <c:legendPos val="r"/>
      <c:layout>
        <c:manualLayout>
          <c:xMode val="edge"/>
          <c:yMode val="edge"/>
          <c:x val="0.65914958592879347"/>
          <c:y val="0.10291453952871275"/>
          <c:w val="0.32132434884682215"/>
          <c:h val="0.86045542384125051"/>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0394272171626765"/>
          <c:y val="7.716535433070867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491009226576021"/>
          <c:y val="0.22861013901040148"/>
          <c:w val="0.46223551093262699"/>
          <c:h val="0.59913574171284134"/>
        </c:manualLayout>
      </c:layout>
      <c:pie3DChart>
        <c:varyColors val="1"/>
        <c:ser>
          <c:idx val="0"/>
          <c:order val="0"/>
          <c:explosion val="25"/>
          <c:dPt>
            <c:idx val="0"/>
            <c:bubble3D val="0"/>
            <c:explosion val="4"/>
            <c:extLst>
              <c:ext xmlns:c16="http://schemas.microsoft.com/office/drawing/2014/chart" uri="{C3380CC4-5D6E-409C-BE32-E72D297353CC}">
                <c16:uniqueId val="{00000001-BE93-4F69-84CD-C4A5D8653486}"/>
              </c:ext>
            </c:extLst>
          </c:dPt>
          <c:dPt>
            <c:idx val="1"/>
            <c:bubble3D val="0"/>
            <c:explosion val="7"/>
            <c:extLst>
              <c:ext xmlns:c16="http://schemas.microsoft.com/office/drawing/2014/chart" uri="{C3380CC4-5D6E-409C-BE32-E72D297353CC}">
                <c16:uniqueId val="{00000003-BE93-4F69-84CD-C4A5D8653486}"/>
              </c:ext>
            </c:extLst>
          </c:dPt>
          <c:dPt>
            <c:idx val="2"/>
            <c:bubble3D val="0"/>
            <c:explosion val="9"/>
            <c:extLst>
              <c:ext xmlns:c16="http://schemas.microsoft.com/office/drawing/2014/chart" uri="{C3380CC4-5D6E-409C-BE32-E72D297353CC}">
                <c16:uniqueId val="{00000005-BE93-4F69-84CD-C4A5D8653486}"/>
              </c:ext>
            </c:extLst>
          </c:dPt>
          <c:dPt>
            <c:idx val="3"/>
            <c:bubble3D val="0"/>
            <c:explosion val="10"/>
            <c:extLst>
              <c:ext xmlns:c16="http://schemas.microsoft.com/office/drawing/2014/chart" uri="{C3380CC4-5D6E-409C-BE32-E72D297353CC}">
                <c16:uniqueId val="{00000007-BE93-4F69-84CD-C4A5D8653486}"/>
              </c:ext>
            </c:extLst>
          </c:dPt>
          <c:dPt>
            <c:idx val="4"/>
            <c:bubble3D val="0"/>
            <c:explosion val="10"/>
            <c:extLst>
              <c:ext xmlns:c16="http://schemas.microsoft.com/office/drawing/2014/chart" uri="{C3380CC4-5D6E-409C-BE32-E72D297353CC}">
                <c16:uniqueId val="{00000009-BE93-4F69-84CD-C4A5D8653486}"/>
              </c:ext>
            </c:extLst>
          </c:dPt>
          <c:dLbls>
            <c:dLbl>
              <c:idx val="0"/>
              <c:layout>
                <c:manualLayout>
                  <c:x val="-9.6567174743793865E-2"/>
                  <c:y val="2.92448026437808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93-4F69-84CD-C4A5D8653486}"/>
                </c:ext>
              </c:extLst>
            </c:dLbl>
            <c:dLbl>
              <c:idx val="1"/>
              <c:layout>
                <c:manualLayout>
                  <c:x val="-5.9645861174100777E-2"/>
                  <c:y val="-0.163105430878956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93-4F69-84CD-C4A5D8653486}"/>
                </c:ext>
              </c:extLst>
            </c:dLbl>
            <c:dLbl>
              <c:idx val="2"/>
              <c:layout>
                <c:manualLayout>
                  <c:x val="0.10175892532008177"/>
                  <c:y val="-0.147747896609283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93-4F69-84CD-C4A5D8653486}"/>
                </c:ext>
              </c:extLst>
            </c:dLbl>
            <c:dLbl>
              <c:idx val="3"/>
              <c:layout>
                <c:manualLayout>
                  <c:x val="0.10624045383258102"/>
                  <c:y val="7.20326625838429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93-4F69-84CD-C4A5D8653486}"/>
                </c:ext>
              </c:extLst>
            </c:dLbl>
            <c:dLbl>
              <c:idx val="4"/>
              <c:layout>
                <c:manualLayout>
                  <c:x val="6.8755431348185347E-2"/>
                  <c:y val="5.28985482810365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93-4F69-84CD-C4A5D8653486}"/>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53</c:v>
                </c:pt>
                <c:pt idx="1">
                  <c:v>19</c:v>
                </c:pt>
                <c:pt idx="2">
                  <c:v>30</c:v>
                </c:pt>
                <c:pt idx="3">
                  <c:v>20</c:v>
                </c:pt>
                <c:pt idx="4">
                  <c:v>24</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A-BE93-4F69-84CD-C4A5D8653486}"/>
            </c:ext>
          </c:extLst>
        </c:ser>
        <c:dLbls>
          <c:showLegendKey val="0"/>
          <c:showVal val="1"/>
          <c:showCatName val="0"/>
          <c:showSerName val="0"/>
          <c:showPercent val="0"/>
          <c:showBubbleSize val="0"/>
          <c:showLeaderLines val="1"/>
        </c:dLbls>
      </c:pie3DChart>
    </c:plotArea>
    <c:legend>
      <c:legendPos val="r"/>
      <c:layout>
        <c:manualLayout>
          <c:xMode val="edge"/>
          <c:yMode val="edge"/>
          <c:x val="0.66543287471931811"/>
          <c:y val="0.16461245342190897"/>
          <c:w val="0.27649448655111553"/>
          <c:h val="0.7125918997694349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UoZ</a:t>
            </a:r>
            <a:r>
              <a:rPr lang="en-US" sz="1200">
                <a:solidFill>
                  <a:sysClr val="windowText" lastClr="000000"/>
                </a:solidFill>
              </a:rPr>
              <a:t> podľa veku</a:t>
            </a:r>
          </a:p>
        </c:rich>
      </c:tx>
      <c:layout>
        <c:manualLayout>
          <c:xMode val="edge"/>
          <c:yMode val="edge"/>
          <c:x val="0.21171206431841993"/>
          <c:y val="7.790374750873983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657364947896817"/>
          <c:y val="0.30597575717973013"/>
          <c:w val="0.45703952731977526"/>
          <c:h val="0.47872975941905027"/>
        </c:manualLayout>
      </c:layout>
      <c:pie3DChart>
        <c:varyColors val="1"/>
        <c:ser>
          <c:idx val="0"/>
          <c:order val="0"/>
          <c:tx>
            <c:strRef>
              <c:f>Hárok1!$B$1</c:f>
              <c:strCache>
                <c:ptCount val="1"/>
                <c:pt idx="0">
                  <c:v>Štruktúra zaradených UoZ podľa veku</c:v>
                </c:pt>
              </c:strCache>
            </c:strRef>
          </c:tx>
          <c:dPt>
            <c:idx val="0"/>
            <c:bubble3D val="0"/>
            <c:explosion val="7"/>
            <c:extLst>
              <c:ext xmlns:c16="http://schemas.microsoft.com/office/drawing/2014/chart" uri="{C3380CC4-5D6E-409C-BE32-E72D297353CC}">
                <c16:uniqueId val="{00000001-92DA-4DB5-86CB-F6A2EAAD40AE}"/>
              </c:ext>
            </c:extLst>
          </c:dPt>
          <c:dPt>
            <c:idx val="1"/>
            <c:bubble3D val="0"/>
            <c:explosion val="9"/>
            <c:extLst>
              <c:ext xmlns:c16="http://schemas.microsoft.com/office/drawing/2014/chart" uri="{C3380CC4-5D6E-409C-BE32-E72D297353CC}">
                <c16:uniqueId val="{00000003-92DA-4DB5-86CB-F6A2EAAD40AE}"/>
              </c:ext>
            </c:extLst>
          </c:dPt>
          <c:dPt>
            <c:idx val="2"/>
            <c:bubble3D val="0"/>
            <c:explosion val="11"/>
            <c:extLst>
              <c:ext xmlns:c16="http://schemas.microsoft.com/office/drawing/2014/chart" uri="{C3380CC4-5D6E-409C-BE32-E72D297353CC}">
                <c16:uniqueId val="{00000005-92DA-4DB5-86CB-F6A2EAAD40AE}"/>
              </c:ext>
            </c:extLst>
          </c:dPt>
          <c:dPt>
            <c:idx val="3"/>
            <c:bubble3D val="0"/>
            <c:explosion val="3"/>
            <c:extLst>
              <c:ext xmlns:c16="http://schemas.microsoft.com/office/drawing/2014/chart" uri="{C3380CC4-5D6E-409C-BE32-E72D297353CC}">
                <c16:uniqueId val="{00000007-92DA-4DB5-86CB-F6A2EAAD40AE}"/>
              </c:ext>
            </c:extLst>
          </c:dPt>
          <c:dLbls>
            <c:dLbl>
              <c:idx val="0"/>
              <c:layout>
                <c:manualLayout>
                  <c:x val="-7.520360150336107E-2"/>
                  <c:y val="-1.22169765086418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DA-4DB5-86CB-F6A2EAAD40AE}"/>
                </c:ext>
              </c:extLst>
            </c:dLbl>
            <c:dLbl>
              <c:idx val="1"/>
              <c:layout>
                <c:manualLayout>
                  <c:x val="1.1239999384708993E-2"/>
                  <c:y val="-3.44309996394220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DA-4DB5-86CB-F6A2EAAD40AE}"/>
                </c:ext>
              </c:extLst>
            </c:dLbl>
            <c:dLbl>
              <c:idx val="2"/>
              <c:layout>
                <c:manualLayout>
                  <c:x val="-0.15032841157499116"/>
                  <c:y val="-0.17011697818922794"/>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DA-4DB5-86CB-F6A2EAAD40AE}"/>
                </c:ext>
              </c:extLst>
            </c:dLbl>
            <c:dLbl>
              <c:idx val="3"/>
              <c:layout>
                <c:manualLayout>
                  <c:x val="0.11615070527731679"/>
                  <c:y val="4.0193011402620271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DA-4DB5-86CB-F6A2EAAD40AE}"/>
                </c:ext>
              </c:extLst>
            </c:dLbl>
            <c:numFmt formatCode="0.00%" sourceLinked="0"/>
            <c:spPr>
              <a:noFill/>
              <a:ln>
                <a:noFill/>
              </a:ln>
              <a:effectLst/>
            </c:spPr>
            <c:txPr>
              <a:bodyPr/>
              <a:lstStyle/>
              <a:p>
                <a:pPr>
                  <a:defRPr sz="9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19</c:v>
                </c:pt>
                <c:pt idx="1">
                  <c:v>7</c:v>
                </c:pt>
                <c:pt idx="2">
                  <c:v>60</c:v>
                </c:pt>
                <c:pt idx="3">
                  <c:v>60</c:v>
                </c:pt>
              </c:numCache>
            </c:numRef>
          </c:val>
          <c:extLst>
            <c:ext xmlns:c16="http://schemas.microsoft.com/office/drawing/2014/chart" uri="{C3380CC4-5D6E-409C-BE32-E72D297353CC}">
              <c16:uniqueId val="{00000008-92DA-4DB5-86CB-F6A2EAAD40AE}"/>
            </c:ext>
          </c:extLst>
        </c:ser>
        <c:dLbls>
          <c:showLegendKey val="0"/>
          <c:showVal val="0"/>
          <c:showCatName val="0"/>
          <c:showSerName val="0"/>
          <c:showPercent val="0"/>
          <c:showBubbleSize val="0"/>
          <c:showLeaderLines val="1"/>
        </c:dLbls>
      </c:pie3DChart>
    </c:plotArea>
    <c:legend>
      <c:legendPos val="r"/>
      <c:layout>
        <c:manualLayout>
          <c:xMode val="edge"/>
          <c:yMode val="edge"/>
          <c:x val="0.71039243602255386"/>
          <c:y val="0.20986661548011892"/>
          <c:w val="0.17799411713431629"/>
          <c:h val="0.59406957558728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zaradených UoZ podľa znevýhodnenia</a:t>
            </a:r>
          </a:p>
        </c:rich>
      </c:tx>
      <c:layout>
        <c:manualLayout>
          <c:xMode val="edge"/>
          <c:yMode val="edge"/>
          <c:x val="0.21028927387124394"/>
          <c:y val="7.284183108290169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292294229521518"/>
          <c:y val="0.33070523420698639"/>
          <c:w val="0.41599812813210041"/>
          <c:h val="0.53992454068241469"/>
        </c:manualLayout>
      </c:layout>
      <c:pie3DChart>
        <c:varyColors val="1"/>
        <c:ser>
          <c:idx val="0"/>
          <c:order val="0"/>
          <c:explosion val="16"/>
          <c:dPt>
            <c:idx val="0"/>
            <c:bubble3D val="0"/>
            <c:extLst>
              <c:ext xmlns:c16="http://schemas.microsoft.com/office/drawing/2014/chart" uri="{C3380CC4-5D6E-409C-BE32-E72D297353CC}">
                <c16:uniqueId val="{00000000-3049-41E9-BB82-B790411A7C1A}"/>
              </c:ext>
            </c:extLst>
          </c:dPt>
          <c:dPt>
            <c:idx val="1"/>
            <c:bubble3D val="0"/>
            <c:extLst>
              <c:ext xmlns:c16="http://schemas.microsoft.com/office/drawing/2014/chart" uri="{C3380CC4-5D6E-409C-BE32-E72D297353CC}">
                <c16:uniqueId val="{00000001-3049-41E9-BB82-B790411A7C1A}"/>
              </c:ext>
            </c:extLst>
          </c:dPt>
          <c:dPt>
            <c:idx val="2"/>
            <c:bubble3D val="0"/>
            <c:explosion val="12"/>
            <c:extLst>
              <c:ext xmlns:c16="http://schemas.microsoft.com/office/drawing/2014/chart" uri="{C3380CC4-5D6E-409C-BE32-E72D297353CC}">
                <c16:uniqueId val="{00000003-3049-41E9-BB82-B790411A7C1A}"/>
              </c:ext>
            </c:extLst>
          </c:dPt>
          <c:dPt>
            <c:idx val="3"/>
            <c:bubble3D val="0"/>
            <c:explosion val="4"/>
            <c:extLst>
              <c:ext xmlns:c16="http://schemas.microsoft.com/office/drawing/2014/chart" uri="{C3380CC4-5D6E-409C-BE32-E72D297353CC}">
                <c16:uniqueId val="{00000005-3049-41E9-BB82-B790411A7C1A}"/>
              </c:ext>
            </c:extLst>
          </c:dPt>
          <c:dPt>
            <c:idx val="4"/>
            <c:bubble3D val="0"/>
            <c:explosion val="8"/>
            <c:extLst>
              <c:ext xmlns:c16="http://schemas.microsoft.com/office/drawing/2014/chart" uri="{C3380CC4-5D6E-409C-BE32-E72D297353CC}">
                <c16:uniqueId val="{00000007-3049-41E9-BB82-B790411A7C1A}"/>
              </c:ext>
            </c:extLst>
          </c:dPt>
          <c:dLbls>
            <c:dLbl>
              <c:idx val="0"/>
              <c:layout>
                <c:manualLayout>
                  <c:x val="7.8216308734783579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049-41E9-BB82-B790411A7C1A}"/>
                </c:ext>
              </c:extLst>
            </c:dLbl>
            <c:dLbl>
              <c:idx val="2"/>
              <c:layout>
                <c:manualLayout>
                  <c:x val="-0.10662636093967083"/>
                  <c:y val="-0.100348791952336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49-41E9-BB82-B790411A7C1A}"/>
                </c:ext>
              </c:extLst>
            </c:dLbl>
            <c:dLbl>
              <c:idx val="3"/>
              <c:layout>
                <c:manualLayout>
                  <c:x val="1.0533885180102964E-2"/>
                  <c:y val="-0.165479177270141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49-41E9-BB82-B790411A7C1A}"/>
                </c:ext>
              </c:extLst>
            </c:dLbl>
            <c:dLbl>
              <c:idx val="4"/>
              <c:layout>
                <c:manualLayout>
                  <c:x val="0.10410919572247331"/>
                  <c:y val="4.9448818897637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49-41E9-BB82-B790411A7C1A}"/>
                </c:ext>
              </c:extLst>
            </c:dLbl>
            <c:dLbl>
              <c:idx val="5"/>
              <c:layout>
                <c:manualLayout>
                  <c:x val="-8.4516206999106058E-2"/>
                  <c:y val="3.327445286069244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049-41E9-BB82-B790411A7C1A}"/>
                </c:ext>
              </c:extLst>
            </c:dLbl>
            <c:dLbl>
              <c:idx val="6"/>
              <c:layout>
                <c:manualLayout>
                  <c:x val="-4.5674776665761016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49-41E9-BB82-B790411A7C1A}"/>
                </c:ext>
              </c:extLst>
            </c:dLbl>
            <c:dLbl>
              <c:idx val="7"/>
              <c:layout>
                <c:manualLayout>
                  <c:x val="8.4787730694433454E-3"/>
                  <c:y val="-5.3706775246250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049-41E9-BB82-B790411A7C1A}"/>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9</c:v>
                </c:pt>
                <c:pt idx="1">
                  <c:v>60</c:v>
                </c:pt>
                <c:pt idx="2">
                  <c:v>45</c:v>
                </c:pt>
                <c:pt idx="3">
                  <c:v>57</c:v>
                </c:pt>
                <c:pt idx="4">
                  <c:v>95</c:v>
                </c:pt>
                <c:pt idx="5">
                  <c:v>1</c:v>
                </c:pt>
                <c:pt idx="6">
                  <c:v>14</c:v>
                </c:pt>
                <c:pt idx="7">
                  <c:v>2</c:v>
                </c:pt>
              </c:numCache>
            </c:numRef>
          </c:val>
          <c:extLst>
            <c:ext xmlns:c16="http://schemas.microsoft.com/office/drawing/2014/chart" uri="{C3380CC4-5D6E-409C-BE32-E72D297353CC}">
              <c16:uniqueId val="{0000000B-3049-41E9-BB82-B790411A7C1A}"/>
            </c:ext>
          </c:extLst>
        </c:ser>
        <c:dLbls>
          <c:showLegendKey val="0"/>
          <c:showVal val="1"/>
          <c:showCatName val="0"/>
          <c:showSerName val="0"/>
          <c:showPercent val="0"/>
          <c:showBubbleSize val="0"/>
          <c:showLeaderLines val="1"/>
        </c:dLbls>
      </c:pie3DChart>
    </c:plotArea>
    <c:legend>
      <c:legendPos val="r"/>
      <c:layout>
        <c:manualLayout>
          <c:xMode val="edge"/>
          <c:yMode val="edge"/>
          <c:x val="0.6657382179029081"/>
          <c:y val="0.16162215321312309"/>
          <c:w val="0.28010823236188759"/>
          <c:h val="0.8031774934383202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solidFill>
            <a:schemeClr val="tx1"/>
          </a:solidFill>
        </a:defRPr>
      </a:pPr>
      <a:endParaRPr lang="sk-SK"/>
    </a:p>
  </c:txPr>
  <c:externalData r:id="rId2">
    <c:autoUpdate val="0"/>
  </c:externalData>
  <c:extLst/>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628757171085228"/>
          <c:y val="3.029307470232679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1209193998589448"/>
          <c:y val="0.30551749965631175"/>
          <c:w val="0.45140479502230529"/>
          <c:h val="0.58442515576582432"/>
        </c:manualLayout>
      </c:layout>
      <c:pie3DChart>
        <c:varyColors val="1"/>
        <c:ser>
          <c:idx val="0"/>
          <c:order val="0"/>
          <c:explosion val="25"/>
          <c:dPt>
            <c:idx val="0"/>
            <c:bubble3D val="0"/>
            <c:explosion val="8"/>
            <c:extLst>
              <c:ext xmlns:c16="http://schemas.microsoft.com/office/drawing/2014/chart" uri="{C3380CC4-5D6E-409C-BE32-E72D297353CC}">
                <c16:uniqueId val="{00000001-2F64-4CDC-B365-29B25A468043}"/>
              </c:ext>
            </c:extLst>
          </c:dPt>
          <c:dPt>
            <c:idx val="1"/>
            <c:bubble3D val="0"/>
            <c:explosion val="10"/>
            <c:extLst>
              <c:ext xmlns:c16="http://schemas.microsoft.com/office/drawing/2014/chart" uri="{C3380CC4-5D6E-409C-BE32-E72D297353CC}">
                <c16:uniqueId val="{00000003-2F64-4CDC-B365-29B25A468043}"/>
              </c:ext>
            </c:extLst>
          </c:dPt>
          <c:dPt>
            <c:idx val="2"/>
            <c:bubble3D val="0"/>
            <c:explosion val="8"/>
            <c:extLst>
              <c:ext xmlns:c16="http://schemas.microsoft.com/office/drawing/2014/chart" uri="{C3380CC4-5D6E-409C-BE32-E72D297353CC}">
                <c16:uniqueId val="{00000005-2F64-4CDC-B365-29B25A468043}"/>
              </c:ext>
            </c:extLst>
          </c:dPt>
          <c:dPt>
            <c:idx val="3"/>
            <c:bubble3D val="0"/>
            <c:explosion val="10"/>
            <c:extLst>
              <c:ext xmlns:c16="http://schemas.microsoft.com/office/drawing/2014/chart" uri="{C3380CC4-5D6E-409C-BE32-E72D297353CC}">
                <c16:uniqueId val="{00000007-2F64-4CDC-B365-29B25A468043}"/>
              </c:ext>
            </c:extLst>
          </c:dPt>
          <c:dPt>
            <c:idx val="4"/>
            <c:bubble3D val="0"/>
            <c:explosion val="16"/>
            <c:extLst>
              <c:ext xmlns:c16="http://schemas.microsoft.com/office/drawing/2014/chart" uri="{C3380CC4-5D6E-409C-BE32-E72D297353CC}">
                <c16:uniqueId val="{00000008-2F64-4CDC-B365-29B25A468043}"/>
              </c:ext>
            </c:extLst>
          </c:dPt>
          <c:dLbls>
            <c:dLbl>
              <c:idx val="0"/>
              <c:layout>
                <c:manualLayout>
                  <c:x val="7.2261513178934519E-2"/>
                  <c:y val="-4.30790672538599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64-4CDC-B365-29B25A468043}"/>
                </c:ext>
              </c:extLst>
            </c:dLbl>
            <c:dLbl>
              <c:idx val="1"/>
              <c:layout>
                <c:manualLayout>
                  <c:x val="-0.1047451327871355"/>
                  <c:y val="1.95970235809626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64-4CDC-B365-29B25A468043}"/>
                </c:ext>
              </c:extLst>
            </c:dLbl>
            <c:dLbl>
              <c:idx val="2"/>
              <c:layout>
                <c:manualLayout>
                  <c:x val="3.4269408514989379E-2"/>
                  <c:y val="7.115317766081584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64-4CDC-B365-29B25A468043}"/>
                </c:ext>
              </c:extLst>
            </c:dLbl>
            <c:dLbl>
              <c:idx val="3"/>
              <c:layout>
                <c:manualLayout>
                  <c:x val="6.7220198688204155E-2"/>
                  <c:y val="-0.159646103839669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F64-4CDC-B365-29B25A468043}"/>
                </c:ext>
              </c:extLst>
            </c:dLbl>
            <c:dLbl>
              <c:idx val="4"/>
              <c:layout>
                <c:manualLayout>
                  <c:x val="7.6061132995221714E-2"/>
                  <c:y val="2.6133262541459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F64-4CDC-B365-29B25A468043}"/>
                </c:ext>
              </c:extLst>
            </c:dLbl>
            <c:dLbl>
              <c:idx val="5"/>
              <c:layout>
                <c:manualLayout>
                  <c:x val="-8.1005653292580276E-2"/>
                  <c:y val="-4.54516631982725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64-4CDC-B365-29B25A468043}"/>
                </c:ext>
              </c:extLst>
            </c:dLbl>
            <c:dLbl>
              <c:idx val="6"/>
              <c:layout>
                <c:manualLayout>
                  <c:x val="-7.1090175517294601E-2"/>
                  <c:y val="-9.59901884675351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F64-4CDC-B365-29B25A468043}"/>
                </c:ext>
              </c:extLst>
            </c:dLbl>
            <c:dLbl>
              <c:idx val="7"/>
              <c:layout>
                <c:manualLayout>
                  <c:x val="3.9869997296585087E-2"/>
                  <c:y val="-8.29917783455876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F64-4CDC-B365-29B25A468043}"/>
                </c:ext>
              </c:extLst>
            </c:dLbl>
            <c:dLbl>
              <c:idx val="8"/>
              <c:layout>
                <c:manualLayout>
                  <c:x val="8.3845262329320283E-2"/>
                  <c:y val="-8.6876683910782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F64-4CDC-B365-29B25A468043}"/>
                </c:ext>
              </c:extLst>
            </c:dLbl>
            <c:dLbl>
              <c:idx val="9"/>
              <c:layout>
                <c:manualLayout>
                  <c:x val="0.10491032252507482"/>
                  <c:y val="-2.0596650770766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F64-4CDC-B365-29B25A468043}"/>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Vyššie odborné vzdelanie</c:v>
                </c:pt>
                <c:pt idx="7">
                  <c:v>Vysokoškolské vzdelanie druhého stupňa</c:v>
                </c:pt>
              </c:strCache>
            </c:strRef>
          </c:cat>
          <c:val>
            <c:numRef>
              <c:f>Hárok1!$B$1:$B$8</c:f>
              <c:numCache>
                <c:formatCode>General</c:formatCode>
                <c:ptCount val="8"/>
                <c:pt idx="0">
                  <c:v>4</c:v>
                </c:pt>
                <c:pt idx="1">
                  <c:v>50</c:v>
                </c:pt>
                <c:pt idx="2">
                  <c:v>3</c:v>
                </c:pt>
                <c:pt idx="3">
                  <c:v>51</c:v>
                </c:pt>
                <c:pt idx="4">
                  <c:v>29</c:v>
                </c:pt>
                <c:pt idx="5">
                  <c:v>7</c:v>
                </c:pt>
                <c:pt idx="6">
                  <c:v>1</c:v>
                </c:pt>
                <c:pt idx="7">
                  <c:v>1</c:v>
                </c:pt>
              </c:numCache>
            </c:numRef>
          </c:val>
          <c:extLst>
            <c:ext xmlns:c16="http://schemas.microsoft.com/office/drawing/2014/chart" uri="{C3380CC4-5D6E-409C-BE32-E72D297353CC}">
              <c16:uniqueId val="{0000000E-2F64-4CDC-B365-29B25A468043}"/>
            </c:ext>
          </c:extLst>
        </c:ser>
        <c:dLbls>
          <c:showLegendKey val="0"/>
          <c:showVal val="1"/>
          <c:showCatName val="0"/>
          <c:showSerName val="0"/>
          <c:showPercent val="0"/>
          <c:showBubbleSize val="0"/>
          <c:showLeaderLines val="1"/>
        </c:dLbls>
      </c:pie3DChart>
    </c:plotArea>
    <c:legend>
      <c:legendPos val="r"/>
      <c:layout>
        <c:manualLayout>
          <c:xMode val="edge"/>
          <c:yMode val="edge"/>
          <c:x val="0.67208481047526381"/>
          <c:y val="0.11756501219542098"/>
          <c:w val="0.30192147133996422"/>
          <c:h val="0.8824349244122931"/>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podľa právnej formy zamestnávateľa</a:t>
            </a:r>
            <a:endParaRPr lang="sk-SK" sz="1100">
              <a:effectLst/>
            </a:endParaRPr>
          </a:p>
        </c:rich>
      </c:tx>
      <c:layout>
        <c:manualLayout>
          <c:xMode val="edge"/>
          <c:yMode val="edge"/>
          <c:x val="0.20827498485766199"/>
          <c:y val="3.8621327686519609E-2"/>
        </c:manualLayout>
      </c:layout>
      <c:overlay val="1"/>
    </c:title>
    <c:autoTitleDeleted val="0"/>
    <c:view3D>
      <c:rotX val="30"/>
      <c:rotY val="5"/>
      <c:rAngAx val="0"/>
    </c:view3D>
    <c:floor>
      <c:thickness val="0"/>
    </c:floor>
    <c:sideWall>
      <c:thickness val="0"/>
    </c:sideWall>
    <c:backWall>
      <c:thickness val="0"/>
    </c:backWall>
    <c:plotArea>
      <c:layout>
        <c:manualLayout>
          <c:layoutTarget val="inner"/>
          <c:xMode val="edge"/>
          <c:yMode val="edge"/>
          <c:x val="0.13711313518860435"/>
          <c:y val="0.34848865598477619"/>
          <c:w val="0.55431649626231239"/>
          <c:h val="0.64939678081898022"/>
        </c:manualLayout>
      </c:layout>
      <c:pie3DChart>
        <c:varyColors val="1"/>
        <c:ser>
          <c:idx val="0"/>
          <c:order val="0"/>
          <c:explosion val="37"/>
          <c:dPt>
            <c:idx val="0"/>
            <c:bubble3D val="0"/>
            <c:explosion val="5"/>
            <c:extLst>
              <c:ext xmlns:c16="http://schemas.microsoft.com/office/drawing/2014/chart" uri="{C3380CC4-5D6E-409C-BE32-E72D297353CC}">
                <c16:uniqueId val="{00000003-9767-4EB5-A4BF-80E67DC7A99D}"/>
              </c:ext>
            </c:extLst>
          </c:dPt>
          <c:dPt>
            <c:idx val="1"/>
            <c:bubble3D val="0"/>
            <c:explosion val="29"/>
            <c:extLst>
              <c:ext xmlns:c16="http://schemas.microsoft.com/office/drawing/2014/chart" uri="{C3380CC4-5D6E-409C-BE32-E72D297353CC}">
                <c16:uniqueId val="{00000004-9767-4EB5-A4BF-80E67DC7A99D}"/>
              </c:ext>
            </c:extLst>
          </c:dPt>
          <c:dPt>
            <c:idx val="2"/>
            <c:bubble3D val="0"/>
            <c:explosion val="30"/>
            <c:extLst>
              <c:ext xmlns:c16="http://schemas.microsoft.com/office/drawing/2014/chart" uri="{C3380CC4-5D6E-409C-BE32-E72D297353CC}">
                <c16:uniqueId val="{00000000-B956-4C9D-9600-49C23FCC6849}"/>
              </c:ext>
            </c:extLst>
          </c:dPt>
          <c:dPt>
            <c:idx val="7"/>
            <c:bubble3D val="0"/>
            <c:extLst>
              <c:ext xmlns:c16="http://schemas.microsoft.com/office/drawing/2014/chart" uri="{C3380CC4-5D6E-409C-BE32-E72D297353CC}">
                <c16:uniqueId val="{00000001-B956-4C9D-9600-49C23FCC6849}"/>
              </c:ext>
            </c:extLst>
          </c:dPt>
          <c:dPt>
            <c:idx val="8"/>
            <c:bubble3D val="0"/>
            <c:extLst>
              <c:ext xmlns:c16="http://schemas.microsoft.com/office/drawing/2014/chart" uri="{C3380CC4-5D6E-409C-BE32-E72D297353CC}">
                <c16:uniqueId val="{00000002-B956-4C9D-9600-49C23FCC6849}"/>
              </c:ext>
            </c:extLst>
          </c:dPt>
          <c:dLbls>
            <c:dLbl>
              <c:idx val="0"/>
              <c:layout>
                <c:manualLayout>
                  <c:x val="-0.14149141709996896"/>
                  <c:y val="-8.61995841401406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67-4EB5-A4BF-80E67DC7A99D}"/>
                </c:ext>
              </c:extLst>
            </c:dLbl>
            <c:dLbl>
              <c:idx val="2"/>
              <c:layout>
                <c:manualLayout>
                  <c:x val="8.7912354561226841E-2"/>
                  <c:y val="1.23916071919293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956-4C9D-9600-49C23FCC6849}"/>
                </c:ext>
              </c:extLst>
            </c:dLbl>
            <c:dLbl>
              <c:idx val="11"/>
              <c:layout>
                <c:manualLayout>
                  <c:x val="8.3140811676789911E-2"/>
                  <c:y val="-4.1832515539148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767-4EB5-A4BF-80E67DC7A99D}"/>
                </c:ext>
              </c:extLst>
            </c:dLbl>
            <c:dLbl>
              <c:idx val="12"/>
              <c:layout>
                <c:manualLayout>
                  <c:x val="7.2850417965859046E-2"/>
                  <c:y val="2.82533727060594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67-4EB5-A4BF-80E67DC7A99D}"/>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Hárok1!$A$1:$A$13</c:f>
              <c:strCache>
                <c:ptCount val="13"/>
                <c:pt idx="0">
                  <c:v>Spol. s.r.o.</c:v>
                </c:pt>
                <c:pt idx="1">
                  <c:v>Živnostníci</c:v>
                </c:pt>
                <c:pt idx="2">
                  <c:v>Obec a mesto</c:v>
                </c:pt>
                <c:pt idx="3">
                  <c:v>Rozpočtová organizácia</c:v>
                </c:pt>
                <c:pt idx="4">
                  <c:v>Združenia</c:v>
                </c:pt>
                <c:pt idx="5">
                  <c:v>Mimovládne organizácie</c:v>
                </c:pt>
                <c:pt idx="6">
                  <c:v>Akciové spoločnosti</c:v>
                </c:pt>
                <c:pt idx="7">
                  <c:v>Príspevková organizácia</c:v>
                </c:pt>
                <c:pt idx="8">
                  <c:v>Cirkevné organizácie</c:v>
                </c:pt>
                <c:pt idx="9">
                  <c:v>Záujmová združenie</c:v>
                </c:pt>
                <c:pt idx="10">
                  <c:v>SHR </c:v>
                </c:pt>
                <c:pt idx="11">
                  <c:v>Živnostník a SHR</c:v>
                </c:pt>
                <c:pt idx="12">
                  <c:v>Iná právna forma</c:v>
                </c:pt>
              </c:strCache>
            </c:strRef>
          </c:cat>
          <c:val>
            <c:numRef>
              <c:f>Hárok1!$B$1:$B$13</c:f>
              <c:numCache>
                <c:formatCode>General</c:formatCode>
                <c:ptCount val="13"/>
                <c:pt idx="0">
                  <c:v>943</c:v>
                </c:pt>
                <c:pt idx="1">
                  <c:v>227</c:v>
                </c:pt>
                <c:pt idx="2">
                  <c:v>135</c:v>
                </c:pt>
                <c:pt idx="3">
                  <c:v>76</c:v>
                </c:pt>
                <c:pt idx="4">
                  <c:v>35</c:v>
                </c:pt>
                <c:pt idx="5">
                  <c:v>32</c:v>
                </c:pt>
                <c:pt idx="6">
                  <c:v>30</c:v>
                </c:pt>
                <c:pt idx="7">
                  <c:v>23</c:v>
                </c:pt>
                <c:pt idx="8">
                  <c:v>5</c:v>
                </c:pt>
                <c:pt idx="9">
                  <c:v>1</c:v>
                </c:pt>
                <c:pt idx="10">
                  <c:v>3</c:v>
                </c:pt>
                <c:pt idx="11">
                  <c:v>1</c:v>
                </c:pt>
                <c:pt idx="12">
                  <c:v>87</c:v>
                </c:pt>
              </c:numCache>
            </c:numRef>
          </c:val>
          <c:extLst>
            <c:ext xmlns:c16="http://schemas.microsoft.com/office/drawing/2014/chart" uri="{C3380CC4-5D6E-409C-BE32-E72D297353CC}">
              <c16:uniqueId val="{00000003-B956-4C9D-9600-49C23FCC6849}"/>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12810389824935386"/>
          <c:w val="0.27649448655111553"/>
          <c:h val="0.83605813142632945"/>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800" b="1" i="0" u="none" strike="noStrike" kern="1200" spc="0" baseline="0">
                <a:solidFill>
                  <a:schemeClr val="tx1"/>
                </a:solidFill>
                <a:latin typeface="+mn-lt"/>
                <a:ea typeface="+mn-ea"/>
                <a:cs typeface="+mn-cs"/>
              </a:defRPr>
            </a:pPr>
            <a:r>
              <a:rPr lang="sk-SK" sz="1200" b="1" i="0" u="none" strike="noStrike" kern="1200" baseline="0">
                <a:solidFill>
                  <a:schemeClr val="tx1"/>
                </a:solidFill>
                <a:effectLst/>
                <a:latin typeface="+mn-lt"/>
                <a:ea typeface="+mn-ea"/>
                <a:cs typeface="+mn-cs"/>
              </a:rPr>
              <a:t>Štruktúra poskytnutých OPS - § 43 v roku 2024 </a:t>
            </a:r>
          </a:p>
          <a:p>
            <a:pPr algn="ctr" rtl="0">
              <a:defRPr sz="1800" b="1">
                <a:solidFill>
                  <a:schemeClr val="tx1"/>
                </a:solidFill>
              </a:defRPr>
            </a:pPr>
            <a:r>
              <a:rPr lang="sk-SK" sz="1200" b="1" i="0" u="none" strike="noStrike" kern="1200" baseline="0">
                <a:solidFill>
                  <a:schemeClr val="tx1"/>
                </a:solidFill>
                <a:effectLst/>
                <a:latin typeface="+mn-lt"/>
                <a:ea typeface="+mn-ea"/>
                <a:cs typeface="+mn-cs"/>
              </a:rPr>
              <a:t>podľa formy realizácie</a:t>
            </a:r>
          </a:p>
        </c:rich>
      </c:tx>
      <c:layout>
        <c:manualLayout>
          <c:xMode val="edge"/>
          <c:yMode val="edge"/>
          <c:x val="0.23673822774341391"/>
          <c:y val="6.3203797160490058E-2"/>
        </c:manualLayout>
      </c:layout>
      <c:overlay val="0"/>
      <c:spPr>
        <a:noFill/>
        <a:ln>
          <a:noFill/>
        </a:ln>
        <a:effectLst/>
      </c:spPr>
      <c:txPr>
        <a:bodyPr rot="0" spcFirstLastPara="1" vertOverflow="ellipsis" vert="horz" wrap="square" anchor="ctr" anchorCtr="1"/>
        <a:lstStyle/>
        <a:p>
          <a:pPr algn="ctr" rtl="0">
            <a:defRPr sz="1800" b="1" i="0" u="none" strike="noStrike" kern="1200" spc="0" baseline="0">
              <a:solidFill>
                <a:schemeClr val="tx1"/>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40085115181168"/>
          <c:y val="0.30130688900373942"/>
          <c:w val="0.75306466341597889"/>
          <c:h val="0.50024929316267897"/>
        </c:manualLayout>
      </c:layout>
      <c:pie3DChart>
        <c:varyColors val="1"/>
        <c:ser>
          <c:idx val="0"/>
          <c:order val="0"/>
          <c:spPr>
            <a:ln>
              <a:noFill/>
            </a:ln>
          </c:spPr>
          <c:explosion val="10"/>
          <c:dPt>
            <c:idx val="0"/>
            <c:bubble3D val="0"/>
            <c:explosion val="16"/>
            <c:spPr>
              <a:solidFill>
                <a:schemeClr val="accent1"/>
              </a:solidFill>
              <a:ln w="25400">
                <a:noFill/>
              </a:ln>
              <a:effectLst/>
              <a:sp3d/>
            </c:spPr>
            <c:extLst>
              <c:ext xmlns:c16="http://schemas.microsoft.com/office/drawing/2014/chart" uri="{C3380CC4-5D6E-409C-BE32-E72D297353CC}">
                <c16:uniqueId val="{00000001-1F25-4CC7-816B-E3620653D87B}"/>
              </c:ext>
            </c:extLst>
          </c:dPt>
          <c:dPt>
            <c:idx val="1"/>
            <c:bubble3D val="0"/>
            <c:spPr>
              <a:solidFill>
                <a:schemeClr val="accent2"/>
              </a:solidFill>
              <a:ln w="25400">
                <a:noFill/>
              </a:ln>
              <a:effectLst/>
              <a:sp3d/>
            </c:spPr>
            <c:extLst>
              <c:ext xmlns:c16="http://schemas.microsoft.com/office/drawing/2014/chart" uri="{C3380CC4-5D6E-409C-BE32-E72D297353CC}">
                <c16:uniqueId val="{00000003-1F25-4CC7-816B-E3620653D87B}"/>
              </c:ext>
            </c:extLst>
          </c:dPt>
          <c:dLbls>
            <c:dLbl>
              <c:idx val="0"/>
              <c:layout>
                <c:manualLayout>
                  <c:x val="-8.8076316849282729E-2"/>
                  <c:y val="6.273856590319071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5-4CC7-816B-E3620653D87B}"/>
                </c:ext>
              </c:extLst>
            </c:dLbl>
            <c:dLbl>
              <c:idx val="1"/>
              <c:layout>
                <c:manualLayout>
                  <c:x val="9.8201381829459464E-2"/>
                  <c:y val="-0.2078580549052989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25-4CC7-816B-E3620653D87B}"/>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extLst>
          </c:dLbls>
          <c:cat>
            <c:strRef>
              <c:f>'pocet_OPS_mimo NP_9_GRAF'!$A$63:$A$64</c:f>
              <c:strCache>
                <c:ptCount val="2"/>
                <c:pt idx="0">
                  <c:v>Skupinové aktivity</c:v>
                </c:pt>
                <c:pt idx="1">
                  <c:v>Individuálne aktivity</c:v>
                </c:pt>
              </c:strCache>
            </c:strRef>
          </c:cat>
          <c:val>
            <c:numRef>
              <c:f>'pocet_OPS_mimo NP_9_GRAF'!$B$63:$B$64</c:f>
              <c:numCache>
                <c:formatCode>#,##0.00%</c:formatCode>
                <c:ptCount val="2"/>
                <c:pt idx="0">
                  <c:v>0.217949725058</c:v>
                </c:pt>
                <c:pt idx="1">
                  <c:v>0.78205027494099999</c:v>
                </c:pt>
              </c:numCache>
            </c:numRef>
          </c:val>
          <c:extLst>
            <c:ext xmlns:c16="http://schemas.microsoft.com/office/drawing/2014/chart" uri="{C3380CC4-5D6E-409C-BE32-E72D297353CC}">
              <c16:uniqueId val="{00000004-1F25-4CC7-816B-E3620653D87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8898227999277865"/>
          <c:y val="0.8723157252110888"/>
          <c:w val="0.42080149810375023"/>
          <c:h val="8.937844517304277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gradFill>
      <a:gsLst>
        <a:gs pos="0">
          <a:schemeClr val="tx2">
            <a:lumMod val="40000"/>
            <a:lumOff val="60000"/>
            <a:alpha val="9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gra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5399173258344337"/>
          <c:y val="9.3228704773678048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872626417507108"/>
          <c:y val="0.26755708437469206"/>
          <c:w val="0.49444413494247691"/>
          <c:h val="0.63726532476955744"/>
        </c:manualLayout>
      </c:layout>
      <c:pie3DChart>
        <c:varyColors val="1"/>
        <c:ser>
          <c:idx val="0"/>
          <c:order val="0"/>
          <c:explosion val="25"/>
          <c:dPt>
            <c:idx val="0"/>
            <c:bubble3D val="0"/>
            <c:explosion val="11"/>
            <c:extLst>
              <c:ext xmlns:c16="http://schemas.microsoft.com/office/drawing/2014/chart" uri="{C3380CC4-5D6E-409C-BE32-E72D297353CC}">
                <c16:uniqueId val="{00000001-059E-401A-A0B3-7D17BCD433ED}"/>
              </c:ext>
            </c:extLst>
          </c:dPt>
          <c:dPt>
            <c:idx val="1"/>
            <c:bubble3D val="0"/>
            <c:explosion val="8"/>
            <c:extLst>
              <c:ext xmlns:c16="http://schemas.microsoft.com/office/drawing/2014/chart" uri="{C3380CC4-5D6E-409C-BE32-E72D297353CC}">
                <c16:uniqueId val="{00000003-059E-401A-A0B3-7D17BCD433ED}"/>
              </c:ext>
            </c:extLst>
          </c:dPt>
          <c:dPt>
            <c:idx val="2"/>
            <c:bubble3D val="0"/>
            <c:explosion val="14"/>
            <c:extLst>
              <c:ext xmlns:c16="http://schemas.microsoft.com/office/drawing/2014/chart" uri="{C3380CC4-5D6E-409C-BE32-E72D297353CC}">
                <c16:uniqueId val="{00000005-059E-401A-A0B3-7D17BCD433ED}"/>
              </c:ext>
            </c:extLst>
          </c:dPt>
          <c:dPt>
            <c:idx val="3"/>
            <c:bubble3D val="0"/>
            <c:explosion val="16"/>
            <c:extLst>
              <c:ext xmlns:c16="http://schemas.microsoft.com/office/drawing/2014/chart" uri="{C3380CC4-5D6E-409C-BE32-E72D297353CC}">
                <c16:uniqueId val="{00000007-059E-401A-A0B3-7D17BCD433ED}"/>
              </c:ext>
            </c:extLst>
          </c:dPt>
          <c:dLbls>
            <c:dLbl>
              <c:idx val="0"/>
              <c:layout>
                <c:manualLayout>
                  <c:x val="-0.14490863073377394"/>
                  <c:y val="-0.133563372837780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9E-401A-A0B3-7D17BCD433ED}"/>
                </c:ext>
              </c:extLst>
            </c:dLbl>
            <c:dLbl>
              <c:idx val="1"/>
              <c:layout>
                <c:manualLayout>
                  <c:x val="0.1113312289104169"/>
                  <c:y val="2.4135515483772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9E-401A-A0B3-7D17BCD433ED}"/>
                </c:ext>
              </c:extLst>
            </c:dLbl>
            <c:dLbl>
              <c:idx val="3"/>
              <c:layout>
                <c:manualLayout>
                  <c:x val="1.1451333747083067E-2"/>
                  <c:y val="1.30462193049592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9E-401A-A0B3-7D17BCD433ED}"/>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1278</c:v>
                </c:pt>
                <c:pt idx="1">
                  <c:v>364</c:v>
                </c:pt>
                <c:pt idx="2">
                  <c:v>176</c:v>
                </c:pt>
                <c:pt idx="3">
                  <c:v>12</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059E-401A-A0B3-7D17BCD433ED}"/>
            </c:ext>
          </c:extLst>
        </c:ser>
        <c:dLbls>
          <c:showLegendKey val="0"/>
          <c:showVal val="1"/>
          <c:showCatName val="0"/>
          <c:showSerName val="0"/>
          <c:showPercent val="0"/>
          <c:showBubbleSize val="0"/>
          <c:showLeaderLines val="1"/>
        </c:dLbls>
      </c:pie3DChart>
    </c:plotArea>
    <c:legend>
      <c:legendPos val="r"/>
      <c:layout>
        <c:manualLayout>
          <c:xMode val="edge"/>
          <c:yMode val="edge"/>
          <c:x val="0.71697563057692781"/>
          <c:y val="0.16380747628389455"/>
          <c:w val="0.17915901363532344"/>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17788581680015467"/>
          <c:y val="9.1939098163910618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366086040115497"/>
          <c:y val="0.25767243406300361"/>
          <c:w val="0.45265377464378426"/>
          <c:h val="0.58787005628099576"/>
        </c:manualLayout>
      </c:layout>
      <c:pie3DChart>
        <c:varyColors val="1"/>
        <c:ser>
          <c:idx val="0"/>
          <c:order val="0"/>
          <c:dPt>
            <c:idx val="0"/>
            <c:bubble3D val="0"/>
            <c:explosion val="8"/>
            <c:extLst>
              <c:ext xmlns:c16="http://schemas.microsoft.com/office/drawing/2014/chart" uri="{C3380CC4-5D6E-409C-BE32-E72D297353CC}">
                <c16:uniqueId val="{00000001-16D9-4387-AC7B-34A77F6F5F08}"/>
              </c:ext>
            </c:extLst>
          </c:dPt>
          <c:dPt>
            <c:idx val="1"/>
            <c:bubble3D val="0"/>
            <c:explosion val="19"/>
            <c:extLst>
              <c:ext xmlns:c16="http://schemas.microsoft.com/office/drawing/2014/chart" uri="{C3380CC4-5D6E-409C-BE32-E72D297353CC}">
                <c16:uniqueId val="{00000003-16D9-4387-AC7B-34A77F6F5F08}"/>
              </c:ext>
            </c:extLst>
          </c:dPt>
          <c:dPt>
            <c:idx val="2"/>
            <c:bubble3D val="0"/>
            <c:explosion val="10"/>
            <c:extLst>
              <c:ext xmlns:c16="http://schemas.microsoft.com/office/drawing/2014/chart" uri="{C3380CC4-5D6E-409C-BE32-E72D297353CC}">
                <c16:uniqueId val="{00000005-16D9-4387-AC7B-34A77F6F5F08}"/>
              </c:ext>
            </c:extLst>
          </c:dPt>
          <c:dPt>
            <c:idx val="3"/>
            <c:bubble3D val="0"/>
            <c:explosion val="10"/>
            <c:extLst>
              <c:ext xmlns:c16="http://schemas.microsoft.com/office/drawing/2014/chart" uri="{C3380CC4-5D6E-409C-BE32-E72D297353CC}">
                <c16:uniqueId val="{00000007-16D9-4387-AC7B-34A77F6F5F08}"/>
              </c:ext>
            </c:extLst>
          </c:dPt>
          <c:dPt>
            <c:idx val="4"/>
            <c:bubble3D val="0"/>
            <c:explosion val="9"/>
            <c:extLst>
              <c:ext xmlns:c16="http://schemas.microsoft.com/office/drawing/2014/chart" uri="{C3380CC4-5D6E-409C-BE32-E72D297353CC}">
                <c16:uniqueId val="{00000009-16D9-4387-AC7B-34A77F6F5F08}"/>
              </c:ext>
            </c:extLst>
          </c:dPt>
          <c:dLbls>
            <c:dLbl>
              <c:idx val="0"/>
              <c:layout>
                <c:manualLayout>
                  <c:x val="-7.158859850150058E-2"/>
                  <c:y val="6.20744281964754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D9-4387-AC7B-34A77F6F5F08}"/>
                </c:ext>
              </c:extLst>
            </c:dLbl>
            <c:dLbl>
              <c:idx val="1"/>
              <c:layout>
                <c:manualLayout>
                  <c:x val="-7.3866088839985272E-2"/>
                  <c:y val="-0.182805982228666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D9-4387-AC7B-34A77F6F5F08}"/>
                </c:ext>
              </c:extLst>
            </c:dLbl>
            <c:dLbl>
              <c:idx val="2"/>
              <c:layout>
                <c:manualLayout>
                  <c:x val="9.9665391181900084E-2"/>
                  <c:y val="-0.104034964379452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6D9-4387-AC7B-34A77F6F5F08}"/>
                </c:ext>
              </c:extLst>
            </c:dLbl>
            <c:dLbl>
              <c:idx val="3"/>
              <c:layout>
                <c:manualLayout>
                  <c:x val="7.751149540400612E-2"/>
                  <c:y val="3.62387514060741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6D9-4387-AC7B-34A77F6F5F08}"/>
                </c:ext>
              </c:extLst>
            </c:dLbl>
            <c:dLbl>
              <c:idx val="4"/>
              <c:layout>
                <c:manualLayout>
                  <c:x val="4.2761725436494313E-2"/>
                  <c:y val="6.0724584314852982E-2"/>
                </c:manualLayout>
              </c:layout>
              <c:numFmt formatCode="0.00%" sourceLinked="0"/>
              <c:spPr>
                <a:noFill/>
                <a:ln>
                  <a:noFill/>
                </a:ln>
                <a:effectLst/>
              </c:spPr>
              <c:txPr>
                <a:bodyPr wrap="square" lIns="38100" tIns="19050" rIns="38100" bIns="19050" anchor="ctr" anchorCtr="0">
                  <a:spAutoFit/>
                </a:bodyPr>
                <a:lstStyle/>
                <a:p>
                  <a:pPr algn="ct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D9-4387-AC7B-34A77F6F5F08}"/>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582</c:v>
                </c:pt>
                <c:pt idx="1">
                  <c:v>496</c:v>
                </c:pt>
                <c:pt idx="2">
                  <c:v>384</c:v>
                </c:pt>
                <c:pt idx="3">
                  <c:v>199</c:v>
                </c:pt>
                <c:pt idx="4">
                  <c:v>169</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A-16D9-4387-AC7B-34A77F6F5F08}"/>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pracovných miest podľa SK ISCO</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2154536757671647"/>
          <c:y val="0.28790420128661198"/>
          <c:w val="0.47956465638914175"/>
          <c:h val="0.61945664941053635"/>
        </c:manualLayout>
      </c:layout>
      <c:pie3DChart>
        <c:varyColors val="1"/>
        <c:ser>
          <c:idx val="0"/>
          <c:order val="0"/>
          <c:explosion val="25"/>
          <c:dPt>
            <c:idx val="1"/>
            <c:bubble3D val="0"/>
            <c:explosion val="14"/>
            <c:extLst>
              <c:ext xmlns:c16="http://schemas.microsoft.com/office/drawing/2014/chart" uri="{C3380CC4-5D6E-409C-BE32-E72D297353CC}">
                <c16:uniqueId val="{00000001-15E0-4D49-9098-AF65A79E4B25}"/>
              </c:ext>
            </c:extLst>
          </c:dPt>
          <c:dPt>
            <c:idx val="2"/>
            <c:bubble3D val="0"/>
            <c:explosion val="7"/>
            <c:extLst>
              <c:ext xmlns:c16="http://schemas.microsoft.com/office/drawing/2014/chart" uri="{C3380CC4-5D6E-409C-BE32-E72D297353CC}">
                <c16:uniqueId val="{00000003-15E0-4D49-9098-AF65A79E4B25}"/>
              </c:ext>
            </c:extLst>
          </c:dPt>
          <c:dPt>
            <c:idx val="3"/>
            <c:bubble3D val="0"/>
            <c:explosion val="12"/>
            <c:extLst>
              <c:ext xmlns:c16="http://schemas.microsoft.com/office/drawing/2014/chart" uri="{C3380CC4-5D6E-409C-BE32-E72D297353CC}">
                <c16:uniqueId val="{00000005-15E0-4D49-9098-AF65A79E4B25}"/>
              </c:ext>
            </c:extLst>
          </c:dPt>
          <c:dPt>
            <c:idx val="4"/>
            <c:bubble3D val="0"/>
            <c:explosion val="20"/>
            <c:extLst>
              <c:ext xmlns:c16="http://schemas.microsoft.com/office/drawing/2014/chart" uri="{C3380CC4-5D6E-409C-BE32-E72D297353CC}">
                <c16:uniqueId val="{00000007-15E0-4D49-9098-AF65A79E4B25}"/>
              </c:ext>
            </c:extLst>
          </c:dPt>
          <c:dPt>
            <c:idx val="5"/>
            <c:bubble3D val="0"/>
            <c:explosion val="19"/>
            <c:extLst>
              <c:ext xmlns:c16="http://schemas.microsoft.com/office/drawing/2014/chart" uri="{C3380CC4-5D6E-409C-BE32-E72D297353CC}">
                <c16:uniqueId val="{0000000C-15E0-4D49-9098-AF65A79E4B25}"/>
              </c:ext>
            </c:extLst>
          </c:dPt>
          <c:dPt>
            <c:idx val="6"/>
            <c:bubble3D val="0"/>
            <c:explosion val="16"/>
            <c:extLst>
              <c:ext xmlns:c16="http://schemas.microsoft.com/office/drawing/2014/chart" uri="{C3380CC4-5D6E-409C-BE32-E72D297353CC}">
                <c16:uniqueId val="{00000009-15E0-4D49-9098-AF65A79E4B25}"/>
              </c:ext>
            </c:extLst>
          </c:dPt>
          <c:dPt>
            <c:idx val="7"/>
            <c:bubble3D val="0"/>
            <c:explosion val="21"/>
            <c:extLst>
              <c:ext xmlns:c16="http://schemas.microsoft.com/office/drawing/2014/chart" uri="{C3380CC4-5D6E-409C-BE32-E72D297353CC}">
                <c16:uniqueId val="{0000000B-15E0-4D49-9098-AF65A79E4B25}"/>
              </c:ext>
            </c:extLst>
          </c:dPt>
          <c:dLbls>
            <c:dLbl>
              <c:idx val="0"/>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5E0-4D49-9098-AF65A79E4B25}"/>
                </c:ext>
              </c:extLst>
            </c:dLbl>
            <c:dLbl>
              <c:idx val="6"/>
              <c:layout>
                <c:manualLayout>
                  <c:x val="9.2774572321572303E-3"/>
                  <c:y val="-6.45066650596246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E0-4D49-9098-AF65A79E4B25}"/>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9"/>
                <c:pt idx="0">
                  <c:v>Zákonodarcovia, riadiaci pracovníci</c:v>
                </c:pt>
                <c:pt idx="1">
                  <c:v>Špecialisti</c:v>
                </c:pt>
                <c:pt idx="2">
                  <c:v>Technici a odborní pracovníci</c:v>
                </c:pt>
                <c:pt idx="3">
                  <c:v>Administratívni pracovníci</c:v>
                </c:pt>
                <c:pt idx="4">
                  <c:v>Pracovníci v službách a obchode</c:v>
                </c:pt>
                <c:pt idx="5">
                  <c:v>Kvalifikovaní pracovníci v poľnohospodárstve, lesníctve a rybárstve</c:v>
                </c:pt>
                <c:pt idx="6">
                  <c:v>Kvalifikovaní pracovníci a remeselníci</c:v>
                </c:pt>
                <c:pt idx="7">
                  <c:v>Operátori a montéri strojov a zariadení</c:v>
                </c:pt>
                <c:pt idx="8">
                  <c:v>Pomocní a nekvalifikovaní pracovníci</c:v>
                </c:pt>
              </c:strCache>
            </c:strRef>
          </c:cat>
          <c:val>
            <c:numRef>
              <c:f>Hárok1!$B$1:$B$9</c:f>
              <c:numCache>
                <c:formatCode>General</c:formatCode>
                <c:ptCount val="9"/>
                <c:pt idx="0">
                  <c:v>29</c:v>
                </c:pt>
                <c:pt idx="1">
                  <c:v>360</c:v>
                </c:pt>
                <c:pt idx="2">
                  <c:v>217</c:v>
                </c:pt>
                <c:pt idx="3">
                  <c:v>300</c:v>
                </c:pt>
                <c:pt idx="4">
                  <c:v>338</c:v>
                </c:pt>
                <c:pt idx="5">
                  <c:v>12</c:v>
                </c:pt>
                <c:pt idx="6">
                  <c:v>140</c:v>
                </c:pt>
                <c:pt idx="7">
                  <c:v>63</c:v>
                </c:pt>
                <c:pt idx="8">
                  <c:v>371</c:v>
                </c:pt>
              </c:numCache>
            </c:numRef>
          </c:val>
          <c:extLst>
            <c:ext xmlns:c16="http://schemas.microsoft.com/office/drawing/2014/chart" uri="{C3380CC4-5D6E-409C-BE32-E72D297353CC}">
              <c16:uniqueId val="{0000000A-15E0-4D49-9098-AF65A79E4B25}"/>
            </c:ext>
          </c:extLst>
        </c:ser>
        <c:dLbls>
          <c:showLegendKey val="0"/>
          <c:showVal val="1"/>
          <c:showCatName val="0"/>
          <c:showSerName val="0"/>
          <c:showPercent val="0"/>
          <c:showBubbleSize val="0"/>
          <c:showLeaderLines val="1"/>
        </c:dLbls>
      </c:pie3DChart>
    </c:plotArea>
    <c:legend>
      <c:legendPos val="r"/>
      <c:layout>
        <c:manualLayout>
          <c:xMode val="edge"/>
          <c:yMode val="edge"/>
          <c:x val="0.6474641904260906"/>
          <c:y val="4.4983750747788973E-2"/>
          <c:w val="0.33912948625807876"/>
          <c:h val="0.9286993689910471"/>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6.5309558064150244E-2"/>
          <c:y val="3.862139195485584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753694961144003"/>
          <c:y val="0.26920190233319835"/>
          <c:w val="0.45879173699587877"/>
          <c:h val="0.59631226545645721"/>
        </c:manualLayout>
      </c:layout>
      <c:pie3DChart>
        <c:varyColors val="1"/>
        <c:ser>
          <c:idx val="0"/>
          <c:order val="0"/>
          <c:explosion val="25"/>
          <c:dPt>
            <c:idx val="0"/>
            <c:bubble3D val="0"/>
            <c:explosion val="14"/>
            <c:extLst>
              <c:ext xmlns:c16="http://schemas.microsoft.com/office/drawing/2014/chart" uri="{C3380CC4-5D6E-409C-BE32-E72D297353CC}">
                <c16:uniqueId val="{00000001-7333-447F-BF13-3B2FD84B3060}"/>
              </c:ext>
            </c:extLst>
          </c:dPt>
          <c:dPt>
            <c:idx val="1"/>
            <c:bubble3D val="0"/>
            <c:explosion val="7"/>
            <c:extLst>
              <c:ext xmlns:c16="http://schemas.microsoft.com/office/drawing/2014/chart" uri="{C3380CC4-5D6E-409C-BE32-E72D297353CC}">
                <c16:uniqueId val="{00000003-7333-447F-BF13-3B2FD84B3060}"/>
              </c:ext>
            </c:extLst>
          </c:dPt>
          <c:dPt>
            <c:idx val="2"/>
            <c:bubble3D val="0"/>
            <c:explosion val="12"/>
            <c:extLst>
              <c:ext xmlns:c16="http://schemas.microsoft.com/office/drawing/2014/chart" uri="{C3380CC4-5D6E-409C-BE32-E72D297353CC}">
                <c16:uniqueId val="{00000005-7333-447F-BF13-3B2FD84B3060}"/>
              </c:ext>
            </c:extLst>
          </c:dPt>
          <c:dPt>
            <c:idx val="3"/>
            <c:bubble3D val="0"/>
            <c:explosion val="16"/>
            <c:extLst>
              <c:ext xmlns:c16="http://schemas.microsoft.com/office/drawing/2014/chart" uri="{C3380CC4-5D6E-409C-BE32-E72D297353CC}">
                <c16:uniqueId val="{00000007-7333-447F-BF13-3B2FD84B3060}"/>
              </c:ext>
            </c:extLst>
          </c:dPt>
          <c:dPt>
            <c:idx val="5"/>
            <c:bubble3D val="0"/>
            <c:explosion val="21"/>
            <c:extLst>
              <c:ext xmlns:c16="http://schemas.microsoft.com/office/drawing/2014/chart" uri="{C3380CC4-5D6E-409C-BE32-E72D297353CC}">
                <c16:uniqueId val="{00000006-A75E-4107-9165-3029D1C7F7A3}"/>
              </c:ext>
            </c:extLst>
          </c:dPt>
          <c:dPt>
            <c:idx val="6"/>
            <c:bubble3D val="0"/>
            <c:explosion val="20"/>
            <c:extLst>
              <c:ext xmlns:c16="http://schemas.microsoft.com/office/drawing/2014/chart" uri="{C3380CC4-5D6E-409C-BE32-E72D297353CC}">
                <c16:uniqueId val="{00000005-A75E-4107-9165-3029D1C7F7A3}"/>
              </c:ext>
            </c:extLst>
          </c:dPt>
          <c:dPt>
            <c:idx val="7"/>
            <c:bubble3D val="0"/>
            <c:explosion val="20"/>
            <c:extLst>
              <c:ext xmlns:c16="http://schemas.microsoft.com/office/drawing/2014/chart" uri="{C3380CC4-5D6E-409C-BE32-E72D297353CC}">
                <c16:uniqueId val="{00000008-7333-447F-BF13-3B2FD84B3060}"/>
              </c:ext>
            </c:extLst>
          </c:dPt>
          <c:dLbls>
            <c:dLbl>
              <c:idx val="0"/>
              <c:layout>
                <c:manualLayout>
                  <c:x val="2.8707770342635355E-2"/>
                  <c:y val="-4.49670959203775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33-447F-BF13-3B2FD84B3060}"/>
                </c:ext>
              </c:extLst>
            </c:dLbl>
            <c:dLbl>
              <c:idx val="1"/>
              <c:layout>
                <c:manualLayout>
                  <c:x val="1.5971828331034246E-2"/>
                  <c:y val="-2.68955348348148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33-447F-BF13-3B2FD84B3060}"/>
                </c:ext>
              </c:extLst>
            </c:dLbl>
            <c:dLbl>
              <c:idx val="2"/>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333-447F-BF13-3B2FD84B3060}"/>
                </c:ext>
              </c:extLst>
            </c:dLbl>
            <c:dLbl>
              <c:idx val="4"/>
              <c:layout>
                <c:manualLayout>
                  <c:x val="-0.10401880903440616"/>
                  <c:y val="-0.166834863216925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75E-4107-9165-3029D1C7F7A3}"/>
                </c:ext>
              </c:extLst>
            </c:dLbl>
            <c:dLbl>
              <c:idx val="5"/>
              <c:layout>
                <c:manualLayout>
                  <c:x val="2.4037244818315089E-2"/>
                  <c:y val="2.78929303061982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75E-4107-9165-3029D1C7F7A3}"/>
                </c:ext>
              </c:extLst>
            </c:dLbl>
            <c:dLbl>
              <c:idx val="7"/>
              <c:layout>
                <c:manualLayout>
                  <c:x val="5.2853491331082782E-2"/>
                  <c:y val="-7.7114895365631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333-447F-BF13-3B2FD84B3060}"/>
                </c:ext>
              </c:extLst>
            </c:dLbl>
            <c:dLbl>
              <c:idx val="8"/>
              <c:layout>
                <c:manualLayout>
                  <c:x val="8.4366123854631145E-2"/>
                  <c:y val="4.15954097449253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33-447F-BF13-3B2FD84B3060}"/>
                </c:ext>
              </c:extLst>
            </c:dLbl>
            <c:dLbl>
              <c:idx val="9"/>
              <c:layout>
                <c:manualLayout>
                  <c:x val="-6.2450541070831866E-2"/>
                  <c:y val="-1.82634260126540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BB-4B16-8916-1436967A930E}"/>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Výššie odborné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41</c:v>
                </c:pt>
                <c:pt idx="1">
                  <c:v>187</c:v>
                </c:pt>
                <c:pt idx="2">
                  <c:v>22</c:v>
                </c:pt>
                <c:pt idx="3">
                  <c:v>188</c:v>
                </c:pt>
                <c:pt idx="4">
                  <c:v>684</c:v>
                </c:pt>
                <c:pt idx="5">
                  <c:v>105</c:v>
                </c:pt>
                <c:pt idx="6">
                  <c:v>15</c:v>
                </c:pt>
                <c:pt idx="7">
                  <c:v>130</c:v>
                </c:pt>
                <c:pt idx="8">
                  <c:v>456</c:v>
                </c:pt>
                <c:pt idx="9">
                  <c:v>1</c:v>
                </c:pt>
              </c:numCache>
            </c:numRef>
          </c:val>
          <c:extLst>
            <c:ext xmlns:c16="http://schemas.microsoft.com/office/drawing/2014/chart" uri="{C3380CC4-5D6E-409C-BE32-E72D297353CC}">
              <c16:uniqueId val="{0000000A-7333-447F-BF13-3B2FD84B3060}"/>
            </c:ext>
          </c:extLst>
        </c:ser>
        <c:dLbls>
          <c:showLegendKey val="0"/>
          <c:showVal val="1"/>
          <c:showCatName val="0"/>
          <c:showSerName val="0"/>
          <c:showPercent val="0"/>
          <c:showBubbleSize val="0"/>
          <c:showLeaderLines val="1"/>
        </c:dLbls>
      </c:pie3DChart>
    </c:plotArea>
    <c:legend>
      <c:legendPos val="r"/>
      <c:layout>
        <c:manualLayout>
          <c:xMode val="edge"/>
          <c:yMode val="edge"/>
          <c:x val="0.66986970243737809"/>
          <c:y val="9.349018920601157E-2"/>
          <c:w val="0.30408761452202859"/>
          <c:h val="0.89511847281561008"/>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pohlavia</a:t>
            </a:r>
            <a:endParaRPr lang="sk-SK" sz="1100">
              <a:effectLst/>
            </a:endParaRPr>
          </a:p>
        </c:rich>
      </c:tx>
      <c:layout>
        <c:manualLayout>
          <c:xMode val="edge"/>
          <c:yMode val="edge"/>
          <c:x val="0.21477343762658932"/>
          <c:y val="0.1122862922521425"/>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75809468092455"/>
          <c:y val="0.21163193689186638"/>
          <c:w val="0.47739851320707732"/>
          <c:h val="0.61945664941053635"/>
        </c:manualLayout>
      </c:layout>
      <c:pie3DChart>
        <c:varyColors val="1"/>
        <c:ser>
          <c:idx val="0"/>
          <c:order val="0"/>
          <c:explosion val="20"/>
          <c:dPt>
            <c:idx val="0"/>
            <c:bubble3D val="0"/>
            <c:explosion val="8"/>
            <c:extLst>
              <c:ext xmlns:c16="http://schemas.microsoft.com/office/drawing/2014/chart" uri="{C3380CC4-5D6E-409C-BE32-E72D297353CC}">
                <c16:uniqueId val="{00000001-1685-413C-9487-08D33E324A17}"/>
              </c:ext>
            </c:extLst>
          </c:dPt>
          <c:dPt>
            <c:idx val="1"/>
            <c:bubble3D val="0"/>
            <c:explosion val="1"/>
            <c:extLst>
              <c:ext xmlns:c16="http://schemas.microsoft.com/office/drawing/2014/chart" uri="{C3380CC4-5D6E-409C-BE32-E72D297353CC}">
                <c16:uniqueId val="{00000003-1685-413C-9487-08D33E324A17}"/>
              </c:ext>
            </c:extLst>
          </c:dPt>
          <c:dLbls>
            <c:dLbl>
              <c:idx val="0"/>
              <c:layout>
                <c:manualLayout>
                  <c:x val="-0.12741561209321919"/>
                  <c:y val="3.13064630733312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85-413C-9487-08D33E324A17}"/>
                </c:ext>
              </c:extLst>
            </c:dLbl>
            <c:dLbl>
              <c:idx val="1"/>
              <c:layout>
                <c:manualLayout>
                  <c:x val="0.16391410133627154"/>
                  <c:y val="-9.42485607807311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85-413C-9487-08D33E324A17}"/>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Hárok1!$A$1:$A$2</c:f>
              <c:strCache>
                <c:ptCount val="2"/>
                <c:pt idx="0">
                  <c:v>Muž</c:v>
                </c:pt>
                <c:pt idx="1">
                  <c:v>Žena</c:v>
                </c:pt>
              </c:strCache>
            </c:strRef>
          </c:cat>
          <c:val>
            <c:numRef>
              <c:f>Hárok1!$B$1:$B$2</c:f>
              <c:numCache>
                <c:formatCode>General</c:formatCode>
                <c:ptCount val="2"/>
                <c:pt idx="0">
                  <c:v>860</c:v>
                </c:pt>
                <c:pt idx="1">
                  <c:v>1214</c:v>
                </c:pt>
              </c:numCache>
            </c:numRef>
          </c:val>
          <c:extLst>
            <c:ext xmlns:c16="http://schemas.microsoft.com/office/drawing/2014/chart" uri="{C3380CC4-5D6E-409C-BE32-E72D297353CC}">
              <c16:uniqueId val="{00000004-1685-413C-9487-08D33E324A17}"/>
            </c:ext>
          </c:extLst>
        </c:ser>
        <c:dLbls>
          <c:showLegendKey val="0"/>
          <c:showVal val="1"/>
          <c:showCatName val="0"/>
          <c:showSerName val="0"/>
          <c:showPercent val="0"/>
          <c:showBubbleSize val="0"/>
          <c:showLeaderLines val="1"/>
        </c:dLbls>
      </c:pie3DChart>
    </c:plotArea>
    <c:legend>
      <c:legendPos val="r"/>
      <c:layout>
        <c:manualLayout>
          <c:xMode val="edge"/>
          <c:yMode val="edge"/>
          <c:x val="0.80623218155349985"/>
          <c:y val="0.20476302666891052"/>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7542544672439068"/>
          <c:y val="8.466198285987730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657152408640352"/>
          <c:y val="0.23465219471875406"/>
          <c:w val="0.49472765866359197"/>
          <c:h val="0.63787285567204655"/>
        </c:manualLayout>
      </c:layout>
      <c:pie3DChart>
        <c:varyColors val="1"/>
        <c:ser>
          <c:idx val="0"/>
          <c:order val="0"/>
          <c:explosion val="25"/>
          <c:dPt>
            <c:idx val="0"/>
            <c:bubble3D val="0"/>
            <c:explosion val="14"/>
            <c:extLst>
              <c:ext xmlns:c16="http://schemas.microsoft.com/office/drawing/2014/chart" uri="{C3380CC4-5D6E-409C-BE32-E72D297353CC}">
                <c16:uniqueId val="{00000001-DD4E-4B1E-B7BD-C6BCFE7F6CA4}"/>
              </c:ext>
            </c:extLst>
          </c:dPt>
          <c:dPt>
            <c:idx val="1"/>
            <c:bubble3D val="0"/>
            <c:explosion val="7"/>
            <c:extLst>
              <c:ext xmlns:c16="http://schemas.microsoft.com/office/drawing/2014/chart" uri="{C3380CC4-5D6E-409C-BE32-E72D297353CC}">
                <c16:uniqueId val="{00000003-DD4E-4B1E-B7BD-C6BCFE7F6CA4}"/>
              </c:ext>
            </c:extLst>
          </c:dPt>
          <c:dPt>
            <c:idx val="2"/>
            <c:bubble3D val="0"/>
            <c:explosion val="12"/>
            <c:extLst>
              <c:ext xmlns:c16="http://schemas.microsoft.com/office/drawing/2014/chart" uri="{C3380CC4-5D6E-409C-BE32-E72D297353CC}">
                <c16:uniqueId val="{00000005-DD4E-4B1E-B7BD-C6BCFE7F6CA4}"/>
              </c:ext>
            </c:extLst>
          </c:dPt>
          <c:dPt>
            <c:idx val="3"/>
            <c:bubble3D val="0"/>
            <c:explosion val="16"/>
            <c:extLst>
              <c:ext xmlns:c16="http://schemas.microsoft.com/office/drawing/2014/chart" uri="{C3380CC4-5D6E-409C-BE32-E72D297353CC}">
                <c16:uniqueId val="{00000007-DD4E-4B1E-B7BD-C6BCFE7F6CA4}"/>
              </c:ext>
            </c:extLst>
          </c:dPt>
          <c:dLbls>
            <c:dLbl>
              <c:idx val="0"/>
              <c:layout>
                <c:manualLayout>
                  <c:x val="-0.15050004647826906"/>
                  <c:y val="-0.119034309247255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4E-4B1E-B7BD-C6BCFE7F6CA4}"/>
                </c:ext>
              </c:extLst>
            </c:dLbl>
            <c:dLbl>
              <c:idx val="1"/>
              <c:layout>
                <c:manualLayout>
                  <c:x val="0.12481658139965257"/>
                  <c:y val="5.92545061701537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4E-4B1E-B7BD-C6BCFE7F6CA4}"/>
                </c:ext>
              </c:extLst>
            </c:dLbl>
            <c:dLbl>
              <c:idx val="3"/>
              <c:layout>
                <c:manualLayout>
                  <c:x val="5.955699813489955E-2"/>
                  <c:y val="-2.55524861878453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4E-4B1E-B7BD-C6BCFE7F6CA4}"/>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do 25 - 29 r.</c:v>
                </c:pt>
                <c:pt idx="2">
                  <c:v>do 30 - 49 r.</c:v>
                </c:pt>
                <c:pt idx="3">
                  <c:v>50 a viac r.</c:v>
                </c:pt>
              </c:strCache>
            </c:strRef>
          </c:cat>
          <c:val>
            <c:numRef>
              <c:f>Hárok1!$B$1:$B$4</c:f>
              <c:numCache>
                <c:formatCode>General</c:formatCode>
                <c:ptCount val="4"/>
                <c:pt idx="0">
                  <c:v>1294</c:v>
                </c:pt>
                <c:pt idx="1">
                  <c:v>541</c:v>
                </c:pt>
                <c:pt idx="2">
                  <c:v>227</c:v>
                </c:pt>
                <c:pt idx="3">
                  <c:v>12</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DD4E-4B1E-B7BD-C6BCFE7F6CA4}"/>
            </c:ext>
          </c:extLst>
        </c:ser>
        <c:dLbls>
          <c:showLegendKey val="0"/>
          <c:showVal val="1"/>
          <c:showCatName val="0"/>
          <c:showSerName val="0"/>
          <c:showPercent val="0"/>
          <c:showBubbleSize val="0"/>
          <c:showLeaderLines val="1"/>
        </c:dLbls>
      </c:pie3DChart>
    </c:plotArea>
    <c:legend>
      <c:legendPos val="r"/>
      <c:layout>
        <c:manualLayout>
          <c:xMode val="edge"/>
          <c:yMode val="edge"/>
          <c:x val="0.77374003382253487"/>
          <c:y val="0.15872268383579125"/>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0.19744429217007464"/>
          <c:y val="1.924128669962766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8.6098221801122476E-2"/>
          <c:y val="0.25852460184558379"/>
          <c:w val="0.50122608820978498"/>
          <c:h val="0.65165384850149544"/>
        </c:manualLayout>
      </c:layout>
      <c:pie3DChart>
        <c:varyColors val="1"/>
        <c:ser>
          <c:idx val="0"/>
          <c:order val="0"/>
          <c:explosion val="21"/>
          <c:dPt>
            <c:idx val="0"/>
            <c:bubble3D val="0"/>
            <c:extLst>
              <c:ext xmlns:c16="http://schemas.microsoft.com/office/drawing/2014/chart" uri="{C3380CC4-5D6E-409C-BE32-E72D297353CC}">
                <c16:uniqueId val="{00000001-FC26-4580-B234-B6B9BE0597C1}"/>
              </c:ext>
            </c:extLst>
          </c:dPt>
          <c:dPt>
            <c:idx val="1"/>
            <c:bubble3D val="0"/>
            <c:extLst>
              <c:ext xmlns:c16="http://schemas.microsoft.com/office/drawing/2014/chart" uri="{C3380CC4-5D6E-409C-BE32-E72D297353CC}">
                <c16:uniqueId val="{00000003-FC26-4580-B234-B6B9BE0597C1}"/>
              </c:ext>
            </c:extLst>
          </c:dPt>
          <c:dPt>
            <c:idx val="2"/>
            <c:bubble3D val="0"/>
            <c:extLst>
              <c:ext xmlns:c16="http://schemas.microsoft.com/office/drawing/2014/chart" uri="{C3380CC4-5D6E-409C-BE32-E72D297353CC}">
                <c16:uniqueId val="{00000005-FC26-4580-B234-B6B9BE0597C1}"/>
              </c:ext>
            </c:extLst>
          </c:dPt>
          <c:dPt>
            <c:idx val="3"/>
            <c:bubble3D val="0"/>
            <c:extLst>
              <c:ext xmlns:c16="http://schemas.microsoft.com/office/drawing/2014/chart" uri="{C3380CC4-5D6E-409C-BE32-E72D297353CC}">
                <c16:uniqueId val="{00000007-FC26-4580-B234-B6B9BE0597C1}"/>
              </c:ext>
            </c:extLst>
          </c:dPt>
          <c:dPt>
            <c:idx val="4"/>
            <c:bubble3D val="0"/>
            <c:explosion val="5"/>
            <c:extLst>
              <c:ext xmlns:c16="http://schemas.microsoft.com/office/drawing/2014/chart" uri="{C3380CC4-5D6E-409C-BE32-E72D297353CC}">
                <c16:uniqueId val="{0000000A-3CA8-4C25-A454-1C0AF3764530}"/>
              </c:ext>
            </c:extLst>
          </c:dPt>
          <c:dPt>
            <c:idx val="5"/>
            <c:bubble3D val="0"/>
            <c:explosion val="10"/>
            <c:extLst>
              <c:ext xmlns:c16="http://schemas.microsoft.com/office/drawing/2014/chart" uri="{C3380CC4-5D6E-409C-BE32-E72D297353CC}">
                <c16:uniqueId val="{00000008-3CA8-4C25-A454-1C0AF3764530}"/>
              </c:ext>
            </c:extLst>
          </c:dPt>
          <c:dPt>
            <c:idx val="6"/>
            <c:bubble3D val="0"/>
            <c:explosion val="10"/>
            <c:extLst>
              <c:ext xmlns:c16="http://schemas.microsoft.com/office/drawing/2014/chart" uri="{C3380CC4-5D6E-409C-BE32-E72D297353CC}">
                <c16:uniqueId val="{0000000C-3CA8-4C25-A454-1C0AF3764530}"/>
              </c:ext>
            </c:extLst>
          </c:dPt>
          <c:dPt>
            <c:idx val="7"/>
            <c:bubble3D val="0"/>
            <c:explosion val="7"/>
            <c:extLst>
              <c:ext xmlns:c16="http://schemas.microsoft.com/office/drawing/2014/chart" uri="{C3380CC4-5D6E-409C-BE32-E72D297353CC}">
                <c16:uniqueId val="{0000000B-3CA8-4C25-A454-1C0AF3764530}"/>
              </c:ext>
            </c:extLst>
          </c:dPt>
          <c:dPt>
            <c:idx val="8"/>
            <c:bubble3D val="0"/>
            <c:explosion val="10"/>
            <c:extLst>
              <c:ext xmlns:c16="http://schemas.microsoft.com/office/drawing/2014/chart" uri="{C3380CC4-5D6E-409C-BE32-E72D297353CC}">
                <c16:uniqueId val="{00000009-3CA8-4C25-A454-1C0AF3764530}"/>
              </c:ext>
            </c:extLst>
          </c:dPt>
          <c:dLbls>
            <c:dLbl>
              <c:idx val="0"/>
              <c:layout>
                <c:manualLayout>
                  <c:x val="7.538877579650527E-2"/>
                  <c:y val="-4.43630592687541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26-4580-B234-B6B9BE0597C1}"/>
                </c:ext>
              </c:extLst>
            </c:dLbl>
            <c:dLbl>
              <c:idx val="4"/>
              <c:layout>
                <c:manualLayout>
                  <c:x val="-0.11940224681922341"/>
                  <c:y val="-0.139442104620643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CA8-4C25-A454-1C0AF3764530}"/>
                </c:ext>
              </c:extLst>
            </c:dLbl>
            <c:dLbl>
              <c:idx val="5"/>
              <c:layout>
                <c:manualLayout>
                  <c:x val="5.3679586488383418E-2"/>
                  <c:y val="-0.162340114725478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CA8-4C25-A454-1C0AF3764530}"/>
                </c:ext>
              </c:extLst>
            </c:dLbl>
            <c:dLbl>
              <c:idx val="6"/>
              <c:layout>
                <c:manualLayout>
                  <c:x val="-5.7242465616741244E-3"/>
                  <c:y val="2.21327537677699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CA8-4C25-A454-1C0AF3764530}"/>
                </c:ext>
              </c:extLst>
            </c:dLbl>
            <c:dLbl>
              <c:idx val="7"/>
              <c:layout>
                <c:manualLayout>
                  <c:x val="6.4077926574568622E-2"/>
                  <c:y val="-0.130921076725874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CA8-4C25-A454-1C0AF3764530}"/>
                </c:ext>
              </c:extLst>
            </c:dLbl>
            <c:dLbl>
              <c:idx val="8"/>
              <c:layout>
                <c:manualLayout>
                  <c:x val="0.10108622699645486"/>
                  <c:y val="3.52716230238662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CA8-4C25-A454-1C0AF3764530}"/>
                </c:ext>
              </c:extLst>
            </c:dLbl>
            <c:dLbl>
              <c:idx val="9"/>
              <c:layout>
                <c:manualLayout>
                  <c:x val="-9.895965430401564E-2"/>
                  <c:y val="-3.75801135323200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CA8-4C25-A454-1C0AF3764530}"/>
                </c:ext>
              </c:extLst>
            </c:dLbl>
            <c:dLbl>
              <c:idx val="10"/>
              <c:layout>
                <c:manualLayout>
                  <c:x val="-2.8552155013981859E-3"/>
                  <c:y val="-4.8571690166636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C26-4580-B234-B6B9BE0597C1}"/>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Hárok1!$A$1:$A$11</c:f>
              <c:strCache>
                <c:ptCount val="11"/>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Vyššie odborné vzdelanie </c:v>
                </c:pt>
                <c:pt idx="7">
                  <c:v>Vysokoškolské vzdelanie prvého stupňa</c:v>
                </c:pt>
                <c:pt idx="8">
                  <c:v>Vysokoškolské vzdelanie druhého stupňa</c:v>
                </c:pt>
                <c:pt idx="9">
                  <c:v>Vysokoškolské vzdelanie tretieho stupňa</c:v>
                </c:pt>
                <c:pt idx="10">
                  <c:v>Neurčené</c:v>
                </c:pt>
              </c:strCache>
            </c:strRef>
          </c:cat>
          <c:val>
            <c:numRef>
              <c:f>Hárok1!$B$1:$B$11</c:f>
              <c:numCache>
                <c:formatCode>General</c:formatCode>
                <c:ptCount val="11"/>
                <c:pt idx="0">
                  <c:v>31</c:v>
                </c:pt>
                <c:pt idx="1">
                  <c:v>225</c:v>
                </c:pt>
                <c:pt idx="2">
                  <c:v>30</c:v>
                </c:pt>
                <c:pt idx="3">
                  <c:v>169</c:v>
                </c:pt>
                <c:pt idx="4">
                  <c:v>645</c:v>
                </c:pt>
                <c:pt idx="5">
                  <c:v>102</c:v>
                </c:pt>
                <c:pt idx="6">
                  <c:v>10</c:v>
                </c:pt>
                <c:pt idx="7">
                  <c:v>131</c:v>
                </c:pt>
                <c:pt idx="8">
                  <c:v>725</c:v>
                </c:pt>
                <c:pt idx="9">
                  <c:v>4</c:v>
                </c:pt>
                <c:pt idx="10">
                  <c:v>2</c:v>
                </c:pt>
              </c:numCache>
            </c:numRef>
          </c:val>
          <c:extLst>
            <c:ext xmlns:c16="http://schemas.microsoft.com/office/drawing/2014/chart" uri="{C3380CC4-5D6E-409C-BE32-E72D297353CC}">
              <c16:uniqueId val="{00000009-FC26-4580-B234-B6B9BE0597C1}"/>
            </c:ext>
          </c:extLst>
        </c:ser>
        <c:dLbls>
          <c:showLegendKey val="0"/>
          <c:showVal val="1"/>
          <c:showCatName val="0"/>
          <c:showSerName val="0"/>
          <c:showPercent val="0"/>
          <c:showBubbleSize val="0"/>
          <c:showLeaderLines val="1"/>
        </c:dLbls>
      </c:pie3DChart>
    </c:plotArea>
    <c:legend>
      <c:legendPos val="r"/>
      <c:layout>
        <c:manualLayout>
          <c:xMode val="edge"/>
          <c:yMode val="edge"/>
          <c:x val="0.67208481047526381"/>
          <c:y val="9.6941036440212416E-2"/>
          <c:w val="0.30408761452202859"/>
          <c:h val="0.90305896355978754"/>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SK NACE</a:t>
            </a:r>
            <a:endParaRPr lang="sk-SK" sz="1100">
              <a:effectLst/>
            </a:endParaRPr>
          </a:p>
        </c:rich>
      </c:tx>
      <c:layout>
        <c:manualLayout>
          <c:xMode val="edge"/>
          <c:yMode val="edge"/>
          <c:x val="0.26026244444994034"/>
          <c:y val="3.862146720610200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375337180653782"/>
          <c:y val="0.2683154556052702"/>
          <c:w val="0.47956465638914175"/>
          <c:h val="0.61945664941053635"/>
        </c:manualLayout>
      </c:layout>
      <c:pie3DChart>
        <c:varyColors val="1"/>
        <c:ser>
          <c:idx val="0"/>
          <c:order val="0"/>
          <c:explosion val="25"/>
          <c:dPt>
            <c:idx val="0"/>
            <c:bubble3D val="0"/>
            <c:explosion val="14"/>
            <c:extLst>
              <c:ext xmlns:c16="http://schemas.microsoft.com/office/drawing/2014/chart" uri="{C3380CC4-5D6E-409C-BE32-E72D297353CC}">
                <c16:uniqueId val="{00000001-B9AD-4EEC-A07E-6DDCADD88B7C}"/>
              </c:ext>
            </c:extLst>
          </c:dPt>
          <c:dPt>
            <c:idx val="1"/>
            <c:bubble3D val="0"/>
            <c:explosion val="7"/>
            <c:extLst>
              <c:ext xmlns:c16="http://schemas.microsoft.com/office/drawing/2014/chart" uri="{C3380CC4-5D6E-409C-BE32-E72D297353CC}">
                <c16:uniqueId val="{00000003-B9AD-4EEC-A07E-6DDCADD88B7C}"/>
              </c:ext>
            </c:extLst>
          </c:dPt>
          <c:dPt>
            <c:idx val="2"/>
            <c:bubble3D val="0"/>
            <c:explosion val="12"/>
            <c:extLst>
              <c:ext xmlns:c16="http://schemas.microsoft.com/office/drawing/2014/chart" uri="{C3380CC4-5D6E-409C-BE32-E72D297353CC}">
                <c16:uniqueId val="{00000005-B9AD-4EEC-A07E-6DDCADD88B7C}"/>
              </c:ext>
            </c:extLst>
          </c:dPt>
          <c:dLbls>
            <c:dLbl>
              <c:idx val="19"/>
              <c:layout>
                <c:manualLayout>
                  <c:x val="-6.8915760056149163E-4"/>
                  <c:y val="-9.84331723727904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9AD-4EEC-A07E-6DDCADD88B7C}"/>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Hárok1!$A$1:$A$20</c:f>
              <c:strCache>
                <c:ptCount val="20"/>
                <c:pt idx="0">
                  <c:v>Pôdohospodárstvo</c:v>
                </c:pt>
                <c:pt idx="1">
                  <c:v>Ťažba a dobývanie</c:v>
                </c:pt>
                <c:pt idx="2">
                  <c:v>Priemyselná výroba</c:v>
                </c:pt>
                <c:pt idx="3">
                  <c:v>Dod.elektriny, plynu, pary</c:v>
                </c:pt>
                <c:pt idx="4">
                  <c:v>Dodávka vody</c:v>
                </c:pt>
                <c:pt idx="5">
                  <c:v>Stavebníctvo</c:v>
                </c:pt>
                <c:pt idx="6">
                  <c:v>Veľkoobchod a maloobchod</c:v>
                </c:pt>
                <c:pt idx="7">
                  <c:v>Doprava a skladovanie</c:v>
                </c:pt>
                <c:pt idx="8">
                  <c:v>Ubytovanie a strav.služ.</c:v>
                </c:pt>
                <c:pt idx="9">
                  <c:v>Informácie a komunikácia</c:v>
                </c:pt>
                <c:pt idx="10">
                  <c:v>Finančné a poisťov.čin.</c:v>
                </c:pt>
                <c:pt idx="11">
                  <c:v>Čin.v obl.nehnuteľností</c:v>
                </c:pt>
                <c:pt idx="12">
                  <c:v>Odborné, vedec, techn.čin.</c:v>
                </c:pt>
                <c:pt idx="13">
                  <c:v>Administratívne služby</c:v>
                </c:pt>
                <c:pt idx="14">
                  <c:v>Verej.správa, socál.zab.</c:v>
                </c:pt>
                <c:pt idx="15">
                  <c:v>Vzdelávanie</c:v>
                </c:pt>
                <c:pt idx="16">
                  <c:v>Zdravotníctvo a soc.pom.</c:v>
                </c:pt>
                <c:pt idx="17">
                  <c:v>Umenie,zábava,rekreácia</c:v>
                </c:pt>
                <c:pt idx="18">
                  <c:v>Ostatné činnosti</c:v>
                </c:pt>
                <c:pt idx="19">
                  <c:v>Neurčené</c:v>
                </c:pt>
              </c:strCache>
            </c:strRef>
          </c:cat>
          <c:val>
            <c:numRef>
              <c:f>Hárok1!$B$1:$B$20</c:f>
              <c:numCache>
                <c:formatCode>General</c:formatCode>
                <c:ptCount val="20"/>
                <c:pt idx="0">
                  <c:v>30</c:v>
                </c:pt>
                <c:pt idx="1">
                  <c:v>1</c:v>
                </c:pt>
                <c:pt idx="2">
                  <c:v>325</c:v>
                </c:pt>
                <c:pt idx="3">
                  <c:v>9</c:v>
                </c:pt>
                <c:pt idx="4">
                  <c:v>16</c:v>
                </c:pt>
                <c:pt idx="5">
                  <c:v>104</c:v>
                </c:pt>
                <c:pt idx="6">
                  <c:v>332</c:v>
                </c:pt>
                <c:pt idx="7">
                  <c:v>42</c:v>
                </c:pt>
                <c:pt idx="8">
                  <c:v>105</c:v>
                </c:pt>
                <c:pt idx="9">
                  <c:v>40</c:v>
                </c:pt>
                <c:pt idx="10">
                  <c:v>21</c:v>
                </c:pt>
                <c:pt idx="11">
                  <c:v>23</c:v>
                </c:pt>
                <c:pt idx="12">
                  <c:v>177</c:v>
                </c:pt>
                <c:pt idx="13">
                  <c:v>143</c:v>
                </c:pt>
                <c:pt idx="14">
                  <c:v>176</c:v>
                </c:pt>
                <c:pt idx="15">
                  <c:v>185</c:v>
                </c:pt>
                <c:pt idx="16">
                  <c:v>259</c:v>
                </c:pt>
                <c:pt idx="17">
                  <c:v>16</c:v>
                </c:pt>
                <c:pt idx="18">
                  <c:v>61</c:v>
                </c:pt>
                <c:pt idx="19">
                  <c:v>9</c:v>
                </c:pt>
              </c:numCache>
            </c:numRef>
          </c:val>
          <c:extLst>
            <c:ext xmlns:c16="http://schemas.microsoft.com/office/drawing/2014/chart" uri="{C3380CC4-5D6E-409C-BE32-E72D297353CC}">
              <c16:uniqueId val="{00000007-B9AD-4EEC-A07E-6DDCADD88B7C}"/>
            </c:ext>
          </c:extLst>
        </c:ser>
        <c:dLbls>
          <c:showLegendKey val="0"/>
          <c:showVal val="1"/>
          <c:showCatName val="0"/>
          <c:showSerName val="0"/>
          <c:showPercent val="0"/>
          <c:showBubbleSize val="0"/>
          <c:showLeaderLines val="1"/>
        </c:dLbls>
      </c:pie3DChart>
    </c:plotArea>
    <c:legend>
      <c:legendPos val="r"/>
      <c:layout>
        <c:manualLayout>
          <c:xMode val="edge"/>
          <c:yMode val="edge"/>
          <c:x val="0.67409744744757538"/>
          <c:y val="8.7808887412646613E-2"/>
          <c:w val="0.28299296174028282"/>
          <c:h val="0.86996580762392295"/>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pracovných miest podľa SK ISCO</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591951498860216"/>
          <c:y val="0.2828261063836125"/>
          <c:w val="0.44923865184024098"/>
          <c:h val="0.58353705156338442"/>
        </c:manualLayout>
      </c:layout>
      <c:pie3DChart>
        <c:varyColors val="1"/>
        <c:ser>
          <c:idx val="0"/>
          <c:order val="0"/>
          <c:explosion val="21"/>
          <c:dPt>
            <c:idx val="2"/>
            <c:bubble3D val="0"/>
            <c:explosion val="15"/>
            <c:extLst>
              <c:ext xmlns:c16="http://schemas.microsoft.com/office/drawing/2014/chart" uri="{C3380CC4-5D6E-409C-BE32-E72D297353CC}">
                <c16:uniqueId val="{00000001-5C26-4235-B01F-15127B837CEE}"/>
              </c:ext>
            </c:extLst>
          </c:dPt>
          <c:dPt>
            <c:idx val="3"/>
            <c:bubble3D val="0"/>
            <c:explosion val="7"/>
            <c:extLst>
              <c:ext xmlns:c16="http://schemas.microsoft.com/office/drawing/2014/chart" uri="{C3380CC4-5D6E-409C-BE32-E72D297353CC}">
                <c16:uniqueId val="{00000003-5C26-4235-B01F-15127B837CEE}"/>
              </c:ext>
            </c:extLst>
          </c:dPt>
          <c:dPt>
            <c:idx val="4"/>
            <c:bubble3D val="0"/>
            <c:explosion val="8"/>
            <c:extLst>
              <c:ext xmlns:c16="http://schemas.microsoft.com/office/drawing/2014/chart" uri="{C3380CC4-5D6E-409C-BE32-E72D297353CC}">
                <c16:uniqueId val="{00000005-5C26-4235-B01F-15127B837CEE}"/>
              </c:ext>
            </c:extLst>
          </c:dPt>
          <c:dPt>
            <c:idx val="5"/>
            <c:bubble3D val="0"/>
            <c:explosion val="14"/>
            <c:extLst>
              <c:ext xmlns:c16="http://schemas.microsoft.com/office/drawing/2014/chart" uri="{C3380CC4-5D6E-409C-BE32-E72D297353CC}">
                <c16:uniqueId val="{00000007-5C26-4235-B01F-15127B837CEE}"/>
              </c:ext>
            </c:extLst>
          </c:dPt>
          <c:dPt>
            <c:idx val="6"/>
            <c:bubble3D val="0"/>
            <c:explosion val="17"/>
            <c:extLst>
              <c:ext xmlns:c16="http://schemas.microsoft.com/office/drawing/2014/chart" uri="{C3380CC4-5D6E-409C-BE32-E72D297353CC}">
                <c16:uniqueId val="{0000000B-5C26-4235-B01F-15127B837CEE}"/>
              </c:ext>
            </c:extLst>
          </c:dPt>
          <c:dPt>
            <c:idx val="7"/>
            <c:bubble3D val="0"/>
            <c:explosion val="17"/>
            <c:extLst>
              <c:ext xmlns:c16="http://schemas.microsoft.com/office/drawing/2014/chart" uri="{C3380CC4-5D6E-409C-BE32-E72D297353CC}">
                <c16:uniqueId val="{0000000C-5C26-4235-B01F-15127B837CEE}"/>
              </c:ext>
            </c:extLst>
          </c:dPt>
          <c:dPt>
            <c:idx val="9"/>
            <c:bubble3D val="0"/>
            <c:extLst>
              <c:ext xmlns:c16="http://schemas.microsoft.com/office/drawing/2014/chart" uri="{C3380CC4-5D6E-409C-BE32-E72D297353CC}">
                <c16:uniqueId val="{00000009-5C26-4235-B01F-15127B837CEE}"/>
              </c:ext>
            </c:extLst>
          </c:dPt>
          <c:dLbls>
            <c:dLbl>
              <c:idx val="1"/>
              <c:layout>
                <c:manualLayout>
                  <c:x val="4.344600973399932E-2"/>
                  <c:y val="-1.57314509847269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C26-4235-B01F-15127B837CEE}"/>
                </c:ext>
              </c:extLst>
            </c:dLbl>
            <c:dLbl>
              <c:idx val="2"/>
              <c:layout>
                <c:manualLayout>
                  <c:x val="-7.7337281285631568E-2"/>
                  <c:y val="4.61573801410379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26-4235-B01F-15127B837CEE}"/>
                </c:ext>
              </c:extLst>
            </c:dLbl>
            <c:dLbl>
              <c:idx val="3"/>
              <c:layout>
                <c:manualLayout>
                  <c:x val="-9.483971819671147E-2"/>
                  <c:y val="-0.110071797068358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26-4235-B01F-15127B837CEE}"/>
                </c:ext>
              </c:extLst>
            </c:dLbl>
            <c:dLbl>
              <c:idx val="4"/>
              <c:layout>
                <c:manualLayout>
                  <c:x val="-5.1987436369544025E-2"/>
                  <c:y val="-0.166703224391313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26-4235-B01F-15127B837CEE}"/>
                </c:ext>
              </c:extLst>
            </c:dLbl>
            <c:dLbl>
              <c:idx val="5"/>
              <c:layout>
                <c:manualLayout>
                  <c:x val="9.8469116682628463E-2"/>
                  <c:y val="-0.1398624853841065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26-4235-B01F-15127B837CEE}"/>
                </c:ext>
              </c:extLst>
            </c:dLbl>
            <c:dLbl>
              <c:idx val="6"/>
              <c:layout>
                <c:manualLayout>
                  <c:x val="1.1037096481211267E-3"/>
                  <c:y val="6.84139531911440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C26-4235-B01F-15127B837CEE}"/>
                </c:ext>
              </c:extLst>
            </c:dLbl>
            <c:dLbl>
              <c:idx val="7"/>
              <c:layout>
                <c:manualLayout>
                  <c:x val="-2.8340657569433842E-2"/>
                  <c:y val="-4.971130911772681E-2"/>
                </c:manualLayout>
              </c:layout>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6.1431820643344529E-2"/>
                      <c:h val="9.2059834920283995E-2"/>
                    </c:manualLayout>
                  </c15:layout>
                </c:ext>
                <c:ext xmlns:c16="http://schemas.microsoft.com/office/drawing/2014/chart" uri="{C3380CC4-5D6E-409C-BE32-E72D297353CC}">
                  <c16:uniqueId val="{0000000C-5C26-4235-B01F-15127B837CEE}"/>
                </c:ext>
              </c:extLst>
            </c:dLbl>
            <c:dLbl>
              <c:idx val="8"/>
              <c:layout>
                <c:manualLayout>
                  <c:x val="-1.4702313082737298E-2"/>
                  <c:y val="-5.12849032717148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C26-4235-B01F-15127B837CEE}"/>
                </c:ext>
              </c:extLst>
            </c:dLbl>
            <c:dLbl>
              <c:idx val="9"/>
              <c:layout>
                <c:manualLayout>
                  <c:x val="5.5861250853878254E-2"/>
                  <c:y val="6.95041218114899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C26-4235-B01F-15127B837CEE}"/>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Príslušníci ozbrojených síl</c:v>
                </c:pt>
                <c:pt idx="1">
                  <c:v>Zákonodarcovia, riadiaci pracovníci</c:v>
                </c:pt>
                <c:pt idx="2">
                  <c:v>Špecialisti</c:v>
                </c:pt>
                <c:pt idx="3">
                  <c:v>Technici a odborní pracovníci</c:v>
                </c:pt>
                <c:pt idx="4">
                  <c:v>Administratívni pracovníci</c:v>
                </c:pt>
                <c:pt idx="5">
                  <c:v>Pracovníci v službách a obchode</c:v>
                </c:pt>
                <c:pt idx="6">
                  <c:v>Kvalifikovaní pracovníci v poľnohospodárstve, lesníctve a rybárstve</c:v>
                </c:pt>
                <c:pt idx="7">
                  <c:v>Kvalifikovaní pracovníci a remeselníci </c:v>
                </c:pt>
                <c:pt idx="8">
                  <c:v>Operátori a montéri strojov a zariadení</c:v>
                </c:pt>
                <c:pt idx="9">
                  <c:v>Pomocní a nekvalifikovaní pracovníci </c:v>
                </c:pt>
              </c:strCache>
            </c:strRef>
          </c:cat>
          <c:val>
            <c:numRef>
              <c:f>Hárok1!$B$1:$B$10</c:f>
              <c:numCache>
                <c:formatCode>General</c:formatCode>
                <c:ptCount val="10"/>
                <c:pt idx="0">
                  <c:v>6</c:v>
                </c:pt>
                <c:pt idx="1">
                  <c:v>32</c:v>
                </c:pt>
                <c:pt idx="2">
                  <c:v>543</c:v>
                </c:pt>
                <c:pt idx="3">
                  <c:v>241</c:v>
                </c:pt>
                <c:pt idx="4">
                  <c:v>245</c:v>
                </c:pt>
                <c:pt idx="5">
                  <c:v>402</c:v>
                </c:pt>
                <c:pt idx="6">
                  <c:v>8</c:v>
                </c:pt>
                <c:pt idx="7">
                  <c:v>112</c:v>
                </c:pt>
                <c:pt idx="8">
                  <c:v>162</c:v>
                </c:pt>
                <c:pt idx="9">
                  <c:v>323</c:v>
                </c:pt>
              </c:numCache>
            </c:numRef>
          </c:val>
          <c:extLst>
            <c:ext xmlns:c16="http://schemas.microsoft.com/office/drawing/2014/chart" uri="{C3380CC4-5D6E-409C-BE32-E72D297353CC}">
              <c16:uniqueId val="{0000000E-5C26-4235-B01F-15127B837CEE}"/>
            </c:ext>
          </c:extLst>
        </c:ser>
        <c:dLbls>
          <c:showLegendKey val="0"/>
          <c:showVal val="1"/>
          <c:showCatName val="0"/>
          <c:showSerName val="0"/>
          <c:showPercent val="0"/>
          <c:showBubbleSize val="0"/>
          <c:showLeaderLines val="1"/>
        </c:dLbls>
      </c:pie3DChart>
    </c:plotArea>
    <c:legend>
      <c:legendPos val="r"/>
      <c:layout>
        <c:manualLayout>
          <c:xMode val="edge"/>
          <c:yMode val="edge"/>
          <c:x val="0.66326673153725368"/>
          <c:y val="2.6748184944593044E-2"/>
          <c:w val="0.29382367765060452"/>
          <c:h val="0.97325181505540681"/>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20827500808039631"/>
          <c:y val="8.466198285987730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54147364298159"/>
          <c:y val="0.21507383462051269"/>
          <c:w val="0.5033922313918493"/>
          <c:h val="0.65284697240320988"/>
        </c:manualLayout>
      </c:layout>
      <c:pie3DChart>
        <c:varyColors val="1"/>
        <c:ser>
          <c:idx val="0"/>
          <c:order val="0"/>
          <c:explosion val="25"/>
          <c:dPt>
            <c:idx val="0"/>
            <c:bubble3D val="0"/>
            <c:explosion val="10"/>
            <c:extLst>
              <c:ext xmlns:c16="http://schemas.microsoft.com/office/drawing/2014/chart" uri="{C3380CC4-5D6E-409C-BE32-E72D297353CC}">
                <c16:uniqueId val="{00000001-E17A-4F90-AAE1-3066A65478EB}"/>
              </c:ext>
            </c:extLst>
          </c:dPt>
          <c:dPt>
            <c:idx val="1"/>
            <c:bubble3D val="0"/>
            <c:explosion val="7"/>
            <c:extLst>
              <c:ext xmlns:c16="http://schemas.microsoft.com/office/drawing/2014/chart" uri="{C3380CC4-5D6E-409C-BE32-E72D297353CC}">
                <c16:uniqueId val="{00000003-E17A-4F90-AAE1-3066A65478EB}"/>
              </c:ext>
            </c:extLst>
          </c:dPt>
          <c:dPt>
            <c:idx val="2"/>
            <c:bubble3D val="0"/>
            <c:explosion val="5"/>
            <c:extLst>
              <c:ext xmlns:c16="http://schemas.microsoft.com/office/drawing/2014/chart" uri="{C3380CC4-5D6E-409C-BE32-E72D297353CC}">
                <c16:uniqueId val="{00000005-E17A-4F90-AAE1-3066A65478EB}"/>
              </c:ext>
            </c:extLst>
          </c:dPt>
          <c:dPt>
            <c:idx val="3"/>
            <c:bubble3D val="0"/>
            <c:explosion val="11"/>
            <c:extLst>
              <c:ext xmlns:c16="http://schemas.microsoft.com/office/drawing/2014/chart" uri="{C3380CC4-5D6E-409C-BE32-E72D297353CC}">
                <c16:uniqueId val="{00000007-E17A-4F90-AAE1-3066A65478EB}"/>
              </c:ext>
            </c:extLst>
          </c:dPt>
          <c:dPt>
            <c:idx val="4"/>
            <c:bubble3D val="0"/>
            <c:explosion val="14"/>
            <c:extLst>
              <c:ext xmlns:c16="http://schemas.microsoft.com/office/drawing/2014/chart" uri="{C3380CC4-5D6E-409C-BE32-E72D297353CC}">
                <c16:uniqueId val="{00000004-7139-4A30-95C5-C49DBD4F211D}"/>
              </c:ext>
            </c:extLst>
          </c:dPt>
          <c:dLbls>
            <c:dLbl>
              <c:idx val="0"/>
              <c:layout>
                <c:manualLayout>
                  <c:x val="-0.10873356524141836"/>
                  <c:y val="4.94515022682867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7A-4F90-AAE1-3066A65478EB}"/>
                </c:ext>
              </c:extLst>
            </c:dLbl>
            <c:dLbl>
              <c:idx val="1"/>
              <c:layout>
                <c:manualLayout>
                  <c:x val="-7.9331412231545356E-2"/>
                  <c:y val="-0.184258341509228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7A-4F90-AAE1-3066A65478EB}"/>
                </c:ext>
              </c:extLst>
            </c:dLbl>
            <c:dLbl>
              <c:idx val="2"/>
              <c:layout>
                <c:manualLayout>
                  <c:x val="0.10700269744523026"/>
                  <c:y val="-0.117970030104064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7A-4F90-AAE1-3066A65478EB}"/>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681</c:v>
                </c:pt>
                <c:pt idx="1">
                  <c:v>478</c:v>
                </c:pt>
                <c:pt idx="2">
                  <c:v>494</c:v>
                </c:pt>
                <c:pt idx="3">
                  <c:v>259</c:v>
                </c:pt>
                <c:pt idx="4">
                  <c:v>162</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E17A-4F90-AAE1-3066A65478EB}"/>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2560415353691099"/>
          <c:y val="9.117846018186477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491009226576021"/>
          <c:y val="0.25172816102656664"/>
          <c:w val="0.46440165411469131"/>
          <c:h val="0.6012583781787737"/>
        </c:manualLayout>
      </c:layout>
      <c:pie3DChart>
        <c:varyColors val="1"/>
        <c:ser>
          <c:idx val="0"/>
          <c:order val="0"/>
          <c:explosion val="25"/>
          <c:dPt>
            <c:idx val="0"/>
            <c:bubble3D val="0"/>
            <c:explosion val="14"/>
            <c:extLst>
              <c:ext xmlns:c16="http://schemas.microsoft.com/office/drawing/2014/chart" uri="{C3380CC4-5D6E-409C-BE32-E72D297353CC}">
                <c16:uniqueId val="{00000001-E3CB-4FC5-BB2F-F72D81E24E3D}"/>
              </c:ext>
            </c:extLst>
          </c:dPt>
          <c:dPt>
            <c:idx val="1"/>
            <c:bubble3D val="0"/>
            <c:explosion val="7"/>
            <c:extLst>
              <c:ext xmlns:c16="http://schemas.microsoft.com/office/drawing/2014/chart" uri="{C3380CC4-5D6E-409C-BE32-E72D297353CC}">
                <c16:uniqueId val="{00000003-E3CB-4FC5-BB2F-F72D81E24E3D}"/>
              </c:ext>
            </c:extLst>
          </c:dPt>
          <c:dPt>
            <c:idx val="2"/>
            <c:bubble3D val="0"/>
            <c:explosion val="12"/>
            <c:extLst>
              <c:ext xmlns:c16="http://schemas.microsoft.com/office/drawing/2014/chart" uri="{C3380CC4-5D6E-409C-BE32-E72D297353CC}">
                <c16:uniqueId val="{00000005-E3CB-4FC5-BB2F-F72D81E24E3D}"/>
              </c:ext>
            </c:extLst>
          </c:dPt>
          <c:dPt>
            <c:idx val="3"/>
            <c:bubble3D val="0"/>
            <c:explosion val="16"/>
            <c:extLst>
              <c:ext xmlns:c16="http://schemas.microsoft.com/office/drawing/2014/chart" uri="{C3380CC4-5D6E-409C-BE32-E72D297353CC}">
                <c16:uniqueId val="{00000007-E3CB-4FC5-BB2F-F72D81E24E3D}"/>
              </c:ext>
            </c:extLst>
          </c:dPt>
          <c:dLbls>
            <c:dLbl>
              <c:idx val="0"/>
              <c:layout>
                <c:manualLayout>
                  <c:x val="-6.2909744318351418E-2"/>
                  <c:y val="8.33980349181639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CB-4FC5-BB2F-F72D81E24E3D}"/>
                </c:ext>
              </c:extLst>
            </c:dLbl>
            <c:dLbl>
              <c:idx val="1"/>
              <c:layout>
                <c:manualLayout>
                  <c:x val="-0.11248133407130022"/>
                  <c:y val="1.67625650796075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CB-4FC5-BB2F-F72D81E24E3D}"/>
                </c:ext>
              </c:extLst>
            </c:dLbl>
            <c:dLbl>
              <c:idx val="2"/>
              <c:layout>
                <c:manualLayout>
                  <c:x val="8.6408474907277988E-2"/>
                  <c:y val="-0.211135357625475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CB-4FC5-BB2F-F72D81E24E3D}"/>
                </c:ext>
              </c:extLst>
            </c:dLbl>
            <c:dLbl>
              <c:idx val="3"/>
              <c:layout>
                <c:manualLayout>
                  <c:x val="9.0766516202153993E-2"/>
                  <c:y val="6.14138211498577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CB-4FC5-BB2F-F72D81E24E3D}"/>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2966</c:v>
                </c:pt>
                <c:pt idx="1">
                  <c:v>3218</c:v>
                </c:pt>
                <c:pt idx="2">
                  <c:v>11804</c:v>
                </c:pt>
                <c:pt idx="3">
                  <c:v>4278</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E3CB-4FC5-BB2F-F72D81E24E3D}"/>
            </c:ext>
          </c:extLst>
        </c:ser>
        <c:dLbls>
          <c:showLegendKey val="0"/>
          <c:showVal val="1"/>
          <c:showCatName val="0"/>
          <c:showSerName val="0"/>
          <c:showPercent val="0"/>
          <c:showBubbleSize val="0"/>
          <c:showLeaderLines val="1"/>
        </c:dLbls>
      </c:pie3DChart>
    </c:plotArea>
    <c:legend>
      <c:legendPos val="r"/>
      <c:layout>
        <c:manualLayout>
          <c:xMode val="edge"/>
          <c:yMode val="edge"/>
          <c:x val="0.75207860200189136"/>
          <c:y val="0.20476302666891052"/>
          <c:w val="0.20501180718596682"/>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 hľadiska návratu do evidencie </a:t>
            </a:r>
            <a:endParaRPr lang="sk-SK" sz="1100">
              <a:effectLst/>
            </a:endParaRPr>
          </a:p>
        </c:rich>
      </c:tx>
      <c:layout>
        <c:manualLayout>
          <c:xMode val="edge"/>
          <c:yMode val="edge"/>
          <c:x val="0.21260729444452497"/>
          <c:y val="7.344169030013794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591951498860219"/>
          <c:y val="0.21900251043157146"/>
          <c:w val="0.50555837457391362"/>
          <c:h val="0.65377395834225838"/>
        </c:manualLayout>
      </c:layout>
      <c:pie3DChart>
        <c:varyColors val="1"/>
        <c:ser>
          <c:idx val="0"/>
          <c:order val="0"/>
          <c:explosion val="25"/>
          <c:dPt>
            <c:idx val="0"/>
            <c:bubble3D val="0"/>
            <c:explosion val="14"/>
            <c:extLst>
              <c:ext xmlns:c16="http://schemas.microsoft.com/office/drawing/2014/chart" uri="{C3380CC4-5D6E-409C-BE32-E72D297353CC}">
                <c16:uniqueId val="{00000001-F4E7-48BC-8FAF-EFF7665583E7}"/>
              </c:ext>
            </c:extLst>
          </c:dPt>
          <c:dPt>
            <c:idx val="1"/>
            <c:bubble3D val="0"/>
            <c:explosion val="23"/>
            <c:extLst>
              <c:ext xmlns:c16="http://schemas.microsoft.com/office/drawing/2014/chart" uri="{C3380CC4-5D6E-409C-BE32-E72D297353CC}">
                <c16:uniqueId val="{00000003-F4E7-48BC-8FAF-EFF7665583E7}"/>
              </c:ext>
            </c:extLst>
          </c:dPt>
          <c:dPt>
            <c:idx val="2"/>
            <c:bubble3D val="0"/>
            <c:explosion val="12"/>
            <c:extLst>
              <c:ext xmlns:c16="http://schemas.microsoft.com/office/drawing/2014/chart" uri="{C3380CC4-5D6E-409C-BE32-E72D297353CC}">
                <c16:uniqueId val="{00000005-F4E7-48BC-8FAF-EFF7665583E7}"/>
              </c:ext>
            </c:extLst>
          </c:dPt>
          <c:dLbls>
            <c:dLbl>
              <c:idx val="0"/>
              <c:layout>
                <c:manualLayout>
                  <c:x val="-7.7071886105214857E-2"/>
                  <c:y val="5.612193848697085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E7-48BC-8FAF-EFF7665583E7}"/>
                </c:ext>
              </c:extLst>
            </c:dLbl>
            <c:dLbl>
              <c:idx val="1"/>
              <c:layout>
                <c:manualLayout>
                  <c:x val="-7.2642720266486785E-2"/>
                  <c:y val="-0.21156033845216862"/>
                </c:manualLayout>
              </c:layout>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7.1309433553557885E-2"/>
                      <c:h val="7.8199997099810029E-2"/>
                    </c:manualLayout>
                  </c15:layout>
                </c:ext>
                <c:ext xmlns:c16="http://schemas.microsoft.com/office/drawing/2014/chart" uri="{C3380CC4-5D6E-409C-BE32-E72D297353CC}">
                  <c16:uniqueId val="{00000003-F4E7-48BC-8FAF-EFF7665583E7}"/>
                </c:ext>
              </c:extLst>
            </c:dLbl>
            <c:dLbl>
              <c:idx val="2"/>
              <c:layout>
                <c:manualLayout>
                  <c:x val="9.0928209409760097E-2"/>
                  <c:y val="3.82303040849174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E7-48BC-8FAF-EFF7665583E7}"/>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Hárok1!$A$1:$A$3</c:f>
              <c:strCache>
                <c:ptCount val="3"/>
                <c:pt idx="0">
                  <c:v>do 1 mesiaca</c:v>
                </c:pt>
                <c:pt idx="1">
                  <c:v>do 3 mesiacov</c:v>
                </c:pt>
                <c:pt idx="2">
                  <c:v>do 6 mesiacov</c:v>
                </c:pt>
              </c:strCache>
            </c:strRef>
          </c:cat>
          <c:val>
            <c:numRef>
              <c:f>Hárok1!$B$1:$B$3</c:f>
              <c:numCache>
                <c:formatCode>General</c:formatCode>
                <c:ptCount val="3"/>
                <c:pt idx="0">
                  <c:v>175</c:v>
                </c:pt>
                <c:pt idx="1">
                  <c:v>259</c:v>
                </c:pt>
                <c:pt idx="2">
                  <c:v>276</c:v>
                </c:pt>
              </c:numCache>
            </c:numRef>
          </c:val>
          <c:extLst>
            <c:ext xmlns:c16="http://schemas.microsoft.com/office/drawing/2014/chart" uri="{C3380CC4-5D6E-409C-BE32-E72D297353CC}">
              <c16:uniqueId val="{00000006-F4E7-48BC-8FAF-EFF7665583E7}"/>
            </c:ext>
          </c:extLst>
        </c:ser>
        <c:dLbls>
          <c:showLegendKey val="0"/>
          <c:showVal val="1"/>
          <c:showCatName val="0"/>
          <c:showSerName val="0"/>
          <c:showPercent val="0"/>
          <c:showBubbleSize val="0"/>
          <c:showLeaderLines val="1"/>
        </c:dLbls>
      </c:pie3DChart>
    </c:plotArea>
    <c:legend>
      <c:legendPos val="r"/>
      <c:layout>
        <c:manualLayout>
          <c:xMode val="edge"/>
          <c:yMode val="edge"/>
          <c:x val="0.67409744744757538"/>
          <c:y val="0.14491052913965863"/>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z hľadiska znevýhodnenia</a:t>
            </a:r>
            <a:endParaRPr lang="sk-SK" sz="1100">
              <a:effectLst/>
            </a:endParaRPr>
          </a:p>
        </c:rich>
      </c:tx>
      <c:layout>
        <c:manualLayout>
          <c:xMode val="edge"/>
          <c:yMode val="edge"/>
          <c:x val="0.22560415353691099"/>
          <c:y val="2.941336407534693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407937635543854"/>
          <c:y val="0.26602999926214038"/>
          <c:w val="0.45573708138643398"/>
          <c:h val="0.58849012425859426"/>
        </c:manualLayout>
      </c:layout>
      <c:pie3DChart>
        <c:varyColors val="1"/>
        <c:ser>
          <c:idx val="0"/>
          <c:order val="0"/>
          <c:explosion val="9"/>
          <c:dPt>
            <c:idx val="0"/>
            <c:bubble3D val="0"/>
            <c:extLst>
              <c:ext xmlns:c16="http://schemas.microsoft.com/office/drawing/2014/chart" uri="{C3380CC4-5D6E-409C-BE32-E72D297353CC}">
                <c16:uniqueId val="{00000001-1AA5-46CC-BDAF-A0E7C48590C7}"/>
              </c:ext>
            </c:extLst>
          </c:dPt>
          <c:dPt>
            <c:idx val="1"/>
            <c:bubble3D val="0"/>
            <c:extLst>
              <c:ext xmlns:c16="http://schemas.microsoft.com/office/drawing/2014/chart" uri="{C3380CC4-5D6E-409C-BE32-E72D297353CC}">
                <c16:uniqueId val="{00000003-1AA5-46CC-BDAF-A0E7C48590C7}"/>
              </c:ext>
            </c:extLst>
          </c:dPt>
          <c:dPt>
            <c:idx val="2"/>
            <c:bubble3D val="0"/>
            <c:extLst>
              <c:ext xmlns:c16="http://schemas.microsoft.com/office/drawing/2014/chart" uri="{C3380CC4-5D6E-409C-BE32-E72D297353CC}">
                <c16:uniqueId val="{00000005-1AA5-46CC-BDAF-A0E7C48590C7}"/>
              </c:ext>
            </c:extLst>
          </c:dPt>
          <c:dPt>
            <c:idx val="3"/>
            <c:bubble3D val="0"/>
            <c:explosion val="4"/>
            <c:extLst>
              <c:ext xmlns:c16="http://schemas.microsoft.com/office/drawing/2014/chart" uri="{C3380CC4-5D6E-409C-BE32-E72D297353CC}">
                <c16:uniqueId val="{00000007-1AA5-46CC-BDAF-A0E7C48590C7}"/>
              </c:ext>
            </c:extLst>
          </c:dPt>
          <c:dLbls>
            <c:dLbl>
              <c:idx val="0"/>
              <c:layout>
                <c:manualLayout>
                  <c:x val="-7.2739599741086194E-2"/>
                  <c:y val="6.9934093183103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A5-46CC-BDAF-A0E7C48590C7}"/>
                </c:ext>
              </c:extLst>
            </c:dLbl>
            <c:dLbl>
              <c:idx val="1"/>
              <c:layout>
                <c:manualLayout>
                  <c:x val="-3.3261384404280774E-3"/>
                  <c:y val="-0.12868741027537303"/>
                </c:manualLayout>
              </c:layout>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7.1309433553557885E-2"/>
                      <c:h val="7.8199997099810029E-2"/>
                    </c:manualLayout>
                  </c15:layout>
                </c:ext>
                <c:ext xmlns:c16="http://schemas.microsoft.com/office/drawing/2014/chart" uri="{C3380CC4-5D6E-409C-BE32-E72D297353CC}">
                  <c16:uniqueId val="{00000003-1AA5-46CC-BDAF-A0E7C48590C7}"/>
                </c:ext>
              </c:extLst>
            </c:dLbl>
            <c:dLbl>
              <c:idx val="2"/>
              <c:layout>
                <c:manualLayout>
                  <c:x val="-8.6695531519515326E-2"/>
                  <c:y val="-0.146681290462652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A5-46CC-BDAF-A0E7C48590C7}"/>
                </c:ext>
              </c:extLst>
            </c:dLbl>
            <c:dLbl>
              <c:idx val="3"/>
              <c:layout>
                <c:manualLayout>
                  <c:x val="-5.6608143845552364E-2"/>
                  <c:y val="-0.1882018907370355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A5-46CC-BDAF-A0E7C48590C7}"/>
                </c:ext>
              </c:extLst>
            </c:dLbl>
            <c:dLbl>
              <c:idx val="4"/>
              <c:layout>
                <c:manualLayout>
                  <c:x val="0.14890272908456567"/>
                  <c:y val="-7.754660867058839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1309433553557885E-2"/>
                      <c:h val="6.4387842403677426E-2"/>
                    </c:manualLayout>
                  </c15:layout>
                </c:ext>
                <c:ext xmlns:c16="http://schemas.microsoft.com/office/drawing/2014/chart" uri="{C3380CC4-5D6E-409C-BE32-E72D297353CC}">
                  <c16:uniqueId val="{00000008-1AA5-46CC-BDAF-A0E7C48590C7}"/>
                </c:ext>
              </c:extLst>
            </c:dLbl>
            <c:dLbl>
              <c:idx val="5"/>
              <c:layout>
                <c:manualLayout>
                  <c:x val="-7.322851701914819E-2"/>
                  <c:y val="-1.41489392555212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CB7-4598-8DCC-D3D0C17645D0}"/>
                </c:ext>
              </c:extLst>
            </c:dLbl>
            <c:dLbl>
              <c:idx val="6"/>
              <c:layout>
                <c:manualLayout>
                  <c:x val="1.3517756830813091E-2"/>
                  <c:y val="-4.16017749162570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AA5-46CC-BDAF-A0E7C48590C7}"/>
                </c:ext>
              </c:extLst>
            </c:dLbl>
            <c:dLbl>
              <c:idx val="7"/>
              <c:layout>
                <c:manualLayout>
                  <c:x val="0.108709942341362"/>
                  <c:y val="-1.0695900581488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CB7-4598-8DCC-D3D0C17645D0}"/>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písm. a)</c:v>
                </c:pt>
                <c:pt idx="1">
                  <c:v>písm. b)</c:v>
                </c:pt>
                <c:pt idx="2">
                  <c:v>písm. c)</c:v>
                </c:pt>
                <c:pt idx="3">
                  <c:v>písm. d)</c:v>
                </c:pt>
                <c:pt idx="4">
                  <c:v>písm. e)</c:v>
                </c:pt>
                <c:pt idx="5">
                  <c:v>písm. g)</c:v>
                </c:pt>
                <c:pt idx="6">
                  <c:v>písm. h)</c:v>
                </c:pt>
                <c:pt idx="7">
                  <c:v>písm. i)</c:v>
                </c:pt>
              </c:strCache>
            </c:strRef>
          </c:cat>
          <c:val>
            <c:numRef>
              <c:f>Hárok1!$B$1:$B$8</c:f>
              <c:numCache>
                <c:formatCode>General</c:formatCode>
                <c:ptCount val="8"/>
                <c:pt idx="0">
                  <c:v>1106</c:v>
                </c:pt>
                <c:pt idx="1">
                  <c:v>12</c:v>
                </c:pt>
                <c:pt idx="2">
                  <c:v>430</c:v>
                </c:pt>
                <c:pt idx="3">
                  <c:v>285</c:v>
                </c:pt>
                <c:pt idx="4">
                  <c:v>1991</c:v>
                </c:pt>
                <c:pt idx="5">
                  <c:v>5</c:v>
                </c:pt>
                <c:pt idx="6">
                  <c:v>9</c:v>
                </c:pt>
                <c:pt idx="7">
                  <c:v>31</c:v>
                </c:pt>
              </c:numCache>
            </c:numRef>
          </c:val>
          <c:extLst>
            <c:ext xmlns:c16="http://schemas.microsoft.com/office/drawing/2014/chart" uri="{C3380CC4-5D6E-409C-BE32-E72D297353CC}">
              <c16:uniqueId val="{0000000A-1AA5-46CC-BDAF-A0E7C48590C7}"/>
            </c:ext>
          </c:extLst>
        </c:ser>
        <c:dLbls>
          <c:showLegendKey val="0"/>
          <c:showVal val="1"/>
          <c:showCatName val="0"/>
          <c:showSerName val="0"/>
          <c:showPercent val="0"/>
          <c:showBubbleSize val="0"/>
          <c:showLeaderLines val="1"/>
        </c:dLbls>
      </c:pie3DChart>
    </c:plotArea>
    <c:legend>
      <c:legendPos val="r"/>
      <c:layout>
        <c:manualLayout>
          <c:xMode val="edge"/>
          <c:yMode val="edge"/>
          <c:x val="0.69142659290409014"/>
          <c:y val="9.4265961920505792E-2"/>
          <c:w val="0.27649448655111553"/>
          <c:h val="0.7448202607270776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podľa právnej formy zamestnávateľa</a:t>
            </a:r>
            <a:endParaRPr lang="sk-SK" sz="1100">
              <a:effectLst/>
            </a:endParaRPr>
          </a:p>
        </c:rich>
      </c:tx>
      <c:layout>
        <c:manualLayout>
          <c:xMode val="edge"/>
          <c:yMode val="edge"/>
          <c:x val="0.20827498485766199"/>
          <c:y val="3.8621327686519609E-2"/>
        </c:manualLayout>
      </c:layout>
      <c:overlay val="1"/>
    </c:title>
    <c:autoTitleDeleted val="0"/>
    <c:view3D>
      <c:rotX val="30"/>
      <c:rotY val="5"/>
      <c:rAngAx val="0"/>
    </c:view3D>
    <c:floor>
      <c:thickness val="0"/>
    </c:floor>
    <c:sideWall>
      <c:thickness val="0"/>
    </c:sideWall>
    <c:backWall>
      <c:thickness val="0"/>
    </c:backWall>
    <c:plotArea>
      <c:layout>
        <c:manualLayout>
          <c:layoutTarget val="inner"/>
          <c:xMode val="edge"/>
          <c:yMode val="edge"/>
          <c:x val="0.14255473970836913"/>
          <c:y val="0.26843461524961687"/>
          <c:w val="0.44597526974524948"/>
          <c:h val="0.52354161060476656"/>
        </c:manualLayout>
      </c:layout>
      <c:pie3DChart>
        <c:varyColors val="1"/>
        <c:ser>
          <c:idx val="0"/>
          <c:order val="0"/>
          <c:explosion val="24"/>
          <c:dPt>
            <c:idx val="0"/>
            <c:bubble3D val="0"/>
            <c:explosion val="6"/>
            <c:extLst>
              <c:ext xmlns:c16="http://schemas.microsoft.com/office/drawing/2014/chart" uri="{C3380CC4-5D6E-409C-BE32-E72D297353CC}">
                <c16:uniqueId val="{00000003-7EC7-4CB2-A83D-0C0C774BA968}"/>
              </c:ext>
            </c:extLst>
          </c:dPt>
          <c:dPt>
            <c:idx val="1"/>
            <c:bubble3D val="0"/>
            <c:explosion val="13"/>
            <c:extLst>
              <c:ext xmlns:c16="http://schemas.microsoft.com/office/drawing/2014/chart" uri="{C3380CC4-5D6E-409C-BE32-E72D297353CC}">
                <c16:uniqueId val="{00000004-DE68-4D9C-937D-76B27C67A8DB}"/>
              </c:ext>
            </c:extLst>
          </c:dPt>
          <c:dPt>
            <c:idx val="2"/>
            <c:bubble3D val="0"/>
            <c:explosion val="13"/>
            <c:extLst>
              <c:ext xmlns:c16="http://schemas.microsoft.com/office/drawing/2014/chart" uri="{C3380CC4-5D6E-409C-BE32-E72D297353CC}">
                <c16:uniqueId val="{00000000-6A21-4E3C-A1DB-6F23D89C7048}"/>
              </c:ext>
            </c:extLst>
          </c:dPt>
          <c:dPt>
            <c:idx val="7"/>
            <c:bubble3D val="0"/>
            <c:extLst>
              <c:ext xmlns:c16="http://schemas.microsoft.com/office/drawing/2014/chart" uri="{C3380CC4-5D6E-409C-BE32-E72D297353CC}">
                <c16:uniqueId val="{00000001-6A21-4E3C-A1DB-6F23D89C7048}"/>
              </c:ext>
            </c:extLst>
          </c:dPt>
          <c:dPt>
            <c:idx val="8"/>
            <c:bubble3D val="0"/>
            <c:extLst>
              <c:ext xmlns:c16="http://schemas.microsoft.com/office/drawing/2014/chart" uri="{C3380CC4-5D6E-409C-BE32-E72D297353CC}">
                <c16:uniqueId val="{00000002-6A21-4E3C-A1DB-6F23D89C7048}"/>
              </c:ext>
            </c:extLst>
          </c:dPt>
          <c:dLbls>
            <c:dLbl>
              <c:idx val="0"/>
              <c:layout>
                <c:manualLayout>
                  <c:x val="-0.10880472149536875"/>
                  <c:y val="2.32798259058628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C7-4CB2-A83D-0C0C774BA968}"/>
                </c:ext>
              </c:extLst>
            </c:dLbl>
            <c:dLbl>
              <c:idx val="1"/>
              <c:layout>
                <c:manualLayout>
                  <c:x val="3.4566046339015506E-2"/>
                  <c:y val="-1.75024277240233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E68-4D9C-937D-76B27C67A8DB}"/>
                </c:ext>
              </c:extLst>
            </c:dLbl>
            <c:dLbl>
              <c:idx val="2"/>
              <c:layout>
                <c:manualLayout>
                  <c:x val="-5.8394821851143648E-2"/>
                  <c:y val="2.07119958816440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A21-4E3C-A1DB-6F23D89C7048}"/>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Hárok1!$A$1:$A$11</c:f>
              <c:strCache>
                <c:ptCount val="11"/>
                <c:pt idx="0">
                  <c:v>Spol. s.r.o.</c:v>
                </c:pt>
                <c:pt idx="1">
                  <c:v>Živnostníci</c:v>
                </c:pt>
                <c:pt idx="2">
                  <c:v>Obec a mesto</c:v>
                </c:pt>
                <c:pt idx="3">
                  <c:v>Rozpočtová organizácia</c:v>
                </c:pt>
                <c:pt idx="4">
                  <c:v>Združenia</c:v>
                </c:pt>
                <c:pt idx="5">
                  <c:v>Mimovládne organizácie</c:v>
                </c:pt>
                <c:pt idx="6">
                  <c:v>Akciové spoločnosti</c:v>
                </c:pt>
                <c:pt idx="7">
                  <c:v>Príspevková organizácia</c:v>
                </c:pt>
                <c:pt idx="8">
                  <c:v>Cirkevné organizácie</c:v>
                </c:pt>
                <c:pt idx="9">
                  <c:v>Záujmová združenie</c:v>
                </c:pt>
                <c:pt idx="10">
                  <c:v>Iná právna forma</c:v>
                </c:pt>
              </c:strCache>
            </c:strRef>
          </c:cat>
          <c:val>
            <c:numRef>
              <c:f>Hárok1!$B$1:$B$11</c:f>
              <c:numCache>
                <c:formatCode>General</c:formatCode>
                <c:ptCount val="11"/>
                <c:pt idx="0">
                  <c:v>140</c:v>
                </c:pt>
                <c:pt idx="1">
                  <c:v>2</c:v>
                </c:pt>
                <c:pt idx="2">
                  <c:v>12</c:v>
                </c:pt>
                <c:pt idx="3">
                  <c:v>63</c:v>
                </c:pt>
                <c:pt idx="4">
                  <c:v>2</c:v>
                </c:pt>
                <c:pt idx="5">
                  <c:v>8</c:v>
                </c:pt>
                <c:pt idx="6">
                  <c:v>51</c:v>
                </c:pt>
                <c:pt idx="7">
                  <c:v>19</c:v>
                </c:pt>
                <c:pt idx="8">
                  <c:v>2</c:v>
                </c:pt>
                <c:pt idx="9">
                  <c:v>2</c:v>
                </c:pt>
                <c:pt idx="10">
                  <c:v>30</c:v>
                </c:pt>
              </c:numCache>
            </c:numRef>
          </c:val>
          <c:extLst>
            <c:ext xmlns:c16="http://schemas.microsoft.com/office/drawing/2014/chart" uri="{C3380CC4-5D6E-409C-BE32-E72D297353CC}">
              <c16:uniqueId val="{00000003-6A21-4E3C-A1DB-6F23D89C7048}"/>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100751131962888"/>
          <c:w val="0.27649448655111553"/>
          <c:h val="0.82748797837863131"/>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zamestnancov podľa SK NACE</a:t>
            </a:r>
            <a:endParaRPr lang="sk-SK" sz="1200">
              <a:effectLst/>
            </a:endParaRPr>
          </a:p>
        </c:rich>
      </c:tx>
      <c:layout>
        <c:manualLayout>
          <c:xMode val="edge"/>
          <c:yMode val="edge"/>
          <c:x val="0.18959905292737284"/>
          <c:y val="3.103267470052299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032925218620684"/>
          <c:y val="0.2615475546472722"/>
          <c:w val="0.42752089307713259"/>
          <c:h val="0.55160251915075498"/>
        </c:manualLayout>
      </c:layout>
      <c:pie3DChart>
        <c:varyColors val="1"/>
        <c:ser>
          <c:idx val="0"/>
          <c:order val="0"/>
          <c:explosion val="30"/>
          <c:dPt>
            <c:idx val="0"/>
            <c:bubble3D val="0"/>
            <c:extLst>
              <c:ext xmlns:c16="http://schemas.microsoft.com/office/drawing/2014/chart" uri="{C3380CC4-5D6E-409C-BE32-E72D297353CC}">
                <c16:uniqueId val="{00000001-C9B7-4D67-A8D5-292EE7E6BC3C}"/>
              </c:ext>
            </c:extLst>
          </c:dPt>
          <c:dPt>
            <c:idx val="1"/>
            <c:bubble3D val="0"/>
            <c:extLst>
              <c:ext xmlns:c16="http://schemas.microsoft.com/office/drawing/2014/chart" uri="{C3380CC4-5D6E-409C-BE32-E72D297353CC}">
                <c16:uniqueId val="{00000003-C9B7-4D67-A8D5-292EE7E6BC3C}"/>
              </c:ext>
            </c:extLst>
          </c:dPt>
          <c:dPt>
            <c:idx val="2"/>
            <c:bubble3D val="0"/>
            <c:extLst>
              <c:ext xmlns:c16="http://schemas.microsoft.com/office/drawing/2014/chart" uri="{C3380CC4-5D6E-409C-BE32-E72D297353CC}">
                <c16:uniqueId val="{00000005-C9B7-4D67-A8D5-292EE7E6BC3C}"/>
              </c:ext>
            </c:extLst>
          </c:dPt>
          <c:dPt>
            <c:idx val="3"/>
            <c:bubble3D val="0"/>
            <c:extLst>
              <c:ext xmlns:c16="http://schemas.microsoft.com/office/drawing/2014/chart" uri="{C3380CC4-5D6E-409C-BE32-E72D297353CC}">
                <c16:uniqueId val="{00000007-C9B7-4D67-A8D5-292EE7E6BC3C}"/>
              </c:ext>
            </c:extLst>
          </c:dPt>
          <c:dLbls>
            <c:dLbl>
              <c:idx val="2"/>
              <c:layout>
                <c:manualLayout>
                  <c:x val="3.1092928411596821E-2"/>
                  <c:y val="-0.137714131153453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B7-4D67-A8D5-292EE7E6BC3C}"/>
                </c:ext>
              </c:extLst>
            </c:dLbl>
            <c:dLbl>
              <c:idx val="3"/>
              <c:layout>
                <c:manualLayout>
                  <c:x val="1.876035689618815E-2"/>
                  <c:y val="-2.89124641862516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B7-4D67-A8D5-292EE7E6BC3C}"/>
                </c:ext>
              </c:extLst>
            </c:dLbl>
            <c:dLbl>
              <c:idx val="4"/>
              <c:layout>
                <c:manualLayout>
                  <c:x val="2.1444505818643999E-2"/>
                  <c:y val="8.05603975075634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1B6-4A84-8527-AEDBBE4312CE}"/>
                </c:ext>
              </c:extLst>
            </c:dLbl>
            <c:dLbl>
              <c:idx val="5"/>
              <c:layout>
                <c:manualLayout>
                  <c:x val="-6.306042493902192E-2"/>
                  <c:y val="8.46964263054904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1B6-4A84-8527-AEDBBE4312CE}"/>
                </c:ext>
              </c:extLst>
            </c:dLbl>
            <c:dLbl>
              <c:idx val="6"/>
              <c:layout>
                <c:manualLayout>
                  <c:x val="-2.434686990159014E-3"/>
                  <c:y val="-0.176700193010224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9B7-4D67-A8D5-292EE7E6BC3C}"/>
                </c:ext>
              </c:extLst>
            </c:dLbl>
            <c:dLbl>
              <c:idx val="7"/>
              <c:layout>
                <c:manualLayout>
                  <c:x val="5.4289302420088066E-2"/>
                  <c:y val="8.91997756005688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B7-4D67-A8D5-292EE7E6BC3C}"/>
                </c:ext>
              </c:extLst>
            </c:dLbl>
            <c:dLbl>
              <c:idx val="8"/>
              <c:layout>
                <c:manualLayout>
                  <c:x val="-3.1497941213382154E-2"/>
                  <c:y val="0.107462616791221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9B7-4D67-A8D5-292EE7E6BC3C}"/>
                </c:ext>
              </c:extLst>
            </c:dLbl>
            <c:dLbl>
              <c:idx val="9"/>
              <c:layout>
                <c:manualLayout>
                  <c:x val="-2.7024701170729477E-2"/>
                  <c:y val="2.1860578496390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9B7-4D67-A8D5-292EE7E6BC3C}"/>
                </c:ext>
              </c:extLst>
            </c:dLbl>
            <c:dLbl>
              <c:idx val="10"/>
              <c:layout>
                <c:manualLayout>
                  <c:x val="-2.8306160309599163E-2"/>
                  <c:y val="-3.83833223137184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9B7-4D67-A8D5-292EE7E6BC3C}"/>
                </c:ext>
              </c:extLst>
            </c:dLbl>
            <c:dLbl>
              <c:idx val="11"/>
              <c:layout>
                <c:manualLayout>
                  <c:x val="-1.415922706072887E-2"/>
                  <c:y val="-6.99859082500183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361-44DE-9E10-56D92E894BDC}"/>
                </c:ext>
              </c:extLst>
            </c:dLbl>
            <c:dLbl>
              <c:idx val="12"/>
              <c:layout>
                <c:manualLayout>
                  <c:x val="8.291834603836179E-2"/>
                  <c:y val="5.19351111645395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9B7-4D67-A8D5-292EE7E6BC3C}"/>
                </c:ext>
              </c:extLst>
            </c:dLbl>
            <c:dLbl>
              <c:idx val="13"/>
              <c:layout>
                <c:manualLayout>
                  <c:x val="-4.3362323393843362E-2"/>
                  <c:y val="-1.59811130478919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1B6-4A84-8527-AEDBBE4312CE}"/>
                </c:ext>
              </c:extLst>
            </c:dLbl>
            <c:dLbl>
              <c:idx val="14"/>
              <c:layout>
                <c:manualLayout>
                  <c:x val="1.0055996605541948E-2"/>
                  <c:y val="-2.97639798841938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1B6-4A84-8527-AEDBBE4312CE}"/>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Hárok1!$A$1:$A$15</c:f>
              <c:strCache>
                <c:ptCount val="15"/>
                <c:pt idx="0">
                  <c:v>Pôdohospodárstvo</c:v>
                </c:pt>
                <c:pt idx="1">
                  <c:v>Priemyselná výroba</c:v>
                </c:pt>
                <c:pt idx="2">
                  <c:v>Dod.elektriny,plynu,pary</c:v>
                </c:pt>
                <c:pt idx="3">
                  <c:v>Dodávka vody</c:v>
                </c:pt>
                <c:pt idx="4">
                  <c:v>Stavebníctvo</c:v>
                </c:pt>
                <c:pt idx="5">
                  <c:v>Veľkoobchod a maloobchod</c:v>
                </c:pt>
                <c:pt idx="6">
                  <c:v>Doprava a skladovanie</c:v>
                </c:pt>
                <c:pt idx="7">
                  <c:v>Informácie a komunikácia</c:v>
                </c:pt>
                <c:pt idx="8">
                  <c:v>Odborné,vedec,techn.čin.</c:v>
                </c:pt>
                <c:pt idx="9">
                  <c:v>Administratívne služby</c:v>
                </c:pt>
                <c:pt idx="10">
                  <c:v>Verej.správa, sociál.zab.</c:v>
                </c:pt>
                <c:pt idx="11">
                  <c:v>Vzdelávanie</c:v>
                </c:pt>
                <c:pt idx="12">
                  <c:v>Zdravotníctvo a soc.pom.</c:v>
                </c:pt>
                <c:pt idx="13">
                  <c:v>Umenie,zábava,rekreácia</c:v>
                </c:pt>
                <c:pt idx="14">
                  <c:v>Ostatné činnosti</c:v>
                </c:pt>
              </c:strCache>
            </c:strRef>
          </c:cat>
          <c:val>
            <c:numRef>
              <c:f>Hárok1!$B$1:$B$15</c:f>
              <c:numCache>
                <c:formatCode>#,##0</c:formatCode>
                <c:ptCount val="15"/>
                <c:pt idx="0">
                  <c:v>40</c:v>
                </c:pt>
                <c:pt idx="1">
                  <c:v>5559</c:v>
                </c:pt>
                <c:pt idx="2">
                  <c:v>12</c:v>
                </c:pt>
                <c:pt idx="3">
                  <c:v>196</c:v>
                </c:pt>
                <c:pt idx="4">
                  <c:v>208</c:v>
                </c:pt>
                <c:pt idx="5">
                  <c:v>543</c:v>
                </c:pt>
                <c:pt idx="6">
                  <c:v>4069</c:v>
                </c:pt>
                <c:pt idx="7">
                  <c:v>165</c:v>
                </c:pt>
                <c:pt idx="8">
                  <c:v>385</c:v>
                </c:pt>
                <c:pt idx="9">
                  <c:v>165</c:v>
                </c:pt>
                <c:pt idx="10">
                  <c:v>323</c:v>
                </c:pt>
                <c:pt idx="11">
                  <c:v>874</c:v>
                </c:pt>
                <c:pt idx="12">
                  <c:v>4062</c:v>
                </c:pt>
                <c:pt idx="13">
                  <c:v>219</c:v>
                </c:pt>
                <c:pt idx="14">
                  <c:v>265</c:v>
                </c:pt>
              </c:numCache>
            </c:numRef>
          </c:val>
          <c:extLst>
            <c:ext xmlns:c16="http://schemas.microsoft.com/office/drawing/2014/chart" uri="{C3380CC4-5D6E-409C-BE32-E72D297353CC}">
              <c16:uniqueId val="{0000000E-C9B7-4D67-A8D5-292EE7E6BC3C}"/>
            </c:ext>
          </c:extLst>
        </c:ser>
        <c:dLbls>
          <c:showLegendKey val="0"/>
          <c:showVal val="1"/>
          <c:showCatName val="0"/>
          <c:showSerName val="0"/>
          <c:showPercent val="0"/>
          <c:showBubbleSize val="0"/>
          <c:showLeaderLines val="1"/>
        </c:dLbls>
      </c:pie3DChart>
    </c:plotArea>
    <c:legend>
      <c:legendPos val="r"/>
      <c:layout>
        <c:manualLayout>
          <c:xMode val="edge"/>
          <c:yMode val="edge"/>
          <c:x val="0.64154591269173866"/>
          <c:y val="8.7465354998564115E-2"/>
          <c:w val="0.35658081772631078"/>
          <c:h val="0.8808401937805583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zamestnancov podľa veku</a:t>
            </a:r>
            <a:endParaRPr lang="sk-SK" sz="1100">
              <a:effectLst/>
            </a:endParaRPr>
          </a:p>
        </c:rich>
      </c:tx>
      <c:layout>
        <c:manualLayout>
          <c:xMode val="edge"/>
          <c:yMode val="edge"/>
          <c:x val="0.20392098043366655"/>
          <c:y val="8.09942613105565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0138110253362121"/>
          <c:y val="0.3087069992203097"/>
          <c:w val="0.41171854443414985"/>
          <c:h val="0.5281512745228879"/>
        </c:manualLayout>
      </c:layout>
      <c:pie3DChart>
        <c:varyColors val="1"/>
        <c:ser>
          <c:idx val="0"/>
          <c:order val="0"/>
          <c:explosion val="13"/>
          <c:dPt>
            <c:idx val="0"/>
            <c:bubble3D val="0"/>
            <c:extLst>
              <c:ext xmlns:c16="http://schemas.microsoft.com/office/drawing/2014/chart" uri="{C3380CC4-5D6E-409C-BE32-E72D297353CC}">
                <c16:uniqueId val="{00000001-5032-4BE6-842A-2E8C63F8937C}"/>
              </c:ext>
            </c:extLst>
          </c:dPt>
          <c:dPt>
            <c:idx val="1"/>
            <c:bubble3D val="0"/>
            <c:extLst>
              <c:ext xmlns:c16="http://schemas.microsoft.com/office/drawing/2014/chart" uri="{C3380CC4-5D6E-409C-BE32-E72D297353CC}">
                <c16:uniqueId val="{00000003-5032-4BE6-842A-2E8C63F8937C}"/>
              </c:ext>
            </c:extLst>
          </c:dPt>
          <c:dPt>
            <c:idx val="2"/>
            <c:bubble3D val="0"/>
            <c:extLst>
              <c:ext xmlns:c16="http://schemas.microsoft.com/office/drawing/2014/chart" uri="{C3380CC4-5D6E-409C-BE32-E72D297353CC}">
                <c16:uniqueId val="{00000005-5032-4BE6-842A-2E8C63F8937C}"/>
              </c:ext>
            </c:extLst>
          </c:dPt>
          <c:dPt>
            <c:idx val="3"/>
            <c:bubble3D val="0"/>
            <c:extLst>
              <c:ext xmlns:c16="http://schemas.microsoft.com/office/drawing/2014/chart" uri="{C3380CC4-5D6E-409C-BE32-E72D297353CC}">
                <c16:uniqueId val="{00000007-5032-4BE6-842A-2E8C63F8937C}"/>
              </c:ext>
            </c:extLst>
          </c:dPt>
          <c:dLbls>
            <c:dLbl>
              <c:idx val="0"/>
              <c:layout>
                <c:manualLayout>
                  <c:x val="-6.976119113879678E-2"/>
                  <c:y val="-1.773788869611635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32-4BE6-842A-2E8C63F8937C}"/>
                </c:ext>
              </c:extLst>
            </c:dLbl>
            <c:dLbl>
              <c:idx val="1"/>
              <c:layout>
                <c:manualLayout>
                  <c:x val="2.467025898458023E-2"/>
                  <c:y val="1.39773804071864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32-4BE6-842A-2E8C63F8937C}"/>
                </c:ext>
              </c:extLst>
            </c:dLbl>
            <c:dLbl>
              <c:idx val="2"/>
              <c:layout>
                <c:manualLayout>
                  <c:x val="-0.16308186250856019"/>
                  <c:y val="-0.144133524622981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32-4BE6-842A-2E8C63F8937C}"/>
                </c:ext>
              </c:extLst>
            </c:dLbl>
            <c:dLbl>
              <c:idx val="3"/>
              <c:layout>
                <c:manualLayout>
                  <c:x val="0.10506184277852387"/>
                  <c:y val="5.59302038464703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32-4BE6-842A-2E8C63F8937C}"/>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377</c:v>
                </c:pt>
                <c:pt idx="1">
                  <c:v>966</c:v>
                </c:pt>
                <c:pt idx="2">
                  <c:v>9424</c:v>
                </c:pt>
                <c:pt idx="3">
                  <c:v>6311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5032-4BE6-842A-2E8C63F8937C}"/>
            </c:ext>
          </c:extLst>
        </c:ser>
        <c:dLbls>
          <c:showLegendKey val="0"/>
          <c:showVal val="1"/>
          <c:showCatName val="0"/>
          <c:showSerName val="0"/>
          <c:showPercent val="0"/>
          <c:showBubbleSize val="0"/>
          <c:showLeaderLines val="1"/>
        </c:dLbls>
      </c:pie3DChart>
    </c:plotArea>
    <c:legend>
      <c:legendPos val="r"/>
      <c:layout>
        <c:manualLayout>
          <c:xMode val="edge"/>
          <c:yMode val="edge"/>
          <c:x val="0.78446229651793142"/>
          <c:y val="0.15815294274656347"/>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podľa právnej formy zamestnávateľa</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624551953750286"/>
          <c:y val="0.23742251196702599"/>
          <c:w val="0.50989066093804236"/>
          <c:h val="0.66371137914330047"/>
        </c:manualLayout>
      </c:layout>
      <c:pie3DChart>
        <c:varyColors val="1"/>
        <c:ser>
          <c:idx val="0"/>
          <c:order val="0"/>
          <c:explosion val="31"/>
          <c:dPt>
            <c:idx val="0"/>
            <c:bubble3D val="0"/>
            <c:extLst>
              <c:ext xmlns:c16="http://schemas.microsoft.com/office/drawing/2014/chart" uri="{C3380CC4-5D6E-409C-BE32-E72D297353CC}">
                <c16:uniqueId val="{00000001-A931-42C2-A137-8080B9C68BAA}"/>
              </c:ext>
            </c:extLst>
          </c:dPt>
          <c:dPt>
            <c:idx val="8"/>
            <c:bubble3D val="0"/>
            <c:extLst>
              <c:ext xmlns:c16="http://schemas.microsoft.com/office/drawing/2014/chart" uri="{C3380CC4-5D6E-409C-BE32-E72D297353CC}">
                <c16:uniqueId val="{00000003-A931-42C2-A137-8080B9C68BAA}"/>
              </c:ext>
            </c:extLst>
          </c:dPt>
          <c:dPt>
            <c:idx val="11"/>
            <c:bubble3D val="0"/>
            <c:extLst>
              <c:ext xmlns:c16="http://schemas.microsoft.com/office/drawing/2014/chart" uri="{C3380CC4-5D6E-409C-BE32-E72D297353CC}">
                <c16:uniqueId val="{00000005-A931-42C2-A137-8080B9C68BAA}"/>
              </c:ext>
            </c:extLst>
          </c:dPt>
          <c:dLbls>
            <c:dLbl>
              <c:idx val="0"/>
              <c:layout>
                <c:manualLayout>
                  <c:x val="-4.3754386653146751E-2"/>
                  <c:y val="7.11502303088026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31-42C2-A137-8080B9C68BAA}"/>
                </c:ext>
              </c:extLst>
            </c:dLbl>
            <c:dLbl>
              <c:idx val="1"/>
              <c:layout>
                <c:manualLayout>
                  <c:x val="7.5559167689330719E-3"/>
                  <c:y val="-1.79113893724744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931-42C2-A137-8080B9C68BAA}"/>
                </c:ext>
              </c:extLst>
            </c:dLbl>
            <c:dLbl>
              <c:idx val="2"/>
              <c:layout>
                <c:manualLayout>
                  <c:x val="-0.11580576688717549"/>
                  <c:y val="-0.19902818717003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931-42C2-A137-8080B9C68BAA}"/>
                </c:ext>
              </c:extLst>
            </c:dLbl>
            <c:dLbl>
              <c:idx val="3"/>
              <c:layout>
                <c:manualLayout>
                  <c:x val="-1.9789253030255222E-2"/>
                  <c:y val="4.1188902482080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931-42C2-A137-8080B9C68BAA}"/>
                </c:ext>
              </c:extLst>
            </c:dLbl>
            <c:dLbl>
              <c:idx val="4"/>
              <c:layout>
                <c:manualLayout>
                  <c:x val="-2.854737926523401E-2"/>
                  <c:y val="-1.64955292997134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931-42C2-A137-8080B9C68BAA}"/>
                </c:ext>
              </c:extLst>
            </c:dLbl>
            <c:dLbl>
              <c:idx val="5"/>
              <c:layout>
                <c:manualLayout>
                  <c:x val="-3.703934278874732E-2"/>
                  <c:y val="5.465995582668954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931-42C2-A137-8080B9C68BAA}"/>
                </c:ext>
              </c:extLst>
            </c:dLbl>
            <c:dLbl>
              <c:idx val="6"/>
              <c:layout>
                <c:manualLayout>
                  <c:x val="-4.4374722303002496E-2"/>
                  <c:y val="-1.94805941228149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931-42C2-A137-8080B9C68BAA}"/>
                </c:ext>
              </c:extLst>
            </c:dLbl>
            <c:dLbl>
              <c:idx val="7"/>
              <c:layout>
                <c:manualLayout>
                  <c:x val="-5.326716647151479E-2"/>
                  <c:y val="-3.17180790357409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931-42C2-A137-8080B9C68BAA}"/>
                </c:ext>
              </c:extLst>
            </c:dLbl>
            <c:dLbl>
              <c:idx val="8"/>
              <c:layout>
                <c:manualLayout>
                  <c:x val="-4.2981824011953017E-2"/>
                  <c:y val="-6.32433719507689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31-42C2-A137-8080B9C68BAA}"/>
                </c:ext>
              </c:extLst>
            </c:dLbl>
            <c:dLbl>
              <c:idx val="9"/>
              <c:layout>
                <c:manualLayout>
                  <c:x val="-4.4118537495170954E-3"/>
                  <c:y val="-0.126075882850410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931-42C2-A137-8080B9C68BAA}"/>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Hárok1!$A$1:$A$12</c:f>
              <c:strCache>
                <c:ptCount val="12"/>
                <c:pt idx="0">
                  <c:v>Živnostník</c:v>
                </c:pt>
                <c:pt idx="1">
                  <c:v>Živnostník a SHR</c:v>
                </c:pt>
                <c:pt idx="2">
                  <c:v>Spol. s.r.o.</c:v>
                </c:pt>
                <c:pt idx="3">
                  <c:v>Mimovládne org.</c:v>
                </c:pt>
                <c:pt idx="4">
                  <c:v>Akciové spoločnosti</c:v>
                </c:pt>
                <c:pt idx="5">
                  <c:v>Príspevkové org.</c:v>
                </c:pt>
                <c:pt idx="6">
                  <c:v>Rozpočtová organizácia</c:v>
                </c:pt>
                <c:pt idx="7">
                  <c:v>Združenie</c:v>
                </c:pt>
                <c:pt idx="8">
                  <c:v>Cirkevná org. </c:v>
                </c:pt>
                <c:pt idx="9">
                  <c:v>Záujmové  združenia</c:v>
                </c:pt>
                <c:pt idx="10">
                  <c:v>Obec, mesto</c:v>
                </c:pt>
                <c:pt idx="11">
                  <c:v>Iné</c:v>
                </c:pt>
              </c:strCache>
            </c:strRef>
          </c:cat>
          <c:val>
            <c:numRef>
              <c:f>Hárok1!$B$1:$B$12</c:f>
              <c:numCache>
                <c:formatCode>General</c:formatCode>
                <c:ptCount val="12"/>
                <c:pt idx="0">
                  <c:v>72</c:v>
                </c:pt>
                <c:pt idx="1">
                  <c:v>1</c:v>
                </c:pt>
                <c:pt idx="2">
                  <c:v>349</c:v>
                </c:pt>
                <c:pt idx="3">
                  <c:v>10</c:v>
                </c:pt>
                <c:pt idx="4">
                  <c:v>3</c:v>
                </c:pt>
                <c:pt idx="5">
                  <c:v>8</c:v>
                </c:pt>
                <c:pt idx="6">
                  <c:v>25</c:v>
                </c:pt>
                <c:pt idx="7">
                  <c:v>18</c:v>
                </c:pt>
                <c:pt idx="8">
                  <c:v>1</c:v>
                </c:pt>
                <c:pt idx="9">
                  <c:v>3</c:v>
                </c:pt>
                <c:pt idx="10">
                  <c:v>61</c:v>
                </c:pt>
                <c:pt idx="11">
                  <c:v>31</c:v>
                </c:pt>
              </c:numCache>
            </c:numRef>
          </c:val>
          <c:extLst>
            <c:ext xmlns:c16="http://schemas.microsoft.com/office/drawing/2014/chart" uri="{C3380CC4-5D6E-409C-BE32-E72D297353CC}">
              <c16:uniqueId val="{00000007-A931-42C2-A137-8080B9C68BAA}"/>
            </c:ext>
          </c:extLst>
        </c:ser>
        <c:dLbls>
          <c:showLegendKey val="0"/>
          <c:showVal val="1"/>
          <c:showCatName val="0"/>
          <c:showSerName val="0"/>
          <c:showPercent val="0"/>
          <c:showBubbleSize val="0"/>
          <c:showLeaderLines val="1"/>
        </c:dLbls>
      </c:pie3DChart>
    </c:plotArea>
    <c:legend>
      <c:legendPos val="r"/>
      <c:layout>
        <c:manualLayout>
          <c:xMode val="edge"/>
          <c:yMode val="edge"/>
          <c:x val="0.7217525974529907"/>
          <c:y val="8.7974842560738314E-2"/>
          <c:w val="0.27649448655111553"/>
          <c:h val="0.86372878572660172"/>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4360281858121677"/>
          <c:y val="5.798225488028904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183331218064513"/>
          <c:y val="0.22423440920903862"/>
          <c:w val="0.52030292967629432"/>
          <c:h val="0.67422011461497744"/>
        </c:manualLayout>
      </c:layout>
      <c:pie3DChart>
        <c:varyColors val="1"/>
        <c:ser>
          <c:idx val="0"/>
          <c:order val="0"/>
          <c:explosion val="25"/>
          <c:dPt>
            <c:idx val="0"/>
            <c:bubble3D val="0"/>
            <c:explosion val="14"/>
            <c:extLst>
              <c:ext xmlns:c16="http://schemas.microsoft.com/office/drawing/2014/chart" uri="{C3380CC4-5D6E-409C-BE32-E72D297353CC}">
                <c16:uniqueId val="{00000001-0C17-4C0C-A672-6982CEB5DF81}"/>
              </c:ext>
            </c:extLst>
          </c:dPt>
          <c:dPt>
            <c:idx val="1"/>
            <c:bubble3D val="0"/>
            <c:explosion val="7"/>
            <c:extLst>
              <c:ext xmlns:c16="http://schemas.microsoft.com/office/drawing/2014/chart" uri="{C3380CC4-5D6E-409C-BE32-E72D297353CC}">
                <c16:uniqueId val="{00000003-0C17-4C0C-A672-6982CEB5DF81}"/>
              </c:ext>
            </c:extLst>
          </c:dPt>
          <c:dPt>
            <c:idx val="2"/>
            <c:bubble3D val="0"/>
            <c:explosion val="12"/>
            <c:extLst>
              <c:ext xmlns:c16="http://schemas.microsoft.com/office/drawing/2014/chart" uri="{C3380CC4-5D6E-409C-BE32-E72D297353CC}">
                <c16:uniqueId val="{00000005-0C17-4C0C-A672-6982CEB5DF81}"/>
              </c:ext>
            </c:extLst>
          </c:dPt>
          <c:dPt>
            <c:idx val="3"/>
            <c:bubble3D val="0"/>
            <c:explosion val="11"/>
            <c:extLst>
              <c:ext xmlns:c16="http://schemas.microsoft.com/office/drawing/2014/chart" uri="{C3380CC4-5D6E-409C-BE32-E72D297353CC}">
                <c16:uniqueId val="{00000007-0C17-4C0C-A672-6982CEB5DF81}"/>
              </c:ext>
            </c:extLst>
          </c:dPt>
          <c:dLbls>
            <c:dLbl>
              <c:idx val="0"/>
              <c:layout>
                <c:manualLayout>
                  <c:x val="-6.7638125605242155E-2"/>
                  <c:y val="9.2150713329897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17-4C0C-A672-6982CEB5DF81}"/>
                </c:ext>
              </c:extLst>
            </c:dLbl>
            <c:dLbl>
              <c:idx val="1"/>
              <c:layout>
                <c:manualLayout>
                  <c:x val="-9.715168911459475E-2"/>
                  <c:y val="1.761080129145876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17-4C0C-A672-6982CEB5DF81}"/>
                </c:ext>
              </c:extLst>
            </c:dLbl>
            <c:dLbl>
              <c:idx val="2"/>
              <c:layout>
                <c:manualLayout>
                  <c:x val="-7.0609006177164479E-2"/>
                  <c:y val="-0.256223750104809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17-4C0C-A672-6982CEB5DF81}"/>
                </c:ext>
              </c:extLst>
            </c:dLbl>
            <c:dLbl>
              <c:idx val="3"/>
              <c:layout>
                <c:manualLayout>
                  <c:x val="0.11126371954664863"/>
                  <c:y val="6.73605658924773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17-4C0C-A672-6982CEB5DF81}"/>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70</c:v>
                </c:pt>
                <c:pt idx="1">
                  <c:v>55</c:v>
                </c:pt>
                <c:pt idx="2">
                  <c:v>204</c:v>
                </c:pt>
                <c:pt idx="3">
                  <c:v>150</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0C17-4C0C-A672-6982CEB5DF81}"/>
            </c:ext>
          </c:extLst>
        </c:ser>
        <c:dLbls>
          <c:showLegendKey val="0"/>
          <c:showVal val="1"/>
          <c:showCatName val="0"/>
          <c:showSerName val="0"/>
          <c:showPercent val="0"/>
          <c:showBubbleSize val="0"/>
          <c:showLeaderLines val="1"/>
        </c:dLbls>
      </c:pie3DChart>
    </c:plotArea>
    <c:legend>
      <c:legendPos val="r"/>
      <c:layout>
        <c:manualLayout>
          <c:xMode val="edge"/>
          <c:yMode val="edge"/>
          <c:x val="0.80623218155349985"/>
          <c:y val="0.20476302666891052"/>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407937635543854"/>
          <c:y val="0.24483826687439472"/>
          <c:w val="0.49039537229946334"/>
          <c:h val="0.63591696492483907"/>
        </c:manualLayout>
      </c:layout>
      <c:pie3DChart>
        <c:varyColors val="1"/>
        <c:ser>
          <c:idx val="0"/>
          <c:order val="0"/>
          <c:explosion val="25"/>
          <c:dPt>
            <c:idx val="0"/>
            <c:bubble3D val="0"/>
            <c:explosion val="14"/>
            <c:extLst>
              <c:ext xmlns:c16="http://schemas.microsoft.com/office/drawing/2014/chart" uri="{C3380CC4-5D6E-409C-BE32-E72D297353CC}">
                <c16:uniqueId val="{00000001-D52F-4CE3-A0A4-47C735213D30}"/>
              </c:ext>
            </c:extLst>
          </c:dPt>
          <c:dPt>
            <c:idx val="1"/>
            <c:bubble3D val="0"/>
            <c:explosion val="7"/>
            <c:extLst>
              <c:ext xmlns:c16="http://schemas.microsoft.com/office/drawing/2014/chart" uri="{C3380CC4-5D6E-409C-BE32-E72D297353CC}">
                <c16:uniqueId val="{00000003-D52F-4CE3-A0A4-47C735213D30}"/>
              </c:ext>
            </c:extLst>
          </c:dPt>
          <c:dPt>
            <c:idx val="2"/>
            <c:bubble3D val="0"/>
            <c:explosion val="12"/>
            <c:extLst>
              <c:ext xmlns:c16="http://schemas.microsoft.com/office/drawing/2014/chart" uri="{C3380CC4-5D6E-409C-BE32-E72D297353CC}">
                <c16:uniqueId val="{00000005-D52F-4CE3-A0A4-47C735213D30}"/>
              </c:ext>
            </c:extLst>
          </c:dPt>
          <c:dPt>
            <c:idx val="3"/>
            <c:bubble3D val="0"/>
            <c:explosion val="16"/>
            <c:extLst>
              <c:ext xmlns:c16="http://schemas.microsoft.com/office/drawing/2014/chart" uri="{C3380CC4-5D6E-409C-BE32-E72D297353CC}">
                <c16:uniqueId val="{00000007-D52F-4CE3-A0A4-47C735213D30}"/>
              </c:ext>
            </c:extLst>
          </c:dPt>
          <c:dLbls>
            <c:dLbl>
              <c:idx val="0"/>
              <c:layout>
                <c:manualLayout>
                  <c:x val="-6.6241170194893187E-2"/>
                  <c:y val="6.56964082698218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2F-4CE3-A0A4-47C735213D30}"/>
                </c:ext>
              </c:extLst>
            </c:dLbl>
            <c:dLbl>
              <c:idx val="1"/>
              <c:layout>
                <c:manualLayout>
                  <c:x val="-0.11813172708983781"/>
                  <c:y val="-9.74976630594972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2F-4CE3-A0A4-47C735213D30}"/>
                </c:ext>
              </c:extLst>
            </c:dLbl>
            <c:dLbl>
              <c:idx val="2"/>
              <c:layout>
                <c:manualLayout>
                  <c:x val="-5.4203383788550392E-2"/>
                  <c:y val="-0.192052886437323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2F-4CE3-A0A4-47C735213D30}"/>
                </c:ext>
              </c:extLst>
            </c:dLbl>
            <c:dLbl>
              <c:idx val="3"/>
              <c:layout>
                <c:manualLayout>
                  <c:x val="0.13184631299404481"/>
                  <c:y val="-9.4188386879447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52F-4CE3-A0A4-47C735213D30}"/>
                </c:ext>
              </c:extLst>
            </c:dLbl>
            <c:dLbl>
              <c:idx val="4"/>
              <c:layout>
                <c:manualLayout>
                  <c:x val="6.0090858619928009E-2"/>
                  <c:y val="5.41644700829508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52F-4CE3-A0A4-47C735213D30}"/>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96</c:v>
                </c:pt>
                <c:pt idx="1">
                  <c:v>77</c:v>
                </c:pt>
                <c:pt idx="2">
                  <c:v>93</c:v>
                </c:pt>
                <c:pt idx="3">
                  <c:v>132</c:v>
                </c:pt>
                <c:pt idx="4">
                  <c:v>81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9-D52F-4CE3-A0A4-47C735213D30}"/>
            </c:ext>
          </c:extLst>
        </c:ser>
        <c:dLbls>
          <c:showLegendKey val="0"/>
          <c:showVal val="1"/>
          <c:showCatName val="0"/>
          <c:showSerName val="0"/>
          <c:showPercent val="0"/>
          <c:showBubbleSize val="0"/>
          <c:showLeaderLines val="1"/>
        </c:dLbls>
      </c:pie3DChart>
    </c:plotArea>
    <c:legend>
      <c:legendPos val="r"/>
      <c:layout>
        <c:manualLayout>
          <c:xMode val="edge"/>
          <c:yMode val="edge"/>
          <c:x val="0.68276202017583265"/>
          <c:y val="0.14914817465998567"/>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pracovných miest podľa SK ISCO</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2508879907828049"/>
          <c:y val="0.24407756225032082"/>
          <c:w val="0.47956465638914175"/>
          <c:h val="0.61945664941053635"/>
        </c:manualLayout>
      </c:layout>
      <c:pie3DChart>
        <c:varyColors val="1"/>
        <c:ser>
          <c:idx val="0"/>
          <c:order val="0"/>
          <c:explosion val="21"/>
          <c:dPt>
            <c:idx val="0"/>
            <c:bubble3D val="0"/>
            <c:extLst>
              <c:ext xmlns:c16="http://schemas.microsoft.com/office/drawing/2014/chart" uri="{C3380CC4-5D6E-409C-BE32-E72D297353CC}">
                <c16:uniqueId val="{00000001-9606-4166-BF02-E28CB0C47CBE}"/>
              </c:ext>
            </c:extLst>
          </c:dPt>
          <c:dPt>
            <c:idx val="1"/>
            <c:bubble3D val="0"/>
            <c:extLst>
              <c:ext xmlns:c16="http://schemas.microsoft.com/office/drawing/2014/chart" uri="{C3380CC4-5D6E-409C-BE32-E72D297353CC}">
                <c16:uniqueId val="{00000003-9606-4166-BF02-E28CB0C47CBE}"/>
              </c:ext>
            </c:extLst>
          </c:dPt>
          <c:dPt>
            <c:idx val="2"/>
            <c:bubble3D val="0"/>
            <c:extLst>
              <c:ext xmlns:c16="http://schemas.microsoft.com/office/drawing/2014/chart" uri="{C3380CC4-5D6E-409C-BE32-E72D297353CC}">
                <c16:uniqueId val="{00000005-9606-4166-BF02-E28CB0C47CBE}"/>
              </c:ext>
            </c:extLst>
          </c:dPt>
          <c:dPt>
            <c:idx val="3"/>
            <c:bubble3D val="0"/>
            <c:extLst>
              <c:ext xmlns:c16="http://schemas.microsoft.com/office/drawing/2014/chart" uri="{C3380CC4-5D6E-409C-BE32-E72D297353CC}">
                <c16:uniqueId val="{00000007-9606-4166-BF02-E28CB0C47CBE}"/>
              </c:ext>
            </c:extLst>
          </c:dPt>
          <c:dLbls>
            <c:dLbl>
              <c:idx val="2"/>
              <c:layout>
                <c:manualLayout>
                  <c:x val="-9.3948870492780515E-2"/>
                  <c:y val="-9.40287706414412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606-4166-BF02-E28CB0C47CBE}"/>
                </c:ext>
              </c:extLst>
            </c:dLbl>
            <c:dLbl>
              <c:idx val="3"/>
              <c:layout>
                <c:manualLayout>
                  <c:x val="3.6174761702929666E-2"/>
                  <c:y val="-0.185837479900447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606-4166-BF02-E28CB0C47CBE}"/>
                </c:ext>
              </c:extLst>
            </c:dLbl>
            <c:dLbl>
              <c:idx val="4"/>
              <c:layout>
                <c:manualLayout>
                  <c:x val="-1.5539177769571829E-2"/>
                  <c:y val="2.05829776871223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606-4166-BF02-E28CB0C47CBE}"/>
                </c:ext>
              </c:extLst>
            </c:dLbl>
            <c:dLbl>
              <c:idx val="7"/>
              <c:layout>
                <c:manualLayout>
                  <c:x val="2.7073634370381489E-2"/>
                  <c:y val="-2.35563053665184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777-402D-AD29-126DAFECE435}"/>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9"/>
                <c:pt idx="0">
                  <c:v>Špecialisti</c:v>
                </c:pt>
                <c:pt idx="1">
                  <c:v>Technici a odborní pracovníci</c:v>
                </c:pt>
                <c:pt idx="2">
                  <c:v>Administratívny pracovníci</c:v>
                </c:pt>
                <c:pt idx="3">
                  <c:v>Pracovníci v službách a obchode</c:v>
                </c:pt>
                <c:pt idx="4">
                  <c:v>Operátori a montéri strojov a zariadení</c:v>
                </c:pt>
                <c:pt idx="5">
                  <c:v>Pomocní a nekvalifikovaní pracovníci</c:v>
                </c:pt>
                <c:pt idx="6">
                  <c:v>Zákonodarcovia, riadiaci pracovníci</c:v>
                </c:pt>
                <c:pt idx="7">
                  <c:v>Kvalifikovaní pracovníci v poľnohospodárstve, lesníctve a rybárstve</c:v>
                </c:pt>
                <c:pt idx="8">
                  <c:v>Kvalifikovaní pracovníci a remeselníci</c:v>
                </c:pt>
              </c:strCache>
            </c:strRef>
          </c:cat>
          <c:val>
            <c:numRef>
              <c:f>Hárok1!$B$1:$B$9</c:f>
              <c:numCache>
                <c:formatCode>General</c:formatCode>
                <c:ptCount val="9"/>
                <c:pt idx="0">
                  <c:v>42</c:v>
                </c:pt>
                <c:pt idx="1">
                  <c:v>45</c:v>
                </c:pt>
                <c:pt idx="2">
                  <c:v>94</c:v>
                </c:pt>
                <c:pt idx="3">
                  <c:v>135</c:v>
                </c:pt>
                <c:pt idx="4">
                  <c:v>15</c:v>
                </c:pt>
                <c:pt idx="5">
                  <c:v>99</c:v>
                </c:pt>
                <c:pt idx="6">
                  <c:v>1</c:v>
                </c:pt>
                <c:pt idx="7">
                  <c:v>4</c:v>
                </c:pt>
                <c:pt idx="8">
                  <c:v>44</c:v>
                </c:pt>
              </c:numCache>
            </c:numRef>
          </c:val>
          <c:extLst>
            <c:ext xmlns:c16="http://schemas.microsoft.com/office/drawing/2014/chart" uri="{C3380CC4-5D6E-409C-BE32-E72D297353CC}">
              <c16:uniqueId val="{00000008-9606-4166-BF02-E28CB0C47CBE}"/>
            </c:ext>
          </c:extLst>
        </c:ser>
        <c:dLbls>
          <c:showLegendKey val="0"/>
          <c:showVal val="1"/>
          <c:showCatName val="0"/>
          <c:showSerName val="0"/>
          <c:showPercent val="0"/>
          <c:showBubbleSize val="0"/>
          <c:showLeaderLines val="1"/>
        </c:dLbls>
      </c:pie3DChart>
    </c:plotArea>
    <c:legend>
      <c:legendPos val="r"/>
      <c:layout>
        <c:manualLayout>
          <c:xMode val="edge"/>
          <c:yMode val="edge"/>
          <c:x val="0.69359273608615446"/>
          <c:y val="3.5064672629893621E-2"/>
          <c:w val="0.24616852764518915"/>
          <c:h val="0.93422683866644329"/>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znevýhodnenia</a:t>
            </a:r>
            <a:endParaRPr lang="sk-SK" sz="1100">
              <a:effectLst/>
            </a:endParaRPr>
          </a:p>
        </c:rich>
      </c:tx>
      <c:layout>
        <c:manualLayout>
          <c:xMode val="edge"/>
          <c:yMode val="edge"/>
          <c:x val="0.14112456943640195"/>
          <c:y val="7.09254936097811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2508879907828052"/>
          <c:y val="0.21968069228740592"/>
          <c:w val="0.48606308593533465"/>
          <c:h val="0.65053251762742037"/>
        </c:manualLayout>
      </c:layout>
      <c:pie3DChart>
        <c:varyColors val="1"/>
        <c:ser>
          <c:idx val="0"/>
          <c:order val="0"/>
          <c:explosion val="25"/>
          <c:dPt>
            <c:idx val="0"/>
            <c:bubble3D val="0"/>
            <c:explosion val="14"/>
            <c:extLst>
              <c:ext xmlns:c16="http://schemas.microsoft.com/office/drawing/2014/chart" uri="{C3380CC4-5D6E-409C-BE32-E72D297353CC}">
                <c16:uniqueId val="{00000001-3E74-4920-ACB1-D804FD15C4B3}"/>
              </c:ext>
            </c:extLst>
          </c:dPt>
          <c:dPt>
            <c:idx val="1"/>
            <c:bubble3D val="0"/>
            <c:explosion val="7"/>
            <c:extLst>
              <c:ext xmlns:c16="http://schemas.microsoft.com/office/drawing/2014/chart" uri="{C3380CC4-5D6E-409C-BE32-E72D297353CC}">
                <c16:uniqueId val="{00000003-3E74-4920-ACB1-D804FD15C4B3}"/>
              </c:ext>
            </c:extLst>
          </c:dPt>
          <c:dPt>
            <c:idx val="2"/>
            <c:bubble3D val="0"/>
            <c:explosion val="12"/>
            <c:extLst>
              <c:ext xmlns:c16="http://schemas.microsoft.com/office/drawing/2014/chart" uri="{C3380CC4-5D6E-409C-BE32-E72D297353CC}">
                <c16:uniqueId val="{00000005-3E74-4920-ACB1-D804FD15C4B3}"/>
              </c:ext>
            </c:extLst>
          </c:dPt>
          <c:dPt>
            <c:idx val="3"/>
            <c:bubble3D val="0"/>
            <c:explosion val="16"/>
            <c:extLst>
              <c:ext xmlns:c16="http://schemas.microsoft.com/office/drawing/2014/chart" uri="{C3380CC4-5D6E-409C-BE32-E72D297353CC}">
                <c16:uniqueId val="{00000007-3E74-4920-ACB1-D804FD15C4B3}"/>
              </c:ext>
            </c:extLst>
          </c:dPt>
          <c:dLbls>
            <c:dLbl>
              <c:idx val="0"/>
              <c:layout>
                <c:manualLayout>
                  <c:x val="4.1561806290513915E-3"/>
                  <c:y val="-1.722053330010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74-4920-ACB1-D804FD15C4B3}"/>
                </c:ext>
              </c:extLst>
            </c:dLbl>
            <c:dLbl>
              <c:idx val="1"/>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74-4920-ACB1-D804FD15C4B3}"/>
                </c:ext>
              </c:extLst>
            </c:dLbl>
            <c:dLbl>
              <c:idx val="2"/>
              <c:layout>
                <c:manualLayout>
                  <c:x val="-9.6456309147861449E-2"/>
                  <c:y val="-0.132678469479132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74-4920-ACB1-D804FD15C4B3}"/>
                </c:ext>
              </c:extLst>
            </c:dLbl>
            <c:dLbl>
              <c:idx val="3"/>
              <c:layout>
                <c:manualLayout>
                  <c:x val="6.8799436461647753E-2"/>
                  <c:y val="-0.134840418595080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74-4920-ACB1-D804FD15C4B3}"/>
                </c:ext>
              </c:extLst>
            </c:dLbl>
            <c:dLbl>
              <c:idx val="4"/>
              <c:layout>
                <c:manualLayout>
                  <c:x val="0.10996894910501616"/>
                  <c:y val="1.93404606168800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E74-4920-ACB1-D804FD15C4B3}"/>
                </c:ext>
              </c:extLst>
            </c:dLbl>
            <c:dLbl>
              <c:idx val="5"/>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74-4920-ACB1-D804FD15C4B3}"/>
                </c:ext>
              </c:extLst>
            </c:dLbl>
            <c:dLbl>
              <c:idx val="6"/>
              <c:layout>
                <c:manualLayout>
                  <c:x val="5.9533972203436661E-3"/>
                  <c:y val="-1.65481845133730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E74-4920-ACB1-D804FD15C4B3}"/>
                </c:ext>
              </c:extLst>
            </c:dLbl>
            <c:dLbl>
              <c:idx val="7"/>
              <c:layout>
                <c:manualLayout>
                  <c:x val="1.9181197877179722E-2"/>
                  <c:y val="-2.6091769813278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E74-4920-ACB1-D804FD15C4B3}"/>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rokov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45</c:v>
                </c:pt>
                <c:pt idx="1">
                  <c:v>150</c:v>
                </c:pt>
                <c:pt idx="2">
                  <c:v>215</c:v>
                </c:pt>
                <c:pt idx="3">
                  <c:v>66</c:v>
                </c:pt>
                <c:pt idx="4">
                  <c:v>232</c:v>
                </c:pt>
                <c:pt idx="5">
                  <c:v>9</c:v>
                </c:pt>
                <c:pt idx="6">
                  <c:v>25</c:v>
                </c:pt>
                <c:pt idx="7">
                  <c:v>14</c:v>
                </c:pt>
              </c:numCache>
            </c:numRef>
          </c:val>
          <c:extLst>
            <c:ext xmlns:c16="http://schemas.microsoft.com/office/drawing/2014/chart" uri="{C3380CC4-5D6E-409C-BE32-E72D297353CC}">
              <c16:uniqueId val="{0000000C-3E74-4920-ACB1-D804FD15C4B3}"/>
            </c:ext>
          </c:extLst>
        </c:ser>
        <c:dLbls>
          <c:showLegendKey val="0"/>
          <c:showVal val="1"/>
          <c:showCatName val="0"/>
          <c:showSerName val="0"/>
          <c:showPercent val="0"/>
          <c:showBubbleSize val="0"/>
          <c:showLeaderLines val="1"/>
        </c:dLbls>
      </c:pie3DChart>
    </c:plotArea>
    <c:legend>
      <c:legendPos val="r"/>
      <c:layout>
        <c:manualLayout>
          <c:xMode val="edge"/>
          <c:yMode val="edge"/>
          <c:x val="0.72190610366274344"/>
          <c:y val="5.5057438436620899E-2"/>
          <c:w val="0.22827260314977685"/>
          <c:h val="0.88723095386427553"/>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znevýhodnenia</a:t>
            </a:r>
            <a:endParaRPr lang="sk-SK" sz="1100">
              <a:effectLst/>
            </a:endParaRPr>
          </a:p>
        </c:rich>
      </c:tx>
      <c:layout>
        <c:manualLayout>
          <c:xMode val="edge"/>
          <c:yMode val="edge"/>
          <c:x val="0.14329071261846629"/>
          <c:y val="3.862123869587391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559351043970149"/>
          <c:y val="0.20398065099607543"/>
          <c:w val="0.48173079957120601"/>
          <c:h val="0.63218871086846506"/>
        </c:manualLayout>
      </c:layout>
      <c:pie3DChart>
        <c:varyColors val="1"/>
        <c:ser>
          <c:idx val="0"/>
          <c:order val="0"/>
          <c:explosion val="25"/>
          <c:dPt>
            <c:idx val="0"/>
            <c:bubble3D val="0"/>
            <c:explosion val="14"/>
            <c:extLst>
              <c:ext xmlns:c16="http://schemas.microsoft.com/office/drawing/2014/chart" uri="{C3380CC4-5D6E-409C-BE32-E72D297353CC}">
                <c16:uniqueId val="{00000001-E2EB-41F1-8859-6B472C13EBB7}"/>
              </c:ext>
            </c:extLst>
          </c:dPt>
          <c:dPt>
            <c:idx val="1"/>
            <c:bubble3D val="0"/>
            <c:explosion val="7"/>
            <c:extLst>
              <c:ext xmlns:c16="http://schemas.microsoft.com/office/drawing/2014/chart" uri="{C3380CC4-5D6E-409C-BE32-E72D297353CC}">
                <c16:uniqueId val="{00000003-E2EB-41F1-8859-6B472C13EBB7}"/>
              </c:ext>
            </c:extLst>
          </c:dPt>
          <c:dPt>
            <c:idx val="2"/>
            <c:bubble3D val="0"/>
            <c:explosion val="12"/>
            <c:extLst>
              <c:ext xmlns:c16="http://schemas.microsoft.com/office/drawing/2014/chart" uri="{C3380CC4-5D6E-409C-BE32-E72D297353CC}">
                <c16:uniqueId val="{00000005-E2EB-41F1-8859-6B472C13EBB7}"/>
              </c:ext>
            </c:extLst>
          </c:dPt>
          <c:dPt>
            <c:idx val="3"/>
            <c:bubble3D val="0"/>
            <c:explosion val="16"/>
            <c:extLst>
              <c:ext xmlns:c16="http://schemas.microsoft.com/office/drawing/2014/chart" uri="{C3380CC4-5D6E-409C-BE32-E72D297353CC}">
                <c16:uniqueId val="{00000007-E2EB-41F1-8859-6B472C13EBB7}"/>
              </c:ext>
            </c:extLst>
          </c:dPt>
          <c:dPt>
            <c:idx val="4"/>
            <c:bubble3D val="0"/>
            <c:explosion val="15"/>
            <c:extLst>
              <c:ext xmlns:c16="http://schemas.microsoft.com/office/drawing/2014/chart" uri="{C3380CC4-5D6E-409C-BE32-E72D297353CC}">
                <c16:uniqueId val="{00000009-E2EB-41F1-8859-6B472C13EBB7}"/>
              </c:ext>
            </c:extLst>
          </c:dPt>
          <c:dLbls>
            <c:dLbl>
              <c:idx val="0"/>
              <c:layout>
                <c:manualLayout>
                  <c:x val="-5.0344408237825468E-2"/>
                  <c:y val="6.6007388886815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EB-41F1-8859-6B472C13EBB7}"/>
                </c:ext>
              </c:extLst>
            </c:dLbl>
            <c:dLbl>
              <c:idx val="1"/>
              <c:layout>
                <c:manualLayout>
                  <c:x val="-0.12737211866712272"/>
                  <c:y val="2.6811956562301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EB-41F1-8859-6B472C13EBB7}"/>
                </c:ext>
              </c:extLst>
            </c:dLbl>
            <c:dLbl>
              <c:idx val="2"/>
              <c:layout>
                <c:manualLayout>
                  <c:x val="-0.12269870739243266"/>
                  <c:y val="-0.142497792041397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EB-41F1-8859-6B472C13EBB7}"/>
                </c:ext>
              </c:extLst>
            </c:dLbl>
            <c:dLbl>
              <c:idx val="3"/>
              <c:layout>
                <c:manualLayout>
                  <c:x val="4.6842249343547748E-2"/>
                  <c:y val="-0.15798260999365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EB-41F1-8859-6B472C13EBB7}"/>
                </c:ext>
              </c:extLst>
            </c:dLbl>
            <c:dLbl>
              <c:idx val="4"/>
              <c:layout>
                <c:manualLayout>
                  <c:x val="0.14647289634663752"/>
                  <c:y val="-5.771790374544414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2EB-41F1-8859-6B472C13EBB7}"/>
                </c:ext>
              </c:extLst>
            </c:dLbl>
            <c:dLbl>
              <c:idx val="5"/>
              <c:layout>
                <c:manualLayout>
                  <c:x val="-2.9882712727626257E-2"/>
                  <c:y val="-1.9466606958490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2EB-41F1-8859-6B472C13EBB7}"/>
                </c:ext>
              </c:extLst>
            </c:dLbl>
            <c:dLbl>
              <c:idx val="6"/>
              <c:layout>
                <c:manualLayout>
                  <c:x val="2.2617946069857224E-2"/>
                  <c:y val="-6.98896642659004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2EB-41F1-8859-6B472C13EBB7}"/>
                </c:ext>
              </c:extLst>
            </c:dLbl>
            <c:dLbl>
              <c:idx val="7"/>
              <c:layout>
                <c:manualLayout>
                  <c:x val="7.0410057726862985E-2"/>
                  <c:y val="-2.5477727606324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E2EB-41F1-8859-6B472C13EBB7}"/>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rokov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2177</c:v>
                </c:pt>
                <c:pt idx="1">
                  <c:v>4262</c:v>
                </c:pt>
                <c:pt idx="2">
                  <c:v>4346</c:v>
                </c:pt>
                <c:pt idx="3">
                  <c:v>2199</c:v>
                </c:pt>
                <c:pt idx="4">
                  <c:v>8402</c:v>
                </c:pt>
                <c:pt idx="5">
                  <c:v>157</c:v>
                </c:pt>
                <c:pt idx="6">
                  <c:v>644</c:v>
                </c:pt>
                <c:pt idx="7">
                  <c:v>341</c:v>
                </c:pt>
              </c:numCache>
            </c:numRef>
          </c:val>
          <c:extLst>
            <c:ext xmlns:c16="http://schemas.microsoft.com/office/drawing/2014/chart" uri="{C3380CC4-5D6E-409C-BE32-E72D297353CC}">
              <c16:uniqueId val="{0000000D-E2EB-41F1-8859-6B472C13EBB7}"/>
            </c:ext>
          </c:extLst>
        </c:ser>
        <c:dLbls>
          <c:showLegendKey val="0"/>
          <c:showVal val="1"/>
          <c:showCatName val="0"/>
          <c:showSerName val="0"/>
          <c:showPercent val="0"/>
          <c:showBubbleSize val="0"/>
          <c:showLeaderLines val="1"/>
        </c:dLbls>
      </c:pie3DChart>
    </c:plotArea>
    <c:legend>
      <c:legendPos val="r"/>
      <c:layout>
        <c:manualLayout>
          <c:xMode val="edge"/>
          <c:yMode val="edge"/>
          <c:x val="0.63742651956223451"/>
          <c:y val="0.10627217117063781"/>
          <c:w val="0.33008133270680062"/>
          <c:h val="0.81650775160928502"/>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pohlavia</a:t>
            </a:r>
            <a:endParaRPr lang="sk-SK" sz="1100">
              <a:effectLst/>
            </a:endParaRPr>
          </a:p>
        </c:rich>
      </c:tx>
      <c:layout>
        <c:manualLayout>
          <c:xMode val="edge"/>
          <c:yMode val="edge"/>
          <c:x val="0.23426872626516834"/>
          <c:y val="0.12149439538289758"/>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79069513581462"/>
          <c:y val="0.22544409158799902"/>
          <c:w val="0.50122608820978498"/>
          <c:h val="0.64708095880280148"/>
        </c:manualLayout>
      </c:layout>
      <c:pie3DChart>
        <c:varyColors val="1"/>
        <c:ser>
          <c:idx val="0"/>
          <c:order val="0"/>
          <c:explosion val="25"/>
          <c:dPt>
            <c:idx val="0"/>
            <c:bubble3D val="0"/>
            <c:explosion val="3"/>
            <c:extLst>
              <c:ext xmlns:c16="http://schemas.microsoft.com/office/drawing/2014/chart" uri="{C3380CC4-5D6E-409C-BE32-E72D297353CC}">
                <c16:uniqueId val="{00000001-D633-435F-B663-511608F20377}"/>
              </c:ext>
            </c:extLst>
          </c:dPt>
          <c:dPt>
            <c:idx val="1"/>
            <c:bubble3D val="0"/>
            <c:explosion val="5"/>
            <c:extLst>
              <c:ext xmlns:c16="http://schemas.microsoft.com/office/drawing/2014/chart" uri="{C3380CC4-5D6E-409C-BE32-E72D297353CC}">
                <c16:uniqueId val="{00000003-D633-435F-B663-511608F20377}"/>
              </c:ext>
            </c:extLst>
          </c:dPt>
          <c:dLbls>
            <c:dLbl>
              <c:idx val="0"/>
              <c:layout>
                <c:manualLayout>
                  <c:x val="-0.13439502776330373"/>
                  <c:y val="-6.01702411507953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33-435F-B663-511608F20377}"/>
                </c:ext>
              </c:extLst>
            </c:dLbl>
            <c:dLbl>
              <c:idx val="1"/>
              <c:layout>
                <c:manualLayout>
                  <c:x val="0.14071709573073643"/>
                  <c:y val="2.10122388016415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33-435F-B663-511608F20377}"/>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Hárok1!$A$1:$A$2</c:f>
              <c:strCache>
                <c:ptCount val="2"/>
                <c:pt idx="0">
                  <c:v>Muž</c:v>
                </c:pt>
                <c:pt idx="1">
                  <c:v>Žena</c:v>
                </c:pt>
              </c:strCache>
            </c:strRef>
          </c:cat>
          <c:val>
            <c:numRef>
              <c:f>Hárok1!$B$1:$B$2</c:f>
              <c:numCache>
                <c:formatCode>General</c:formatCode>
                <c:ptCount val="2"/>
                <c:pt idx="0">
                  <c:v>644</c:v>
                </c:pt>
                <c:pt idx="1">
                  <c:v>615</c:v>
                </c:pt>
              </c:numCache>
            </c:numRef>
          </c:val>
          <c:extLst>
            <c:ext xmlns:c16="http://schemas.microsoft.com/office/drawing/2014/chart" uri="{C3380CC4-5D6E-409C-BE32-E72D297353CC}">
              <c16:uniqueId val="{00000004-D633-435F-B663-511608F20377}"/>
            </c:ext>
          </c:extLst>
        </c:ser>
        <c:dLbls>
          <c:showLegendKey val="0"/>
          <c:showVal val="1"/>
          <c:showCatName val="0"/>
          <c:showSerName val="0"/>
          <c:showPercent val="0"/>
          <c:showBubbleSize val="0"/>
          <c:showLeaderLines val="1"/>
        </c:dLbls>
      </c:pie3DChart>
    </c:plotArea>
    <c:legend>
      <c:legendPos val="r"/>
      <c:layout>
        <c:manualLayout>
          <c:xMode val="edge"/>
          <c:yMode val="edge"/>
          <c:x val="0.80623218155349985"/>
          <c:y val="0.20476302666891052"/>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4726558535755433"/>
          <c:y val="0.13103055187408505"/>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357466499401753"/>
          <c:y val="0.25641279577257342"/>
          <c:w val="0.47523237002501301"/>
          <c:h val="0.61758198861818892"/>
        </c:manualLayout>
      </c:layout>
      <c:pie3DChart>
        <c:varyColors val="1"/>
        <c:ser>
          <c:idx val="0"/>
          <c:order val="0"/>
          <c:explosion val="25"/>
          <c:dPt>
            <c:idx val="0"/>
            <c:bubble3D val="0"/>
            <c:explosion val="7"/>
            <c:extLst>
              <c:ext xmlns:c16="http://schemas.microsoft.com/office/drawing/2014/chart" uri="{C3380CC4-5D6E-409C-BE32-E72D297353CC}">
                <c16:uniqueId val="{00000001-69D1-4A43-9EFC-C6A06E32DEF9}"/>
              </c:ext>
            </c:extLst>
          </c:dPt>
          <c:dPt>
            <c:idx val="1"/>
            <c:bubble3D val="0"/>
            <c:explosion val="7"/>
            <c:extLst>
              <c:ext xmlns:c16="http://schemas.microsoft.com/office/drawing/2014/chart" uri="{C3380CC4-5D6E-409C-BE32-E72D297353CC}">
                <c16:uniqueId val="{00000003-69D1-4A43-9EFC-C6A06E32DEF9}"/>
              </c:ext>
            </c:extLst>
          </c:dPt>
          <c:dPt>
            <c:idx val="2"/>
            <c:bubble3D val="0"/>
            <c:explosion val="12"/>
            <c:extLst>
              <c:ext xmlns:c16="http://schemas.microsoft.com/office/drawing/2014/chart" uri="{C3380CC4-5D6E-409C-BE32-E72D297353CC}">
                <c16:uniqueId val="{00000005-69D1-4A43-9EFC-C6A06E32DEF9}"/>
              </c:ext>
            </c:extLst>
          </c:dPt>
          <c:dPt>
            <c:idx val="3"/>
            <c:bubble3D val="0"/>
            <c:explosion val="8"/>
            <c:extLst>
              <c:ext xmlns:c16="http://schemas.microsoft.com/office/drawing/2014/chart" uri="{C3380CC4-5D6E-409C-BE32-E72D297353CC}">
                <c16:uniqueId val="{00000007-69D1-4A43-9EFC-C6A06E32DEF9}"/>
              </c:ext>
            </c:extLst>
          </c:dPt>
          <c:dLbls>
            <c:dLbl>
              <c:idx val="2"/>
              <c:layout>
                <c:manualLayout>
                  <c:x val="6.0283594194395149E-2"/>
                  <c:y val="-0.218012827579476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D1-4A43-9EFC-C6A06E32DEF9}"/>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do 25 - 29 r.</c:v>
                </c:pt>
                <c:pt idx="2">
                  <c:v>do 30 - 49 r.</c:v>
                </c:pt>
                <c:pt idx="3">
                  <c:v>50 a viac r.</c:v>
                </c:pt>
              </c:strCache>
            </c:strRef>
          </c:cat>
          <c:val>
            <c:numRef>
              <c:f>Hárok1!$B$1:$B$4</c:f>
              <c:numCache>
                <c:formatCode>General</c:formatCode>
                <c:ptCount val="4"/>
                <c:pt idx="0">
                  <c:v>135</c:v>
                </c:pt>
                <c:pt idx="1">
                  <c:v>217</c:v>
                </c:pt>
                <c:pt idx="2">
                  <c:v>625</c:v>
                </c:pt>
                <c:pt idx="3">
                  <c:v>282</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69D1-4A43-9EFC-C6A06E32DEF9}"/>
            </c:ext>
          </c:extLst>
        </c:ser>
        <c:dLbls>
          <c:showLegendKey val="0"/>
          <c:showVal val="1"/>
          <c:showCatName val="0"/>
          <c:showSerName val="0"/>
          <c:showPercent val="0"/>
          <c:showBubbleSize val="0"/>
          <c:showLeaderLines val="1"/>
        </c:dLbls>
      </c:pie3DChart>
    </c:plotArea>
    <c:legend>
      <c:legendPos val="r"/>
      <c:layout>
        <c:manualLayout>
          <c:xMode val="edge"/>
          <c:yMode val="edge"/>
          <c:x val="0.73691559972744103"/>
          <c:y val="0.13875626932772017"/>
          <c:w val="0.21367637991422414"/>
          <c:h val="0.7971393674800550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a:t>
            </a:r>
          </a:p>
          <a:p>
            <a:pPr>
              <a:defRPr sz="1100"/>
            </a:pPr>
            <a:r>
              <a:rPr lang="sk-SK" sz="1100" b="1" i="0" baseline="0">
                <a:effectLst/>
              </a:rPr>
              <a:t>podľa dosiahnutého stupňa vzdelania</a:t>
            </a:r>
            <a:endParaRPr lang="sk-SK" sz="1100">
              <a:effectLst/>
            </a:endParaRPr>
          </a:p>
        </c:rich>
      </c:tx>
      <c:layout>
        <c:manualLayout>
          <c:xMode val="edge"/>
          <c:yMode val="edge"/>
          <c:x val="0.18444743307768863"/>
          <c:y val="8.181056474351240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541480362718119"/>
          <c:y val="0.31476892066669948"/>
          <c:w val="0.46656779729675563"/>
          <c:h val="0.60533352821508135"/>
        </c:manualLayout>
      </c:layout>
      <c:pie3DChart>
        <c:varyColors val="1"/>
        <c:ser>
          <c:idx val="0"/>
          <c:order val="0"/>
          <c:explosion val="25"/>
          <c:dPt>
            <c:idx val="0"/>
            <c:bubble3D val="0"/>
            <c:explosion val="14"/>
            <c:extLst>
              <c:ext xmlns:c16="http://schemas.microsoft.com/office/drawing/2014/chart" uri="{C3380CC4-5D6E-409C-BE32-E72D297353CC}">
                <c16:uniqueId val="{00000001-8971-47ED-85C4-7D5433A5DBA0}"/>
              </c:ext>
            </c:extLst>
          </c:dPt>
          <c:dPt>
            <c:idx val="1"/>
            <c:bubble3D val="0"/>
            <c:explosion val="7"/>
            <c:extLst>
              <c:ext xmlns:c16="http://schemas.microsoft.com/office/drawing/2014/chart" uri="{C3380CC4-5D6E-409C-BE32-E72D297353CC}">
                <c16:uniqueId val="{00000003-8971-47ED-85C4-7D5433A5DBA0}"/>
              </c:ext>
            </c:extLst>
          </c:dPt>
          <c:dPt>
            <c:idx val="2"/>
            <c:bubble3D val="0"/>
            <c:explosion val="12"/>
            <c:extLst>
              <c:ext xmlns:c16="http://schemas.microsoft.com/office/drawing/2014/chart" uri="{C3380CC4-5D6E-409C-BE32-E72D297353CC}">
                <c16:uniqueId val="{00000005-8971-47ED-85C4-7D5433A5DBA0}"/>
              </c:ext>
            </c:extLst>
          </c:dPt>
          <c:dPt>
            <c:idx val="3"/>
            <c:bubble3D val="0"/>
            <c:explosion val="20"/>
            <c:extLst>
              <c:ext xmlns:c16="http://schemas.microsoft.com/office/drawing/2014/chart" uri="{C3380CC4-5D6E-409C-BE32-E72D297353CC}">
                <c16:uniqueId val="{00000007-8971-47ED-85C4-7D5433A5DBA0}"/>
              </c:ext>
            </c:extLst>
          </c:dPt>
          <c:dPt>
            <c:idx val="4"/>
            <c:bubble3D val="0"/>
            <c:explosion val="19"/>
            <c:extLst>
              <c:ext xmlns:c16="http://schemas.microsoft.com/office/drawing/2014/chart" uri="{C3380CC4-5D6E-409C-BE32-E72D297353CC}">
                <c16:uniqueId val="{00000009-8971-47ED-85C4-7D5433A5DBA0}"/>
              </c:ext>
            </c:extLst>
          </c:dPt>
          <c:dLbls>
            <c:dLbl>
              <c:idx val="1"/>
              <c:layout>
                <c:manualLayout>
                  <c:x val="-0.11404368616167103"/>
                  <c:y val="-7.97072903802171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971-47ED-85C4-7D5433A5DBA0}"/>
                </c:ext>
              </c:extLst>
            </c:dLbl>
            <c:dLbl>
              <c:idx val="2"/>
              <c:layout>
                <c:manualLayout>
                  <c:x val="-1.077553895603838E-2"/>
                  <c:y val="3.55666815851641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971-47ED-85C4-7D5433A5DBA0}"/>
                </c:ext>
              </c:extLst>
            </c:dLbl>
            <c:dLbl>
              <c:idx val="3"/>
              <c:layout>
                <c:manualLayout>
                  <c:x val="0.10157778799257371"/>
                  <c:y val="-0.145628931150356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971-47ED-85C4-7D5433A5DBA0}"/>
                </c:ext>
              </c:extLst>
            </c:dLbl>
            <c:dLbl>
              <c:idx val="5"/>
              <c:layout>
                <c:manualLayout>
                  <c:x val="-3.2001695390805489E-2"/>
                  <c:y val="1.44948777093056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971-47ED-85C4-7D5433A5DBA0}"/>
                </c:ext>
              </c:extLst>
            </c:dLbl>
            <c:dLbl>
              <c:idx val="6"/>
              <c:layout>
                <c:manualLayout>
                  <c:x val="-1.8692792286483521E-2"/>
                  <c:y val="-6.31206119740104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971-47ED-85C4-7D5433A5DBA0}"/>
                </c:ext>
              </c:extLst>
            </c:dLbl>
            <c:dLbl>
              <c:idx val="7"/>
              <c:layout>
                <c:manualLayout>
                  <c:x val="5.7999251230821315E-2"/>
                  <c:y val="-8.51365843461235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971-47ED-85C4-7D5433A5DBA0}"/>
                </c:ext>
              </c:extLst>
            </c:dLbl>
            <c:dLbl>
              <c:idx val="8"/>
              <c:layout>
                <c:manualLayout>
                  <c:x val="5.5133460857195733E-2"/>
                  <c:y val="5.60062951336781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971-47ED-85C4-7D5433A5DBA0}"/>
                </c:ext>
              </c:extLst>
            </c:dLbl>
            <c:dLbl>
              <c:idx val="9"/>
              <c:layout>
                <c:manualLayout>
                  <c:x val="4.583712479457884E-2"/>
                  <c:y val="-1.58575431038015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8971-47ED-85C4-7D5433A5DBA0}"/>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Vyššie odborné vzdelanie </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123</c:v>
                </c:pt>
                <c:pt idx="1">
                  <c:v>480</c:v>
                </c:pt>
                <c:pt idx="2">
                  <c:v>35</c:v>
                </c:pt>
                <c:pt idx="3">
                  <c:v>285</c:v>
                </c:pt>
                <c:pt idx="4">
                  <c:v>171</c:v>
                </c:pt>
                <c:pt idx="5">
                  <c:v>16</c:v>
                </c:pt>
                <c:pt idx="6">
                  <c:v>3</c:v>
                </c:pt>
                <c:pt idx="7">
                  <c:v>15</c:v>
                </c:pt>
                <c:pt idx="8">
                  <c:v>125</c:v>
                </c:pt>
                <c:pt idx="9">
                  <c:v>6</c:v>
                </c:pt>
              </c:numCache>
            </c:numRef>
          </c:val>
          <c:extLst>
            <c:ext xmlns:c16="http://schemas.microsoft.com/office/drawing/2014/chart" uri="{C3380CC4-5D6E-409C-BE32-E72D297353CC}">
              <c16:uniqueId val="{0000000F-8971-47ED-85C4-7D5433A5DBA0}"/>
            </c:ext>
          </c:extLst>
        </c:ser>
        <c:dLbls>
          <c:showLegendKey val="0"/>
          <c:showVal val="1"/>
          <c:showCatName val="0"/>
          <c:showSerName val="0"/>
          <c:showPercent val="0"/>
          <c:showBubbleSize val="0"/>
          <c:showLeaderLines val="1"/>
        </c:dLbls>
      </c:pie3DChart>
    </c:plotArea>
    <c:legend>
      <c:legendPos val="r"/>
      <c:layout>
        <c:manualLayout>
          <c:xMode val="edge"/>
          <c:yMode val="edge"/>
          <c:x val="0.66558638092907085"/>
          <c:y val="7.0428981940705293E-2"/>
          <c:w val="0.30408761452202859"/>
          <c:h val="0.8529081654848392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SK NACE</a:t>
            </a:r>
            <a:endParaRPr lang="sk-SK" sz="1100">
              <a:effectLst/>
            </a:endParaRPr>
          </a:p>
        </c:rich>
      </c:tx>
      <c:layout>
        <c:manualLayout>
          <c:xMode val="edge"/>
          <c:yMode val="edge"/>
          <c:x val="0.18877971944181732"/>
          <c:y val="3.401741564072446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1859036953208749"/>
          <c:y val="0.29910891663403955"/>
          <c:w val="0.41891264729134031"/>
          <c:h val="0.54118777279911834"/>
        </c:manualLayout>
      </c:layout>
      <c:pie3DChart>
        <c:varyColors val="1"/>
        <c:ser>
          <c:idx val="0"/>
          <c:order val="0"/>
          <c:explosion val="25"/>
          <c:dPt>
            <c:idx val="0"/>
            <c:bubble3D val="0"/>
            <c:extLst>
              <c:ext xmlns:c16="http://schemas.microsoft.com/office/drawing/2014/chart" uri="{C3380CC4-5D6E-409C-BE32-E72D297353CC}">
                <c16:uniqueId val="{00000001-F395-42B8-BA4B-78FACF77591C}"/>
              </c:ext>
            </c:extLst>
          </c:dPt>
          <c:dPt>
            <c:idx val="1"/>
            <c:bubble3D val="0"/>
            <c:extLst>
              <c:ext xmlns:c16="http://schemas.microsoft.com/office/drawing/2014/chart" uri="{C3380CC4-5D6E-409C-BE32-E72D297353CC}">
                <c16:uniqueId val="{00000003-F395-42B8-BA4B-78FACF77591C}"/>
              </c:ext>
            </c:extLst>
          </c:dPt>
          <c:dPt>
            <c:idx val="2"/>
            <c:bubble3D val="0"/>
            <c:extLst>
              <c:ext xmlns:c16="http://schemas.microsoft.com/office/drawing/2014/chart" uri="{C3380CC4-5D6E-409C-BE32-E72D297353CC}">
                <c16:uniqueId val="{00000005-F395-42B8-BA4B-78FACF77591C}"/>
              </c:ext>
            </c:extLst>
          </c:dPt>
          <c:dPt>
            <c:idx val="14"/>
            <c:bubble3D val="0"/>
            <c:explosion val="22"/>
            <c:extLst>
              <c:ext xmlns:c16="http://schemas.microsoft.com/office/drawing/2014/chart" uri="{C3380CC4-5D6E-409C-BE32-E72D297353CC}">
                <c16:uniqueId val="{00000004-62B0-44CA-BFD2-7A90306F5E84}"/>
              </c:ext>
            </c:extLst>
          </c:dPt>
          <c:dLbls>
            <c:dLbl>
              <c:idx val="9"/>
              <c:layout>
                <c:manualLayout>
                  <c:x val="2.2073169587690768E-2"/>
                  <c:y val="6.16500630791315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395-42B8-BA4B-78FACF77591C}"/>
                </c:ext>
              </c:extLst>
            </c:dLbl>
            <c:dLbl>
              <c:idx val="12"/>
              <c:layout>
                <c:manualLayout>
                  <c:x val="-5.1097867884027766E-2"/>
                  <c:y val="2.3728991748959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395-42B8-BA4B-78FACF77591C}"/>
                </c:ext>
              </c:extLst>
            </c:dLbl>
            <c:dLbl>
              <c:idx val="19"/>
              <c:layout>
                <c:manualLayout>
                  <c:x val="-6.8915760056149163E-4"/>
                  <c:y val="-9.84331723727904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395-42B8-BA4B-78FACF77591C}"/>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Hárok1!$A$1:$A$20</c:f>
              <c:strCache>
                <c:ptCount val="20"/>
                <c:pt idx="0">
                  <c:v>Pôdohospodárstvo</c:v>
                </c:pt>
                <c:pt idx="1">
                  <c:v>Ťažba a dobývanie</c:v>
                </c:pt>
                <c:pt idx="2">
                  <c:v>Priemyselná výroba</c:v>
                </c:pt>
                <c:pt idx="3">
                  <c:v>Dod.elektriny, plynu, pary</c:v>
                </c:pt>
                <c:pt idx="4">
                  <c:v>Dodávka vody</c:v>
                </c:pt>
                <c:pt idx="5">
                  <c:v>Stavebníctvo</c:v>
                </c:pt>
                <c:pt idx="6">
                  <c:v>Veľkoobchod a maloobchod</c:v>
                </c:pt>
                <c:pt idx="7">
                  <c:v>Doprava a skladovanie</c:v>
                </c:pt>
                <c:pt idx="8">
                  <c:v>Ubytovanie a strav.služ.</c:v>
                </c:pt>
                <c:pt idx="9">
                  <c:v>Informácie a komunikácia</c:v>
                </c:pt>
                <c:pt idx="10">
                  <c:v>Finančné a poisťov.čin.</c:v>
                </c:pt>
                <c:pt idx="11">
                  <c:v>Čin.v obl.nehnuteľností</c:v>
                </c:pt>
                <c:pt idx="12">
                  <c:v>Odborné, vedec, techn.čin.</c:v>
                </c:pt>
                <c:pt idx="13">
                  <c:v>Administratívne služby</c:v>
                </c:pt>
                <c:pt idx="14">
                  <c:v>Verej.správa, socál.zab.</c:v>
                </c:pt>
                <c:pt idx="15">
                  <c:v>Vzdelávanie</c:v>
                </c:pt>
                <c:pt idx="16">
                  <c:v>Zdravotníctvo a soc.pom.</c:v>
                </c:pt>
                <c:pt idx="17">
                  <c:v>Umenie,zábava,rekreácia</c:v>
                </c:pt>
                <c:pt idx="18">
                  <c:v>Ostatné činnosti</c:v>
                </c:pt>
                <c:pt idx="19">
                  <c:v>Neurčené</c:v>
                </c:pt>
              </c:strCache>
            </c:strRef>
          </c:cat>
          <c:val>
            <c:numRef>
              <c:f>Hárok1!$B$1:$B$20</c:f>
              <c:numCache>
                <c:formatCode>General</c:formatCode>
                <c:ptCount val="20"/>
                <c:pt idx="0">
                  <c:v>30</c:v>
                </c:pt>
                <c:pt idx="1">
                  <c:v>5</c:v>
                </c:pt>
                <c:pt idx="2">
                  <c:v>275</c:v>
                </c:pt>
                <c:pt idx="3">
                  <c:v>2</c:v>
                </c:pt>
                <c:pt idx="4">
                  <c:v>27</c:v>
                </c:pt>
                <c:pt idx="5">
                  <c:v>74</c:v>
                </c:pt>
                <c:pt idx="6">
                  <c:v>88</c:v>
                </c:pt>
                <c:pt idx="7">
                  <c:v>20</c:v>
                </c:pt>
                <c:pt idx="8">
                  <c:v>41</c:v>
                </c:pt>
                <c:pt idx="9">
                  <c:v>6</c:v>
                </c:pt>
                <c:pt idx="10">
                  <c:v>6</c:v>
                </c:pt>
                <c:pt idx="11">
                  <c:v>17</c:v>
                </c:pt>
                <c:pt idx="12">
                  <c:v>25</c:v>
                </c:pt>
                <c:pt idx="13">
                  <c:v>182</c:v>
                </c:pt>
                <c:pt idx="14">
                  <c:v>202</c:v>
                </c:pt>
                <c:pt idx="15">
                  <c:v>79</c:v>
                </c:pt>
                <c:pt idx="16">
                  <c:v>119</c:v>
                </c:pt>
                <c:pt idx="17">
                  <c:v>8</c:v>
                </c:pt>
                <c:pt idx="18">
                  <c:v>52</c:v>
                </c:pt>
                <c:pt idx="19">
                  <c:v>1</c:v>
                </c:pt>
              </c:numCache>
            </c:numRef>
          </c:val>
          <c:extLst>
            <c:ext xmlns:c16="http://schemas.microsoft.com/office/drawing/2014/chart" uri="{C3380CC4-5D6E-409C-BE32-E72D297353CC}">
              <c16:uniqueId val="{00000007-F395-42B8-BA4B-78FACF77591C}"/>
            </c:ext>
          </c:extLst>
        </c:ser>
        <c:dLbls>
          <c:showLegendKey val="0"/>
          <c:showVal val="1"/>
          <c:showCatName val="0"/>
          <c:showSerName val="0"/>
          <c:showPercent val="0"/>
          <c:showBubbleSize val="0"/>
          <c:showLeaderLines val="1"/>
        </c:dLbls>
      </c:pie3DChart>
    </c:plotArea>
    <c:legend>
      <c:legendPos val="r"/>
      <c:layout>
        <c:manualLayout>
          <c:xMode val="edge"/>
          <c:yMode val="edge"/>
          <c:x val="0.68059587699376844"/>
          <c:y val="6.2037600962863065E-2"/>
          <c:w val="0.27866067537615413"/>
          <c:h val="0.91056611708066881"/>
        </c:manualLayout>
      </c:layout>
      <c:overlay val="0"/>
      <c:txPr>
        <a:bodyPr/>
        <a:lstStyle/>
        <a:p>
          <a:pPr>
            <a:defRPr sz="8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17794900353149562"/>
          <c:y val="0.10768224068676496"/>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54147364298159"/>
          <c:y val="0.25767243406300361"/>
          <c:w val="0.47090003423485111"/>
          <c:h val="0.61024844335402961"/>
        </c:manualLayout>
      </c:layout>
      <c:pie3DChart>
        <c:varyColors val="1"/>
        <c:ser>
          <c:idx val="0"/>
          <c:order val="0"/>
          <c:explosion val="25"/>
          <c:dPt>
            <c:idx val="0"/>
            <c:bubble3D val="0"/>
            <c:explosion val="14"/>
            <c:extLst>
              <c:ext xmlns:c16="http://schemas.microsoft.com/office/drawing/2014/chart" uri="{C3380CC4-5D6E-409C-BE32-E72D297353CC}">
                <c16:uniqueId val="{00000001-C99C-4161-BC48-D53D438A9B79}"/>
              </c:ext>
            </c:extLst>
          </c:dPt>
          <c:dPt>
            <c:idx val="1"/>
            <c:bubble3D val="0"/>
            <c:explosion val="7"/>
            <c:extLst>
              <c:ext xmlns:c16="http://schemas.microsoft.com/office/drawing/2014/chart" uri="{C3380CC4-5D6E-409C-BE32-E72D297353CC}">
                <c16:uniqueId val="{00000003-C99C-4161-BC48-D53D438A9B79}"/>
              </c:ext>
            </c:extLst>
          </c:dPt>
          <c:dPt>
            <c:idx val="2"/>
            <c:bubble3D val="0"/>
            <c:explosion val="7"/>
            <c:extLst>
              <c:ext xmlns:c16="http://schemas.microsoft.com/office/drawing/2014/chart" uri="{C3380CC4-5D6E-409C-BE32-E72D297353CC}">
                <c16:uniqueId val="{00000005-C99C-4161-BC48-D53D438A9B79}"/>
              </c:ext>
            </c:extLst>
          </c:dPt>
          <c:dPt>
            <c:idx val="3"/>
            <c:bubble3D val="0"/>
            <c:explosion val="11"/>
            <c:extLst>
              <c:ext xmlns:c16="http://schemas.microsoft.com/office/drawing/2014/chart" uri="{C3380CC4-5D6E-409C-BE32-E72D297353CC}">
                <c16:uniqueId val="{00000007-C99C-4161-BC48-D53D438A9B79}"/>
              </c:ext>
            </c:extLst>
          </c:dPt>
          <c:dPt>
            <c:idx val="4"/>
            <c:bubble3D val="0"/>
            <c:explosion val="13"/>
            <c:extLst>
              <c:ext xmlns:c16="http://schemas.microsoft.com/office/drawing/2014/chart" uri="{C3380CC4-5D6E-409C-BE32-E72D297353CC}">
                <c16:uniqueId val="{00000009-C99C-4161-BC48-D53D438A9B79}"/>
              </c:ext>
            </c:extLst>
          </c:dPt>
          <c:dLbls>
            <c:dLbl>
              <c:idx val="2"/>
              <c:layout>
                <c:manualLayout>
                  <c:x val="-0.10436801919850996"/>
                  <c:y val="-0.145362596250054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9C-4161-BC48-D53D438A9B79}"/>
                </c:ext>
              </c:extLst>
            </c:dLbl>
            <c:dLbl>
              <c:idx val="3"/>
              <c:layout>
                <c:manualLayout>
                  <c:x val="8.9117006697134807E-2"/>
                  <c:y val="-0.181732428474065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9C-4161-BC48-D53D438A9B79}"/>
                </c:ext>
              </c:extLst>
            </c:dLbl>
            <c:dLbl>
              <c:idx val="4"/>
              <c:layout>
                <c:manualLayout>
                  <c:x val="9.5128309871046257E-2"/>
                  <c:y val="5.3534969040472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9C-4161-BC48-D53D438A9B79}"/>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129</c:v>
                </c:pt>
                <c:pt idx="1">
                  <c:v>201</c:v>
                </c:pt>
                <c:pt idx="2">
                  <c:v>266</c:v>
                </c:pt>
                <c:pt idx="3">
                  <c:v>279</c:v>
                </c:pt>
                <c:pt idx="4">
                  <c:v>384</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C99C-4161-BC48-D53D438A9B79}"/>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pracovných miest podľa SK ISCO</a:t>
            </a:r>
            <a:endParaRPr lang="sk-SK" sz="1100">
              <a:effectLst/>
            </a:endParaRPr>
          </a:p>
        </c:rich>
      </c:tx>
      <c:layout>
        <c:manualLayout>
          <c:xMode val="edge"/>
          <c:yMode val="edge"/>
          <c:x val="0.13029385352608028"/>
          <c:y val="7.371660797280796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4.4941501341900114E-2"/>
          <c:y val="0.26162527008098546"/>
          <c:w val="0.47956465638914175"/>
          <c:h val="0.61945664941053635"/>
        </c:manualLayout>
      </c:layout>
      <c:pie3DChart>
        <c:varyColors val="1"/>
        <c:ser>
          <c:idx val="0"/>
          <c:order val="0"/>
          <c:explosion val="25"/>
          <c:dPt>
            <c:idx val="1"/>
            <c:bubble3D val="0"/>
            <c:explosion val="14"/>
            <c:extLst>
              <c:ext xmlns:c16="http://schemas.microsoft.com/office/drawing/2014/chart" uri="{C3380CC4-5D6E-409C-BE32-E72D297353CC}">
                <c16:uniqueId val="{00000001-0857-46EF-A958-0C3AD75C8196}"/>
              </c:ext>
            </c:extLst>
          </c:dPt>
          <c:dPt>
            <c:idx val="2"/>
            <c:bubble3D val="0"/>
            <c:explosion val="7"/>
            <c:extLst>
              <c:ext xmlns:c16="http://schemas.microsoft.com/office/drawing/2014/chart" uri="{C3380CC4-5D6E-409C-BE32-E72D297353CC}">
                <c16:uniqueId val="{00000003-0857-46EF-A958-0C3AD75C8196}"/>
              </c:ext>
            </c:extLst>
          </c:dPt>
          <c:dPt>
            <c:idx val="3"/>
            <c:bubble3D val="0"/>
            <c:explosion val="12"/>
            <c:extLst>
              <c:ext xmlns:c16="http://schemas.microsoft.com/office/drawing/2014/chart" uri="{C3380CC4-5D6E-409C-BE32-E72D297353CC}">
                <c16:uniqueId val="{00000005-0857-46EF-A958-0C3AD75C8196}"/>
              </c:ext>
            </c:extLst>
          </c:dPt>
          <c:dPt>
            <c:idx val="4"/>
            <c:bubble3D val="0"/>
            <c:explosion val="16"/>
            <c:extLst>
              <c:ext xmlns:c16="http://schemas.microsoft.com/office/drawing/2014/chart" uri="{C3380CC4-5D6E-409C-BE32-E72D297353CC}">
                <c16:uniqueId val="{00000007-0857-46EF-A958-0C3AD75C8196}"/>
              </c:ext>
            </c:extLst>
          </c:dPt>
          <c:dPt>
            <c:idx val="5"/>
            <c:bubble3D val="0"/>
            <c:explosion val="18"/>
            <c:extLst>
              <c:ext xmlns:c16="http://schemas.microsoft.com/office/drawing/2014/chart" uri="{C3380CC4-5D6E-409C-BE32-E72D297353CC}">
                <c16:uniqueId val="{0000000B-0857-46EF-A958-0C3AD75C8196}"/>
              </c:ext>
            </c:extLst>
          </c:dPt>
          <c:dPt>
            <c:idx val="6"/>
            <c:bubble3D val="0"/>
            <c:explosion val="15"/>
            <c:extLst>
              <c:ext xmlns:c16="http://schemas.microsoft.com/office/drawing/2014/chart" uri="{C3380CC4-5D6E-409C-BE32-E72D297353CC}">
                <c16:uniqueId val="{0000000C-0857-46EF-A958-0C3AD75C8196}"/>
              </c:ext>
            </c:extLst>
          </c:dPt>
          <c:dPt>
            <c:idx val="7"/>
            <c:bubble3D val="0"/>
            <c:explosion val="9"/>
            <c:extLst>
              <c:ext xmlns:c16="http://schemas.microsoft.com/office/drawing/2014/chart" uri="{C3380CC4-5D6E-409C-BE32-E72D297353CC}">
                <c16:uniqueId val="{0000000D-0857-46EF-A958-0C3AD75C8196}"/>
              </c:ext>
            </c:extLst>
          </c:dPt>
          <c:dPt>
            <c:idx val="8"/>
            <c:bubble3D val="0"/>
            <c:explosion val="3"/>
            <c:extLst>
              <c:ext xmlns:c16="http://schemas.microsoft.com/office/drawing/2014/chart" uri="{C3380CC4-5D6E-409C-BE32-E72D297353CC}">
                <c16:uniqueId val="{00000009-0857-46EF-A958-0C3AD75C8196}"/>
              </c:ext>
            </c:extLst>
          </c:dPt>
          <c:dLbls>
            <c:dLbl>
              <c:idx val="0"/>
              <c:layout>
                <c:manualLayout>
                  <c:x val="-5.1864290276831392E-2"/>
                  <c:y val="-1.57314509847269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857-46EF-A958-0C3AD75C8196}"/>
                </c:ext>
              </c:extLst>
            </c:dLbl>
            <c:dLbl>
              <c:idx val="1"/>
              <c:layout>
                <c:manualLayout>
                  <c:x val="-2.1017558551958866E-2"/>
                  <c:y val="-2.40334511816205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57-46EF-A958-0C3AD75C8196}"/>
                </c:ext>
              </c:extLst>
            </c:dLbl>
            <c:dLbl>
              <c:idx val="2"/>
              <c:layout>
                <c:manualLayout>
                  <c:x val="4.7058181411925121E-4"/>
                  <c:y val="-3.11071118303675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57-46EF-A958-0C3AD75C8196}"/>
                </c:ext>
              </c:extLst>
            </c:dLbl>
            <c:dLbl>
              <c:idx val="3"/>
              <c:layout>
                <c:manualLayout>
                  <c:x val="1.9495288638579009E-2"/>
                  <c:y val="-4.0213032567556021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57-46EF-A958-0C3AD75C8196}"/>
                </c:ext>
              </c:extLst>
            </c:dLbl>
            <c:dLbl>
              <c:idx val="4"/>
              <c:layout>
                <c:manualLayout>
                  <c:x val="-8.7819196974904368E-2"/>
                  <c:y val="4.906104218876566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57-46EF-A958-0C3AD75C8196}"/>
                </c:ext>
              </c:extLst>
            </c:dLbl>
            <c:dLbl>
              <c:idx val="5"/>
              <c:layout>
                <c:manualLayout>
                  <c:x val="-3.2285767160075422E-3"/>
                  <c:y val="-8.51284903271714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857-46EF-A958-0C3AD75C8196}"/>
                </c:ext>
              </c:extLst>
            </c:dLbl>
            <c:dLbl>
              <c:idx val="6"/>
              <c:layout>
                <c:manualLayout>
                  <c:x val="-6.733123484659187E-2"/>
                  <c:y val="-0.126482703590544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857-46EF-A958-0C3AD75C8196}"/>
                </c:ext>
              </c:extLst>
            </c:dLbl>
            <c:dLbl>
              <c:idx val="7"/>
              <c:layout>
                <c:manualLayout>
                  <c:x val="-6.6689749452281358E-2"/>
                  <c:y val="-0.196053492874697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857-46EF-A958-0C3AD75C8196}"/>
                </c:ext>
              </c:extLst>
            </c:dLbl>
            <c:dLbl>
              <c:idx val="8"/>
              <c:layout>
                <c:manualLayout>
                  <c:x val="0.13600854859025865"/>
                  <c:y val="2.56348522348283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57-46EF-A958-0C3AD75C8196}"/>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9"/>
                <c:pt idx="0">
                  <c:v>Zákonodarcovia, riadiaci pracovníci</c:v>
                </c:pt>
                <c:pt idx="1">
                  <c:v>Špecialisti</c:v>
                </c:pt>
                <c:pt idx="2">
                  <c:v>Technici a odborní pracovníci</c:v>
                </c:pt>
                <c:pt idx="3">
                  <c:v>Administratívni pracovníci</c:v>
                </c:pt>
                <c:pt idx="4">
                  <c:v>Pracovníci v službách a obchode</c:v>
                </c:pt>
                <c:pt idx="5">
                  <c:v>Kvalifikovaní pracovníci v poľnohospodárstve, lesníctve a rybárstve</c:v>
                </c:pt>
                <c:pt idx="6">
                  <c:v>Kvalifikovaní pracovníci a remeselníci </c:v>
                </c:pt>
                <c:pt idx="7">
                  <c:v>Operátori a montéri strojov a zariadení</c:v>
                </c:pt>
                <c:pt idx="8">
                  <c:v>Pomocní a nekvalifikovaní pracovníci </c:v>
                </c:pt>
              </c:strCache>
            </c:strRef>
          </c:cat>
          <c:val>
            <c:numRef>
              <c:f>Hárok1!$B$1:$B$9</c:f>
              <c:numCache>
                <c:formatCode>General</c:formatCode>
                <c:ptCount val="9"/>
                <c:pt idx="0">
                  <c:v>3</c:v>
                </c:pt>
                <c:pt idx="1">
                  <c:v>103</c:v>
                </c:pt>
                <c:pt idx="2">
                  <c:v>54</c:v>
                </c:pt>
                <c:pt idx="3">
                  <c:v>35</c:v>
                </c:pt>
                <c:pt idx="4">
                  <c:v>202</c:v>
                </c:pt>
                <c:pt idx="5">
                  <c:v>13</c:v>
                </c:pt>
                <c:pt idx="6">
                  <c:v>74</c:v>
                </c:pt>
                <c:pt idx="7">
                  <c:v>200</c:v>
                </c:pt>
                <c:pt idx="8">
                  <c:v>575</c:v>
                </c:pt>
              </c:numCache>
            </c:numRef>
          </c:val>
          <c:extLst>
            <c:ext xmlns:c16="http://schemas.microsoft.com/office/drawing/2014/chart" uri="{C3380CC4-5D6E-409C-BE32-E72D297353CC}">
              <c16:uniqueId val="{0000000E-0857-46EF-A958-0C3AD75C8196}"/>
            </c:ext>
          </c:extLst>
        </c:ser>
        <c:dLbls>
          <c:showLegendKey val="0"/>
          <c:showVal val="1"/>
          <c:showCatName val="0"/>
          <c:showSerName val="0"/>
          <c:showPercent val="0"/>
          <c:showBubbleSize val="0"/>
          <c:showLeaderLines val="1"/>
        </c:dLbls>
      </c:pie3DChart>
    </c:plotArea>
    <c:legend>
      <c:legendPos val="r"/>
      <c:layout>
        <c:manualLayout>
          <c:xMode val="edge"/>
          <c:yMode val="edge"/>
          <c:x val="0.65676830199106084"/>
          <c:y val="0.10964243091021826"/>
          <c:w val="0.29382367765060452"/>
          <c:h val="0.8903575690897817"/>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z hľadiska znevýhodnenia</a:t>
            </a:r>
            <a:endParaRPr lang="sk-SK" sz="1100">
              <a:effectLst/>
            </a:endParaRPr>
          </a:p>
        </c:rich>
      </c:tx>
      <c:layout>
        <c:manualLayout>
          <c:xMode val="edge"/>
          <c:yMode val="edge"/>
          <c:x val="0.18228128989562431"/>
          <c:y val="8.005793129449978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108251726305252"/>
          <c:y val="0.30831701976479459"/>
          <c:w val="0.47090003423485111"/>
          <c:h val="0.61024844335402961"/>
        </c:manualLayout>
      </c:layout>
      <c:pie3DChart>
        <c:varyColors val="1"/>
        <c:ser>
          <c:idx val="0"/>
          <c:order val="0"/>
          <c:explosion val="25"/>
          <c:dPt>
            <c:idx val="0"/>
            <c:bubble3D val="0"/>
            <c:explosion val="14"/>
            <c:extLst>
              <c:ext xmlns:c16="http://schemas.microsoft.com/office/drawing/2014/chart" uri="{C3380CC4-5D6E-409C-BE32-E72D297353CC}">
                <c16:uniqueId val="{00000001-BFA1-440A-8C9F-BC4AC2476DCA}"/>
              </c:ext>
            </c:extLst>
          </c:dPt>
          <c:dPt>
            <c:idx val="1"/>
            <c:bubble3D val="0"/>
            <c:explosion val="29"/>
            <c:extLst>
              <c:ext xmlns:c16="http://schemas.microsoft.com/office/drawing/2014/chart" uri="{C3380CC4-5D6E-409C-BE32-E72D297353CC}">
                <c16:uniqueId val="{00000003-BFA1-440A-8C9F-BC4AC2476DCA}"/>
              </c:ext>
            </c:extLst>
          </c:dPt>
          <c:dPt>
            <c:idx val="2"/>
            <c:bubble3D val="0"/>
            <c:explosion val="12"/>
            <c:extLst>
              <c:ext xmlns:c16="http://schemas.microsoft.com/office/drawing/2014/chart" uri="{C3380CC4-5D6E-409C-BE32-E72D297353CC}">
                <c16:uniqueId val="{00000005-BFA1-440A-8C9F-BC4AC2476DCA}"/>
              </c:ext>
            </c:extLst>
          </c:dPt>
          <c:dPt>
            <c:idx val="3"/>
            <c:bubble3D val="0"/>
            <c:explosion val="16"/>
            <c:extLst>
              <c:ext xmlns:c16="http://schemas.microsoft.com/office/drawing/2014/chart" uri="{C3380CC4-5D6E-409C-BE32-E72D297353CC}">
                <c16:uniqueId val="{00000007-BFA1-440A-8C9F-BC4AC2476DCA}"/>
              </c:ext>
            </c:extLst>
          </c:dPt>
          <c:dLbls>
            <c:dLbl>
              <c:idx val="0"/>
              <c:layout>
                <c:manualLayout>
                  <c:x val="9.621956845993189E-2"/>
                  <c:y val="-2.67509896898246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FA1-440A-8C9F-BC4AC2476DCA}"/>
                </c:ext>
              </c:extLst>
            </c:dLbl>
            <c:dLbl>
              <c:idx val="1"/>
              <c:layout>
                <c:manualLayout>
                  <c:x val="-5.3147431627907853E-2"/>
                  <c:y val="6.4682755470483314E-2"/>
                </c:manualLayout>
              </c:layout>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7.1309433553557885E-2"/>
                      <c:h val="7.8199997099810029E-2"/>
                    </c:manualLayout>
                  </c15:layout>
                </c:ext>
                <c:ext xmlns:c16="http://schemas.microsoft.com/office/drawing/2014/chart" uri="{C3380CC4-5D6E-409C-BE32-E72D297353CC}">
                  <c16:uniqueId val="{00000003-BFA1-440A-8C9F-BC4AC2476DCA}"/>
                </c:ext>
              </c:extLst>
            </c:dLbl>
            <c:dLbl>
              <c:idx val="2"/>
              <c:layout>
                <c:manualLayout>
                  <c:x val="-9.5360104247772748E-2"/>
                  <c:y val="-8.60790881802758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FA1-440A-8C9F-BC4AC2476DCA}"/>
                </c:ext>
              </c:extLst>
            </c:dLbl>
            <c:dLbl>
              <c:idx val="3"/>
              <c:layout>
                <c:manualLayout>
                  <c:x val="1.8777220701847448E-3"/>
                  <c:y val="-0.187452328127492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FA1-440A-8C9F-BC4AC2476DCA}"/>
                </c:ext>
              </c:extLst>
            </c:dLbl>
            <c:dLbl>
              <c:idx val="4"/>
              <c:layout>
                <c:manualLayout>
                  <c:x val="0.11207829498947203"/>
                  <c:y val="5.1516618088484796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1309433553557885E-2"/>
                      <c:h val="6.4387842403677426E-2"/>
                    </c:manualLayout>
                  </c15:layout>
                </c:ext>
                <c:ext xmlns:c16="http://schemas.microsoft.com/office/drawing/2014/chart" uri="{C3380CC4-5D6E-409C-BE32-E72D297353CC}">
                  <c16:uniqueId val="{00000008-BFA1-440A-8C9F-BC4AC2476DCA}"/>
                </c:ext>
              </c:extLst>
            </c:dLbl>
            <c:dLbl>
              <c:idx val="5"/>
              <c:layout>
                <c:manualLayout>
                  <c:x val="-8.5937296124565174E-2"/>
                  <c:y val="-1.97325299807137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FA1-440A-8C9F-BC4AC2476DCA}"/>
                </c:ext>
              </c:extLst>
            </c:dLbl>
            <c:dLbl>
              <c:idx val="6"/>
              <c:layout>
                <c:manualLayout>
                  <c:x val="4.8530135401004329E-3"/>
                  <c:y val="-6.00179811777671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FA1-440A-8C9F-BC4AC2476DCA}"/>
                </c:ext>
              </c:extLst>
            </c:dLbl>
            <c:dLbl>
              <c:idx val="7"/>
              <c:layout>
                <c:manualLayout>
                  <c:x val="6.4121249438209835E-2"/>
                  <c:y val="-5.54139296123896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FA1-440A-8C9F-BC4AC2476DCA}"/>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písm. a)</c:v>
                </c:pt>
                <c:pt idx="1">
                  <c:v>písm. b)</c:v>
                </c:pt>
                <c:pt idx="2">
                  <c:v>písm. c)</c:v>
                </c:pt>
                <c:pt idx="3">
                  <c:v>písm. d)</c:v>
                </c:pt>
                <c:pt idx="4">
                  <c:v>písm. e)</c:v>
                </c:pt>
                <c:pt idx="5">
                  <c:v>písm. g)</c:v>
                </c:pt>
                <c:pt idx="6">
                  <c:v>písm. h)</c:v>
                </c:pt>
                <c:pt idx="7">
                  <c:v>písm. i)</c:v>
                </c:pt>
              </c:strCache>
            </c:strRef>
          </c:cat>
          <c:val>
            <c:numRef>
              <c:f>Hárok1!$B$1:$B$8</c:f>
              <c:numCache>
                <c:formatCode>General</c:formatCode>
                <c:ptCount val="8"/>
                <c:pt idx="0">
                  <c:v>89</c:v>
                </c:pt>
                <c:pt idx="1">
                  <c:v>279</c:v>
                </c:pt>
                <c:pt idx="2">
                  <c:v>669</c:v>
                </c:pt>
                <c:pt idx="3">
                  <c:v>634</c:v>
                </c:pt>
                <c:pt idx="4">
                  <c:v>964</c:v>
                </c:pt>
                <c:pt idx="5">
                  <c:v>31</c:v>
                </c:pt>
                <c:pt idx="6">
                  <c:v>12</c:v>
                </c:pt>
                <c:pt idx="7">
                  <c:v>29</c:v>
                </c:pt>
              </c:numCache>
            </c:numRef>
          </c:val>
          <c:extLst>
            <c:ext xmlns:c16="http://schemas.microsoft.com/office/drawing/2014/chart" uri="{C3380CC4-5D6E-409C-BE32-E72D297353CC}">
              <c16:uniqueId val="{0000000A-BFA1-440A-8C9F-BC4AC2476DCA}"/>
            </c:ext>
          </c:extLst>
        </c:ser>
        <c:dLbls>
          <c:showLegendKey val="0"/>
          <c:showVal val="1"/>
          <c:showCatName val="0"/>
          <c:showSerName val="0"/>
          <c:showPercent val="0"/>
          <c:showBubbleSize val="0"/>
          <c:showLeaderLines val="1"/>
        </c:dLbls>
      </c:pie3DChart>
    </c:plotArea>
    <c:legend>
      <c:legendPos val="r"/>
      <c:layout>
        <c:manualLayout>
          <c:xMode val="edge"/>
          <c:yMode val="edge"/>
          <c:x val="0.69142659290409014"/>
          <c:y val="0.20476319948956653"/>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 hľadiska návratu do evidencie </a:t>
            </a:r>
            <a:endParaRPr lang="sk-SK" sz="1100">
              <a:effectLst/>
            </a:endParaRPr>
          </a:p>
        </c:rich>
      </c:tx>
      <c:layout>
        <c:manualLayout>
          <c:xMode val="edge"/>
          <c:yMode val="edge"/>
          <c:x val="0.19094586262388163"/>
          <c:y val="0.12149439538289758"/>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707623544782453"/>
          <c:y val="0.2701853144269375"/>
          <c:w val="0.47090003423485111"/>
          <c:h val="0.61024844335402961"/>
        </c:manualLayout>
      </c:layout>
      <c:pie3DChart>
        <c:varyColors val="1"/>
        <c:ser>
          <c:idx val="0"/>
          <c:order val="0"/>
          <c:explosion val="25"/>
          <c:dPt>
            <c:idx val="0"/>
            <c:bubble3D val="0"/>
            <c:explosion val="14"/>
            <c:extLst>
              <c:ext xmlns:c16="http://schemas.microsoft.com/office/drawing/2014/chart" uri="{C3380CC4-5D6E-409C-BE32-E72D297353CC}">
                <c16:uniqueId val="{00000001-0C8B-4F65-A4B6-EB3873C08FC8}"/>
              </c:ext>
            </c:extLst>
          </c:dPt>
          <c:dPt>
            <c:idx val="1"/>
            <c:bubble3D val="0"/>
            <c:explosion val="29"/>
            <c:extLst>
              <c:ext xmlns:c16="http://schemas.microsoft.com/office/drawing/2014/chart" uri="{C3380CC4-5D6E-409C-BE32-E72D297353CC}">
                <c16:uniqueId val="{00000003-0C8B-4F65-A4B6-EB3873C08FC8}"/>
              </c:ext>
            </c:extLst>
          </c:dPt>
          <c:dPt>
            <c:idx val="2"/>
            <c:bubble3D val="0"/>
            <c:explosion val="12"/>
            <c:extLst>
              <c:ext xmlns:c16="http://schemas.microsoft.com/office/drawing/2014/chart" uri="{C3380CC4-5D6E-409C-BE32-E72D297353CC}">
                <c16:uniqueId val="{00000005-0C8B-4F65-A4B6-EB3873C08FC8}"/>
              </c:ext>
            </c:extLst>
          </c:dPt>
          <c:dLbls>
            <c:dLbl>
              <c:idx val="0"/>
              <c:layout>
                <c:manualLayout>
                  <c:x val="-7.7071886105214857E-2"/>
                  <c:y val="5.612193848697085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8B-4F65-A4B6-EB3873C08FC8}"/>
                </c:ext>
              </c:extLst>
            </c:dLbl>
            <c:dLbl>
              <c:idx val="1"/>
              <c:layout>
                <c:manualLayout>
                  <c:x val="-7.2642720266486785E-2"/>
                  <c:y val="-0.21156033845216862"/>
                </c:manualLayout>
              </c:layout>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7.1309433553557885E-2"/>
                      <c:h val="7.8199997099810029E-2"/>
                    </c:manualLayout>
                  </c15:layout>
                </c:ext>
                <c:ext xmlns:c16="http://schemas.microsoft.com/office/drawing/2014/chart" uri="{C3380CC4-5D6E-409C-BE32-E72D297353CC}">
                  <c16:uniqueId val="{00000003-0C8B-4F65-A4B6-EB3873C08FC8}"/>
                </c:ext>
              </c:extLst>
            </c:dLbl>
            <c:dLbl>
              <c:idx val="2"/>
              <c:layout>
                <c:manualLayout>
                  <c:x val="9.0928209409760097E-2"/>
                  <c:y val="3.82303040849174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8B-4F65-A4B6-EB3873C08FC8}"/>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Hárok1!$A$1:$A$3</c:f>
              <c:strCache>
                <c:ptCount val="3"/>
                <c:pt idx="0">
                  <c:v>do 1 mesiaca</c:v>
                </c:pt>
                <c:pt idx="1">
                  <c:v>do 3 mesiacov</c:v>
                </c:pt>
                <c:pt idx="2">
                  <c:v>do 6 mesiacov</c:v>
                </c:pt>
              </c:strCache>
            </c:strRef>
          </c:cat>
          <c:val>
            <c:numRef>
              <c:f>Hárok1!$B$1:$B$3</c:f>
              <c:numCache>
                <c:formatCode>General</c:formatCode>
                <c:ptCount val="3"/>
                <c:pt idx="0">
                  <c:v>150</c:v>
                </c:pt>
                <c:pt idx="1">
                  <c:v>188</c:v>
                </c:pt>
                <c:pt idx="2">
                  <c:v>201</c:v>
                </c:pt>
              </c:numCache>
            </c:numRef>
          </c:val>
          <c:extLst>
            <c:ext xmlns:c16="http://schemas.microsoft.com/office/drawing/2014/chart" uri="{C3380CC4-5D6E-409C-BE32-E72D297353CC}">
              <c16:uniqueId val="{00000006-0C8B-4F65-A4B6-EB3873C08FC8}"/>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znevýhodnenia</a:t>
            </a:r>
            <a:endParaRPr lang="sk-SK" sz="1100">
              <a:effectLst/>
            </a:endParaRPr>
          </a:p>
        </c:rich>
      </c:tx>
      <c:layout>
        <c:manualLayout>
          <c:xMode val="edge"/>
          <c:yMode val="edge"/>
          <c:x val="0.12162928079782294"/>
          <c:y val="0.13433336146917316"/>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624551953750286"/>
          <c:y val="0.33399542993572962"/>
          <c:w val="0.4579032245684983"/>
          <c:h val="0.5913036138476564"/>
        </c:manualLayout>
      </c:layout>
      <c:pie3DChart>
        <c:varyColors val="1"/>
        <c:ser>
          <c:idx val="0"/>
          <c:order val="0"/>
          <c:explosion val="25"/>
          <c:dPt>
            <c:idx val="0"/>
            <c:bubble3D val="0"/>
            <c:explosion val="14"/>
            <c:extLst>
              <c:ext xmlns:c16="http://schemas.microsoft.com/office/drawing/2014/chart" uri="{C3380CC4-5D6E-409C-BE32-E72D297353CC}">
                <c16:uniqueId val="{00000001-68A3-4646-A35E-85AF73D07A30}"/>
              </c:ext>
            </c:extLst>
          </c:dPt>
          <c:dPt>
            <c:idx val="1"/>
            <c:bubble3D val="0"/>
            <c:explosion val="7"/>
            <c:extLst>
              <c:ext xmlns:c16="http://schemas.microsoft.com/office/drawing/2014/chart" uri="{C3380CC4-5D6E-409C-BE32-E72D297353CC}">
                <c16:uniqueId val="{00000003-68A3-4646-A35E-85AF73D07A30}"/>
              </c:ext>
            </c:extLst>
          </c:dPt>
          <c:dPt>
            <c:idx val="2"/>
            <c:bubble3D val="0"/>
            <c:explosion val="12"/>
            <c:extLst>
              <c:ext xmlns:c16="http://schemas.microsoft.com/office/drawing/2014/chart" uri="{C3380CC4-5D6E-409C-BE32-E72D297353CC}">
                <c16:uniqueId val="{00000005-68A3-4646-A35E-85AF73D07A30}"/>
              </c:ext>
            </c:extLst>
          </c:dPt>
          <c:dPt>
            <c:idx val="3"/>
            <c:bubble3D val="0"/>
            <c:explosion val="16"/>
            <c:extLst>
              <c:ext xmlns:c16="http://schemas.microsoft.com/office/drawing/2014/chart" uri="{C3380CC4-5D6E-409C-BE32-E72D297353CC}">
                <c16:uniqueId val="{00000007-68A3-4646-A35E-85AF73D07A30}"/>
              </c:ext>
            </c:extLst>
          </c:dPt>
          <c:dLbls>
            <c:dLbl>
              <c:idx val="2"/>
              <c:layout>
                <c:manualLayout>
                  <c:x val="-0.11259219966723265"/>
                  <c:y val="-0.117065090255754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A3-4646-A35E-85AF73D07A30}"/>
                </c:ext>
              </c:extLst>
            </c:dLbl>
            <c:dLbl>
              <c:idx val="4"/>
              <c:layout>
                <c:manualLayout>
                  <c:x val="0.10494622592191138"/>
                  <c:y val="1.59671895913470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E77-432C-A5F7-41FD93A55C72}"/>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rokov veku</c:v>
                </c:pt>
                <c:pt idx="2">
                  <c:v>Dlhodobo nezamestnaní občania</c:v>
                </c:pt>
                <c:pt idx="3">
                  <c:v>občan - vzdelanie nižšie ako str.odb.</c:v>
                </c:pt>
                <c:pt idx="4">
                  <c:v>občan - 12 kal.mesiacov nemal pravidelne plat.zam.</c:v>
                </c:pt>
                <c:pt idx="5">
                  <c:v>osamelý občan - starostlivosť o odkázanú osobu / 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4</c:v>
                </c:pt>
                <c:pt idx="1">
                  <c:v>288</c:v>
                </c:pt>
                <c:pt idx="2">
                  <c:v>649</c:v>
                </c:pt>
                <c:pt idx="3">
                  <c:v>211</c:v>
                </c:pt>
                <c:pt idx="4">
                  <c:v>443</c:v>
                </c:pt>
                <c:pt idx="5">
                  <c:v>5</c:v>
                </c:pt>
                <c:pt idx="6">
                  <c:v>120</c:v>
                </c:pt>
                <c:pt idx="7">
                  <c:v>15</c:v>
                </c:pt>
              </c:numCache>
            </c:numRef>
          </c:val>
          <c:extLst>
            <c:ext xmlns:c16="http://schemas.microsoft.com/office/drawing/2014/chart" uri="{C3380CC4-5D6E-409C-BE32-E72D297353CC}">
              <c16:uniqueId val="{00000008-68A3-4646-A35E-85AF73D07A30}"/>
            </c:ext>
          </c:extLst>
        </c:ser>
        <c:dLbls>
          <c:showLegendKey val="0"/>
          <c:showVal val="1"/>
          <c:showCatName val="0"/>
          <c:showSerName val="0"/>
          <c:showPercent val="0"/>
          <c:showBubbleSize val="0"/>
          <c:showLeaderLines val="1"/>
        </c:dLbls>
      </c:pie3DChart>
    </c:plotArea>
    <c:legend>
      <c:legendPos val="r"/>
      <c:layout>
        <c:manualLayout>
          <c:xMode val="edge"/>
          <c:yMode val="edge"/>
          <c:x val="0.7045769582062289"/>
          <c:y val="2.4987871776691425E-2"/>
          <c:w val="0.26293089406280623"/>
          <c:h val="0.95112885770795252"/>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007309454021057"/>
          <c:y val="0.27068493662491477"/>
          <c:w val="0.43407564956579064"/>
          <c:h val="0.56644447003179721"/>
        </c:manualLayout>
      </c:layout>
      <c:pie3DChart>
        <c:varyColors val="1"/>
        <c:ser>
          <c:idx val="0"/>
          <c:order val="0"/>
          <c:explosion val="7"/>
          <c:dPt>
            <c:idx val="0"/>
            <c:bubble3D val="0"/>
            <c:extLst>
              <c:ext xmlns:c16="http://schemas.microsoft.com/office/drawing/2014/chart" uri="{C3380CC4-5D6E-409C-BE32-E72D297353CC}">
                <c16:uniqueId val="{00000001-97F8-41B8-92DE-D7ACB1FB5CA9}"/>
              </c:ext>
            </c:extLst>
          </c:dPt>
          <c:dPt>
            <c:idx val="1"/>
            <c:bubble3D val="0"/>
            <c:extLst>
              <c:ext xmlns:c16="http://schemas.microsoft.com/office/drawing/2014/chart" uri="{C3380CC4-5D6E-409C-BE32-E72D297353CC}">
                <c16:uniqueId val="{00000003-97F8-41B8-92DE-D7ACB1FB5CA9}"/>
              </c:ext>
            </c:extLst>
          </c:dPt>
          <c:dPt>
            <c:idx val="2"/>
            <c:bubble3D val="0"/>
            <c:extLst>
              <c:ext xmlns:c16="http://schemas.microsoft.com/office/drawing/2014/chart" uri="{C3380CC4-5D6E-409C-BE32-E72D297353CC}">
                <c16:uniqueId val="{00000005-97F8-41B8-92DE-D7ACB1FB5CA9}"/>
              </c:ext>
            </c:extLst>
          </c:dPt>
          <c:dPt>
            <c:idx val="3"/>
            <c:bubble3D val="0"/>
            <c:extLst>
              <c:ext xmlns:c16="http://schemas.microsoft.com/office/drawing/2014/chart" uri="{C3380CC4-5D6E-409C-BE32-E72D297353CC}">
                <c16:uniqueId val="{00000007-97F8-41B8-92DE-D7ACB1FB5CA9}"/>
              </c:ext>
            </c:extLst>
          </c:dPt>
          <c:dLbls>
            <c:dLbl>
              <c:idx val="1"/>
              <c:layout>
                <c:manualLayout>
                  <c:x val="-5.3672422865261631E-2"/>
                  <c:y val="4.42106836289591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F8-41B8-92DE-D7ACB1FB5CA9}"/>
                </c:ext>
              </c:extLst>
            </c:dLbl>
            <c:dLbl>
              <c:idx val="2"/>
              <c:layout>
                <c:manualLayout>
                  <c:x val="-0.13125173227493644"/>
                  <c:y val="-0.166925771289265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F8-41B8-92DE-D7ACB1FB5CA9}"/>
                </c:ext>
              </c:extLst>
            </c:dLbl>
            <c:dLbl>
              <c:idx val="3"/>
              <c:layout>
                <c:manualLayout>
                  <c:x val="0.12937503357948338"/>
                  <c:y val="4.91969998412120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F8-41B8-92DE-D7ACB1FB5CA9}"/>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56</c:v>
                </c:pt>
                <c:pt idx="1">
                  <c:v>41</c:v>
                </c:pt>
                <c:pt idx="2">
                  <c:v>327</c:v>
                </c:pt>
                <c:pt idx="3">
                  <c:v>287</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97F8-41B8-92DE-D7ACB1FB5CA9}"/>
            </c:ext>
          </c:extLst>
        </c:ser>
        <c:dLbls>
          <c:showLegendKey val="0"/>
          <c:showVal val="1"/>
          <c:showCatName val="0"/>
          <c:showSerName val="0"/>
          <c:showPercent val="0"/>
          <c:showBubbleSize val="0"/>
          <c:showLeaderLines val="1"/>
        </c:dLbls>
      </c:pie3DChart>
    </c:plotArea>
    <c:legend>
      <c:legendPos val="r"/>
      <c:layout>
        <c:manualLayout>
          <c:xMode val="edge"/>
          <c:yMode val="edge"/>
          <c:x val="0.73691559972744103"/>
          <c:y val="0.15731330736682825"/>
          <c:w val="0.17901808900119479"/>
          <c:h val="0.67228290413876202"/>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0.1584537148929166"/>
          <c:y val="4.2644820272541371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55935104397015"/>
          <c:y val="0.23001667265045964"/>
          <c:w val="0.43840793592991928"/>
          <c:h val="0.5690793647670993"/>
        </c:manualLayout>
      </c:layout>
      <c:pie3DChart>
        <c:varyColors val="1"/>
        <c:ser>
          <c:idx val="0"/>
          <c:order val="0"/>
          <c:explosion val="25"/>
          <c:dPt>
            <c:idx val="0"/>
            <c:bubble3D val="0"/>
            <c:explosion val="14"/>
            <c:extLst>
              <c:ext xmlns:c16="http://schemas.microsoft.com/office/drawing/2014/chart" uri="{C3380CC4-5D6E-409C-BE32-E72D297353CC}">
                <c16:uniqueId val="{00000001-F11A-426A-B785-59D19BE89151}"/>
              </c:ext>
            </c:extLst>
          </c:dPt>
          <c:dPt>
            <c:idx val="1"/>
            <c:bubble3D val="0"/>
            <c:explosion val="7"/>
            <c:extLst>
              <c:ext xmlns:c16="http://schemas.microsoft.com/office/drawing/2014/chart" uri="{C3380CC4-5D6E-409C-BE32-E72D297353CC}">
                <c16:uniqueId val="{00000003-F11A-426A-B785-59D19BE89151}"/>
              </c:ext>
            </c:extLst>
          </c:dPt>
          <c:dPt>
            <c:idx val="2"/>
            <c:bubble3D val="0"/>
            <c:explosion val="12"/>
            <c:extLst>
              <c:ext xmlns:c16="http://schemas.microsoft.com/office/drawing/2014/chart" uri="{C3380CC4-5D6E-409C-BE32-E72D297353CC}">
                <c16:uniqueId val="{00000005-F11A-426A-B785-59D19BE89151}"/>
              </c:ext>
            </c:extLst>
          </c:dPt>
          <c:dPt>
            <c:idx val="3"/>
            <c:bubble3D val="0"/>
            <c:explosion val="16"/>
            <c:extLst>
              <c:ext xmlns:c16="http://schemas.microsoft.com/office/drawing/2014/chart" uri="{C3380CC4-5D6E-409C-BE32-E72D297353CC}">
                <c16:uniqueId val="{00000007-F11A-426A-B785-59D19BE89151}"/>
              </c:ext>
            </c:extLst>
          </c:dPt>
          <c:dPt>
            <c:idx val="6"/>
            <c:bubble3D val="0"/>
            <c:explosion val="11"/>
            <c:extLst>
              <c:ext xmlns:c16="http://schemas.microsoft.com/office/drawing/2014/chart" uri="{C3380CC4-5D6E-409C-BE32-E72D297353CC}">
                <c16:uniqueId val="{0000000A-F11A-426A-B785-59D19BE89151}"/>
              </c:ext>
            </c:extLst>
          </c:dPt>
          <c:dPt>
            <c:idx val="7"/>
            <c:bubble3D val="0"/>
            <c:explosion val="15"/>
            <c:extLst>
              <c:ext xmlns:c16="http://schemas.microsoft.com/office/drawing/2014/chart" uri="{C3380CC4-5D6E-409C-BE32-E72D297353CC}">
                <c16:uniqueId val="{0000000B-F11A-426A-B785-59D19BE89151}"/>
              </c:ext>
            </c:extLst>
          </c:dPt>
          <c:dPt>
            <c:idx val="8"/>
            <c:bubble3D val="0"/>
            <c:explosion val="17"/>
            <c:extLst>
              <c:ext xmlns:c16="http://schemas.microsoft.com/office/drawing/2014/chart" uri="{C3380CC4-5D6E-409C-BE32-E72D297353CC}">
                <c16:uniqueId val="{0000000C-F11A-426A-B785-59D19BE89151}"/>
              </c:ext>
            </c:extLst>
          </c:dPt>
          <c:dLbls>
            <c:dLbl>
              <c:idx val="0"/>
              <c:layout>
                <c:manualLayout>
                  <c:x val="-3.8758612337976726E-3"/>
                  <c:y val="-4.25180456440446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1A-426A-B785-59D19BE89151}"/>
                </c:ext>
              </c:extLst>
            </c:dLbl>
            <c:dLbl>
              <c:idx val="1"/>
              <c:layout>
                <c:manualLayout>
                  <c:x val="7.3853543136524161E-2"/>
                  <c:y val="-5.48167893754067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1A-426A-B785-59D19BE89151}"/>
                </c:ext>
              </c:extLst>
            </c:dLbl>
            <c:dLbl>
              <c:idx val="2"/>
              <c:layout>
                <c:manualLayout>
                  <c:x val="-4.0656801902794748E-2"/>
                  <c:y val="6.93526519678481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1A-426A-B785-59D19BE89151}"/>
                </c:ext>
              </c:extLst>
            </c:dLbl>
            <c:dLbl>
              <c:idx val="3"/>
              <c:layout>
                <c:manualLayout>
                  <c:x val="1.2754830968342677E-2"/>
                  <c:y val="-2.50404520796549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1A-426A-B785-59D19BE89151}"/>
                </c:ext>
              </c:extLst>
            </c:dLbl>
            <c:dLbl>
              <c:idx val="4"/>
              <c:layout>
                <c:manualLayout>
                  <c:x val="-0.1165320218217606"/>
                  <c:y val="1.71172544718605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11A-426A-B785-59D19BE89151}"/>
                </c:ext>
              </c:extLst>
            </c:dLbl>
            <c:dLbl>
              <c:idx val="5"/>
              <c:layout>
                <c:manualLayout>
                  <c:x val="-2.3176196985990851E-2"/>
                  <c:y val="-0.203990288222092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1A-426A-B785-59D19BE89151}"/>
                </c:ext>
              </c:extLst>
            </c:dLbl>
            <c:dLbl>
              <c:idx val="6"/>
              <c:layout>
                <c:manualLayout>
                  <c:x val="-1.9683077901843014E-2"/>
                  <c:y val="6.86860738285290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11A-426A-B785-59D19BE89151}"/>
                </c:ext>
              </c:extLst>
            </c:dLbl>
            <c:dLbl>
              <c:idx val="7"/>
              <c:layout>
                <c:manualLayout>
                  <c:x val="-3.0068625803882171E-2"/>
                  <c:y val="-4.53561668314259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11A-426A-B785-59D19BE89151}"/>
                </c:ext>
              </c:extLst>
            </c:dLbl>
            <c:dLbl>
              <c:idx val="8"/>
              <c:layout>
                <c:manualLayout>
                  <c:x val="-1.9513368258838759E-2"/>
                  <c:y val="-0.103950123036619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11A-426A-B785-59D19BE89151}"/>
                </c:ext>
              </c:extLst>
            </c:dLbl>
            <c:dLbl>
              <c:idx val="9"/>
              <c:layout>
                <c:manualLayout>
                  <c:x val="9.5824716375957172E-2"/>
                  <c:y val="6.44124980942029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11A-426A-B785-59D19BE89151}"/>
                </c:ext>
              </c:extLst>
            </c:dLbl>
            <c:dLbl>
              <c:idx val="10"/>
              <c:layout>
                <c:manualLayout>
                  <c:x val="-5.8817268766347346E-2"/>
                  <c:y val="-1.36640321583787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F11A-426A-B785-59D19BE89151}"/>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Hárok1!$A$1:$A$12</c:f>
              <c:strCache>
                <c:ptCount val="11"/>
                <c:pt idx="0">
                  <c:v>Neukončené základné vzdelanie</c:v>
                </c:pt>
                <c:pt idx="1">
                  <c:v>Neurčené</c:v>
                </c:pt>
                <c:pt idx="2">
                  <c:v>Základné vzdelanie</c:v>
                </c:pt>
                <c:pt idx="3">
                  <c:v>Nižšie stredné odborné vzdelanie</c:v>
                </c:pt>
                <c:pt idx="4">
                  <c:v>Stredné odborné vzdelanie</c:v>
                </c:pt>
                <c:pt idx="5">
                  <c:v>Úpné stredné odborné vzdelanie</c:v>
                </c:pt>
                <c:pt idx="6">
                  <c:v>Úplné stredné všeobecné vzdelanie</c:v>
                </c:pt>
                <c:pt idx="7">
                  <c:v>Vyššie odborné vzdelanie</c:v>
                </c:pt>
                <c:pt idx="8">
                  <c:v>Vysokoškolské vzdelanie prvého stupňa</c:v>
                </c:pt>
                <c:pt idx="9">
                  <c:v>Vysokoškolské vzdelanie druhého stupňa</c:v>
                </c:pt>
                <c:pt idx="10">
                  <c:v>Vysokoškolské vzdelanie tretieho stupňa</c:v>
                </c:pt>
              </c:strCache>
            </c:strRef>
          </c:cat>
          <c:val>
            <c:numRef>
              <c:f>Hárok1!$B$1:$B$12</c:f>
              <c:numCache>
                <c:formatCode>General</c:formatCode>
                <c:ptCount val="12"/>
                <c:pt idx="0">
                  <c:v>225</c:v>
                </c:pt>
                <c:pt idx="1">
                  <c:v>13</c:v>
                </c:pt>
                <c:pt idx="2">
                  <c:v>1856</c:v>
                </c:pt>
                <c:pt idx="3">
                  <c:v>129</c:v>
                </c:pt>
                <c:pt idx="4">
                  <c:v>4649</c:v>
                </c:pt>
                <c:pt idx="5">
                  <c:v>8004</c:v>
                </c:pt>
                <c:pt idx="6">
                  <c:v>890</c:v>
                </c:pt>
                <c:pt idx="7">
                  <c:v>168</c:v>
                </c:pt>
                <c:pt idx="8">
                  <c:v>1059</c:v>
                </c:pt>
                <c:pt idx="9">
                  <c:v>5059</c:v>
                </c:pt>
                <c:pt idx="10">
                  <c:v>214</c:v>
                </c:pt>
              </c:numCache>
            </c:numRef>
          </c:val>
          <c:extLst>
            <c:ext xmlns:c16="http://schemas.microsoft.com/office/drawing/2014/chart" uri="{C3380CC4-5D6E-409C-BE32-E72D297353CC}">
              <c16:uniqueId val="{0000000F-F11A-426A-B785-59D19BE89151}"/>
            </c:ext>
          </c:extLst>
        </c:ser>
        <c:dLbls>
          <c:showLegendKey val="0"/>
          <c:showVal val="1"/>
          <c:showCatName val="0"/>
          <c:showSerName val="0"/>
          <c:showPercent val="0"/>
          <c:showBubbleSize val="0"/>
          <c:showLeaderLines val="1"/>
        </c:dLbls>
      </c:pie3DChart>
    </c:plotArea>
    <c:legend>
      <c:legendPos val="r"/>
      <c:layout>
        <c:manualLayout>
          <c:xMode val="edge"/>
          <c:yMode val="edge"/>
          <c:x val="0.63526037638017008"/>
          <c:y val="0.13570061339017708"/>
          <c:w val="0.34091204861712227"/>
          <c:h val="0.8101665461711102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16694814453250439"/>
          <c:y val="0.10063672273523949"/>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629013542964555"/>
          <c:y val="0.25767243406300361"/>
          <c:w val="0.46002457686263931"/>
          <c:h val="0.59695956610074907"/>
        </c:manualLayout>
      </c:layout>
      <c:pie3DChart>
        <c:varyColors val="1"/>
        <c:ser>
          <c:idx val="0"/>
          <c:order val="0"/>
          <c:explosion val="25"/>
          <c:dPt>
            <c:idx val="0"/>
            <c:bubble3D val="0"/>
            <c:explosion val="14"/>
            <c:extLst>
              <c:ext xmlns:c16="http://schemas.microsoft.com/office/drawing/2014/chart" uri="{C3380CC4-5D6E-409C-BE32-E72D297353CC}">
                <c16:uniqueId val="{00000001-612F-490C-8FAD-D8B5D1388643}"/>
              </c:ext>
            </c:extLst>
          </c:dPt>
          <c:dPt>
            <c:idx val="1"/>
            <c:bubble3D val="0"/>
            <c:explosion val="7"/>
            <c:extLst>
              <c:ext xmlns:c16="http://schemas.microsoft.com/office/drawing/2014/chart" uri="{C3380CC4-5D6E-409C-BE32-E72D297353CC}">
                <c16:uniqueId val="{00000003-612F-490C-8FAD-D8B5D1388643}"/>
              </c:ext>
            </c:extLst>
          </c:dPt>
          <c:dPt>
            <c:idx val="2"/>
            <c:bubble3D val="0"/>
            <c:explosion val="12"/>
            <c:extLst>
              <c:ext xmlns:c16="http://schemas.microsoft.com/office/drawing/2014/chart" uri="{C3380CC4-5D6E-409C-BE32-E72D297353CC}">
                <c16:uniqueId val="{00000005-612F-490C-8FAD-D8B5D1388643}"/>
              </c:ext>
            </c:extLst>
          </c:dPt>
          <c:dPt>
            <c:idx val="3"/>
            <c:bubble3D val="0"/>
            <c:explosion val="2"/>
            <c:extLst>
              <c:ext xmlns:c16="http://schemas.microsoft.com/office/drawing/2014/chart" uri="{C3380CC4-5D6E-409C-BE32-E72D297353CC}">
                <c16:uniqueId val="{00000007-612F-490C-8FAD-D8B5D1388643}"/>
              </c:ext>
            </c:extLst>
          </c:dPt>
          <c:dPt>
            <c:idx val="4"/>
            <c:bubble3D val="0"/>
            <c:explosion val="5"/>
            <c:extLst>
              <c:ext xmlns:c16="http://schemas.microsoft.com/office/drawing/2014/chart" uri="{C3380CC4-5D6E-409C-BE32-E72D297353CC}">
                <c16:uniqueId val="{00000008-FDD7-40EA-B03A-4C9C41731DD0}"/>
              </c:ext>
            </c:extLst>
          </c:dPt>
          <c:dLbls>
            <c:dLbl>
              <c:idx val="0"/>
              <c:layout>
                <c:manualLayout>
                  <c:x val="-7.6736757823705926E-2"/>
                  <c:y val="-1.92471289925968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2F-490C-8FAD-D8B5D1388643}"/>
                </c:ext>
              </c:extLst>
            </c:dLbl>
            <c:dLbl>
              <c:idx val="1"/>
              <c:layout>
                <c:manualLayout>
                  <c:x val="-3.5831695589437942E-3"/>
                  <c:y val="-2.36251863865853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2F-490C-8FAD-D8B5D1388643}"/>
                </c:ext>
              </c:extLst>
            </c:dLbl>
            <c:dLbl>
              <c:idx val="2"/>
              <c:layout>
                <c:manualLayout>
                  <c:x val="3.6862125513266793E-2"/>
                  <c:y val="2.10605069715122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2F-490C-8FAD-D8B5D1388643}"/>
                </c:ext>
              </c:extLst>
            </c:dLbl>
            <c:dLbl>
              <c:idx val="3"/>
              <c:layout>
                <c:manualLayout>
                  <c:x val="-0.12231099579110523"/>
                  <c:y val="-8.12308926500466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2F-490C-8FAD-D8B5D1388643}"/>
                </c:ext>
              </c:extLst>
            </c:dLbl>
            <c:dLbl>
              <c:idx val="4"/>
              <c:layout>
                <c:manualLayout>
                  <c:x val="0.14942886625305596"/>
                  <c:y val="-5.96510319930938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DD7-40EA-B03A-4C9C41731DD0}"/>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33</c:v>
                </c:pt>
                <c:pt idx="1">
                  <c:v>16</c:v>
                </c:pt>
                <c:pt idx="2">
                  <c:v>16</c:v>
                </c:pt>
                <c:pt idx="3">
                  <c:v>269</c:v>
                </c:pt>
                <c:pt idx="4">
                  <c:v>377</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612F-490C-8FAD-D8B5D1388643}"/>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pohlavia</a:t>
            </a:r>
            <a:endParaRPr lang="sk-SK" sz="1100">
              <a:effectLst/>
            </a:endParaRPr>
          </a:p>
        </c:rich>
      </c:tx>
      <c:layout>
        <c:manualLayout>
          <c:xMode val="edge"/>
          <c:yMode val="edge"/>
          <c:x val="0.20827500808039631"/>
          <c:y val="0.1107889358429667"/>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357466499401753"/>
          <c:y val="0.26036492852393933"/>
          <c:w val="0.46656779729675563"/>
          <c:h val="0.60610638729095601"/>
        </c:manualLayout>
      </c:layout>
      <c:pie3DChart>
        <c:varyColors val="1"/>
        <c:ser>
          <c:idx val="0"/>
          <c:order val="0"/>
          <c:explosion val="25"/>
          <c:dPt>
            <c:idx val="0"/>
            <c:bubble3D val="0"/>
            <c:explosion val="14"/>
            <c:extLst>
              <c:ext xmlns:c16="http://schemas.microsoft.com/office/drawing/2014/chart" uri="{C3380CC4-5D6E-409C-BE32-E72D297353CC}">
                <c16:uniqueId val="{00000001-469F-4527-8EC5-8067C8FF186A}"/>
              </c:ext>
            </c:extLst>
          </c:dPt>
          <c:dPt>
            <c:idx val="1"/>
            <c:bubble3D val="0"/>
            <c:explosion val="7"/>
            <c:extLst>
              <c:ext xmlns:c16="http://schemas.microsoft.com/office/drawing/2014/chart" uri="{C3380CC4-5D6E-409C-BE32-E72D297353CC}">
                <c16:uniqueId val="{00000003-469F-4527-8EC5-8067C8FF186A}"/>
              </c:ext>
            </c:extLst>
          </c:dPt>
          <c:dPt>
            <c:idx val="2"/>
            <c:bubble3D val="0"/>
            <c:explosion val="12"/>
            <c:extLst>
              <c:ext xmlns:c16="http://schemas.microsoft.com/office/drawing/2014/chart" uri="{C3380CC4-5D6E-409C-BE32-E72D297353CC}">
                <c16:uniqueId val="{00000005-469F-4527-8EC5-8067C8FF186A}"/>
              </c:ext>
            </c:extLst>
          </c:dPt>
          <c:dLbls>
            <c:dLbl>
              <c:idx val="0"/>
              <c:layout>
                <c:manualLayout>
                  <c:x val="-0.12161836480068505"/>
                  <c:y val="5.27401839985301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9F-4527-8EC5-8067C8FF186A}"/>
                </c:ext>
              </c:extLst>
            </c:dLbl>
            <c:dLbl>
              <c:idx val="1"/>
              <c:layout>
                <c:manualLayout>
                  <c:x val="0.14661531599679681"/>
                  <c:y val="-0.1311696212075775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9F-4527-8EC5-8067C8FF186A}"/>
                </c:ext>
              </c:extLst>
            </c:dLbl>
            <c:numFmt formatCode="0.00%" sourceLinked="0"/>
            <c:spPr>
              <a:noFill/>
              <a:ln>
                <a:noFill/>
              </a:ln>
              <a:effectLst/>
            </c:spPr>
            <c:txPr>
              <a:bodyPr wrap="square" lIns="38100" tIns="19050" rIns="38100" bIns="19050" anchor="ctr">
                <a:spAutoFit/>
              </a:bodyPr>
              <a:lstStyle/>
              <a:p>
                <a:pPr>
                  <a:defRPr sz="9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Hárok1!$A$1:$A$2</c:f>
              <c:strCache>
                <c:ptCount val="2"/>
                <c:pt idx="0">
                  <c:v>Muž</c:v>
                </c:pt>
                <c:pt idx="1">
                  <c:v>Žena</c:v>
                </c:pt>
              </c:strCache>
            </c:strRef>
          </c:cat>
          <c:val>
            <c:numRef>
              <c:f>Hárok1!$B$1:$B$2</c:f>
              <c:numCache>
                <c:formatCode>General</c:formatCode>
                <c:ptCount val="2"/>
                <c:pt idx="0">
                  <c:v>248</c:v>
                </c:pt>
                <c:pt idx="1">
                  <c:v>463</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6-469F-4527-8EC5-8067C8FF186A}"/>
            </c:ext>
          </c:extLst>
        </c:ser>
        <c:dLbls>
          <c:showLegendKey val="0"/>
          <c:showVal val="1"/>
          <c:showCatName val="0"/>
          <c:showSerName val="0"/>
          <c:showPercent val="0"/>
          <c:showBubbleSize val="0"/>
          <c:showLeaderLines val="1"/>
        </c:dLbls>
      </c:pie3DChart>
    </c:plotArea>
    <c:legend>
      <c:legendPos val="r"/>
      <c:layout>
        <c:manualLayout>
          <c:xMode val="edge"/>
          <c:yMode val="edge"/>
          <c:x val="0.80623218155349985"/>
          <c:y val="0.20476302666891052"/>
          <c:w val="0.15085822763435841"/>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pracovných miest podľa SK ISCO</a:t>
            </a:r>
            <a:endParaRPr lang="sk-SK" sz="1100">
              <a:effectLst/>
            </a:endParaRPr>
          </a:p>
        </c:rich>
      </c:tx>
      <c:layout>
        <c:manualLayout>
          <c:xMode val="edge"/>
          <c:yMode val="edge"/>
          <c:x val="0.17145057398530264"/>
          <c:y val="7.54538797291222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1209193998589448"/>
          <c:y val="0.23465219471875406"/>
          <c:w val="0.49905994502772066"/>
          <c:h val="0.64247690723742401"/>
        </c:manualLayout>
      </c:layout>
      <c:pie3DChart>
        <c:varyColors val="1"/>
        <c:ser>
          <c:idx val="0"/>
          <c:order val="0"/>
          <c:explosion val="25"/>
          <c:dPt>
            <c:idx val="0"/>
            <c:bubble3D val="0"/>
            <c:explosion val="14"/>
            <c:extLst>
              <c:ext xmlns:c16="http://schemas.microsoft.com/office/drawing/2014/chart" uri="{C3380CC4-5D6E-409C-BE32-E72D297353CC}">
                <c16:uniqueId val="{00000001-67AC-4412-B8B4-2848E6B23786}"/>
              </c:ext>
            </c:extLst>
          </c:dPt>
          <c:dPt>
            <c:idx val="1"/>
            <c:bubble3D val="0"/>
            <c:explosion val="7"/>
            <c:extLst>
              <c:ext xmlns:c16="http://schemas.microsoft.com/office/drawing/2014/chart" uri="{C3380CC4-5D6E-409C-BE32-E72D297353CC}">
                <c16:uniqueId val="{00000003-67AC-4412-B8B4-2848E6B23786}"/>
              </c:ext>
            </c:extLst>
          </c:dPt>
          <c:dPt>
            <c:idx val="2"/>
            <c:bubble3D val="0"/>
            <c:explosion val="12"/>
            <c:extLst>
              <c:ext xmlns:c16="http://schemas.microsoft.com/office/drawing/2014/chart" uri="{C3380CC4-5D6E-409C-BE32-E72D297353CC}">
                <c16:uniqueId val="{00000005-67AC-4412-B8B4-2848E6B23786}"/>
              </c:ext>
            </c:extLst>
          </c:dPt>
          <c:dPt>
            <c:idx val="3"/>
            <c:bubble3D val="0"/>
            <c:extLst>
              <c:ext xmlns:c16="http://schemas.microsoft.com/office/drawing/2014/chart" uri="{C3380CC4-5D6E-409C-BE32-E72D297353CC}">
                <c16:uniqueId val="{00000007-67AC-4412-B8B4-2848E6B23786}"/>
              </c:ext>
            </c:extLst>
          </c:dPt>
          <c:dPt>
            <c:idx val="4"/>
            <c:bubble3D val="0"/>
            <c:explosion val="20"/>
            <c:extLst>
              <c:ext xmlns:c16="http://schemas.microsoft.com/office/drawing/2014/chart" uri="{C3380CC4-5D6E-409C-BE32-E72D297353CC}">
                <c16:uniqueId val="{00000009-C754-4DD2-BC91-C6701FBC62BA}"/>
              </c:ext>
            </c:extLst>
          </c:dPt>
          <c:dPt>
            <c:idx val="5"/>
            <c:bubble3D val="0"/>
            <c:explosion val="21"/>
            <c:extLst>
              <c:ext xmlns:c16="http://schemas.microsoft.com/office/drawing/2014/chart" uri="{C3380CC4-5D6E-409C-BE32-E72D297353CC}">
                <c16:uniqueId val="{0000000A-C754-4DD2-BC91-C6701FBC62BA}"/>
              </c:ext>
            </c:extLst>
          </c:dPt>
          <c:dLbls>
            <c:dLbl>
              <c:idx val="0"/>
              <c:layout>
                <c:manualLayout>
                  <c:x val="-2.8159861366836309E-2"/>
                  <c:y val="-2.6185090123403084E-2"/>
                </c:manualLayout>
              </c:layout>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6.173508068883353E-2"/>
                      <c:h val="7.5966850828729282E-2"/>
                    </c:manualLayout>
                  </c15:layout>
                </c:ext>
                <c:ext xmlns:c16="http://schemas.microsoft.com/office/drawing/2014/chart" uri="{C3380CC4-5D6E-409C-BE32-E72D297353CC}">
                  <c16:uniqueId val="{00000001-67AC-4412-B8B4-2848E6B23786}"/>
                </c:ext>
              </c:extLst>
            </c:dLbl>
            <c:dLbl>
              <c:idx val="1"/>
              <c:layout>
                <c:manualLayout>
                  <c:x val="-4.3454878981673994E-2"/>
                  <c:y val="6.09496672032018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AC-4412-B8B4-2848E6B23786}"/>
                </c:ext>
              </c:extLst>
            </c:dLbl>
            <c:dLbl>
              <c:idx val="3"/>
              <c:layout>
                <c:manualLayout>
                  <c:x val="-2.2235715607573352E-2"/>
                  <c:y val="-0.2145121880483170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AC-4412-B8B4-2848E6B23786}"/>
                </c:ext>
              </c:extLst>
            </c:dLbl>
            <c:dLbl>
              <c:idx val="4"/>
              <c:layout>
                <c:manualLayout>
                  <c:x val="7.0853690673047975E-2"/>
                  <c:y val="-0.109536187120256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754-4DD2-BC91-C6701FBC62BA}"/>
                </c:ext>
              </c:extLst>
            </c:dLbl>
            <c:dLbl>
              <c:idx val="6"/>
              <c:layout>
                <c:manualLayout>
                  <c:x val="7.7648557766518765E-4"/>
                  <c:y val="-5.37575586200896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754-4DD2-BC91-C6701FBC62BA}"/>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Špecialisti</c:v>
                </c:pt>
                <c:pt idx="1">
                  <c:v>Technici a odborní pracovníci</c:v>
                </c:pt>
                <c:pt idx="2">
                  <c:v>Administratívny pracovníci</c:v>
                </c:pt>
                <c:pt idx="3">
                  <c:v>Pracovníci v službách a obchode</c:v>
                </c:pt>
                <c:pt idx="4">
                  <c:v>Kvalifikovaní pracovníci v poľnohospodárstve, ...</c:v>
                </c:pt>
                <c:pt idx="5">
                  <c:v>Kvalifikovaní pracovníci a remeselníci</c:v>
                </c:pt>
                <c:pt idx="6">
                  <c:v>Operátori a montéri strojov a zariadení</c:v>
                </c:pt>
                <c:pt idx="7">
                  <c:v>Pomocní a nekvalifikovaní pracovníci</c:v>
                </c:pt>
              </c:strCache>
            </c:strRef>
          </c:cat>
          <c:val>
            <c:numRef>
              <c:f>Hárok1!$B$1:$B$8</c:f>
              <c:numCache>
                <c:formatCode>General</c:formatCode>
                <c:ptCount val="8"/>
                <c:pt idx="0">
                  <c:v>32</c:v>
                </c:pt>
                <c:pt idx="1">
                  <c:v>52</c:v>
                </c:pt>
                <c:pt idx="2">
                  <c:v>158</c:v>
                </c:pt>
                <c:pt idx="3">
                  <c:v>213</c:v>
                </c:pt>
                <c:pt idx="4">
                  <c:v>46</c:v>
                </c:pt>
                <c:pt idx="5">
                  <c:v>64</c:v>
                </c:pt>
                <c:pt idx="6">
                  <c:v>12</c:v>
                </c:pt>
                <c:pt idx="7">
                  <c:v>134</c:v>
                </c:pt>
              </c:numCache>
            </c:numRef>
          </c:val>
          <c:extLst>
            <c:ext xmlns:c16="http://schemas.microsoft.com/office/drawing/2014/chart" uri="{C3380CC4-5D6E-409C-BE32-E72D297353CC}">
              <c16:uniqueId val="{00000008-67AC-4412-B8B4-2848E6B23786}"/>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10807811661663839"/>
          <c:w val="0.27649448655111553"/>
          <c:h val="0.85992154986151581"/>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podľa právnej formy zamestnávateľa</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126122407557281"/>
          <c:y val="0.17889210639387199"/>
          <c:w val="0.51205680412010668"/>
          <c:h val="0.66349159836099303"/>
        </c:manualLayout>
      </c:layout>
      <c:pie3DChart>
        <c:varyColors val="1"/>
        <c:ser>
          <c:idx val="0"/>
          <c:order val="0"/>
          <c:explosion val="18"/>
          <c:dPt>
            <c:idx val="0"/>
            <c:bubble3D val="0"/>
            <c:explosion val="7"/>
            <c:extLst>
              <c:ext xmlns:c16="http://schemas.microsoft.com/office/drawing/2014/chart" uri="{C3380CC4-5D6E-409C-BE32-E72D297353CC}">
                <c16:uniqueId val="{00000001-E4FF-4BFF-BDAC-1F129F77DFB4}"/>
              </c:ext>
            </c:extLst>
          </c:dPt>
          <c:dPt>
            <c:idx val="2"/>
            <c:bubble3D val="0"/>
            <c:explosion val="12"/>
            <c:extLst>
              <c:ext xmlns:c16="http://schemas.microsoft.com/office/drawing/2014/chart" uri="{C3380CC4-5D6E-409C-BE32-E72D297353CC}">
                <c16:uniqueId val="{0000000A-3251-4A73-9093-5C574628FC58}"/>
              </c:ext>
            </c:extLst>
          </c:dPt>
          <c:dPt>
            <c:idx val="3"/>
            <c:bubble3D val="0"/>
            <c:explosion val="9"/>
            <c:extLst>
              <c:ext xmlns:c16="http://schemas.microsoft.com/office/drawing/2014/chart" uri="{C3380CC4-5D6E-409C-BE32-E72D297353CC}">
                <c16:uniqueId val="{0000000B-3251-4A73-9093-5C574628FC58}"/>
              </c:ext>
            </c:extLst>
          </c:dPt>
          <c:dPt>
            <c:idx val="4"/>
            <c:bubble3D val="0"/>
            <c:explosion val="9"/>
            <c:extLst>
              <c:ext xmlns:c16="http://schemas.microsoft.com/office/drawing/2014/chart" uri="{C3380CC4-5D6E-409C-BE32-E72D297353CC}">
                <c16:uniqueId val="{00000009-3251-4A73-9093-5C574628FC58}"/>
              </c:ext>
            </c:extLst>
          </c:dPt>
          <c:dPt>
            <c:idx val="5"/>
            <c:bubble3D val="0"/>
            <c:explosion val="6"/>
            <c:extLst>
              <c:ext xmlns:c16="http://schemas.microsoft.com/office/drawing/2014/chart" uri="{C3380CC4-5D6E-409C-BE32-E72D297353CC}">
                <c16:uniqueId val="{00000007-3251-4A73-9093-5C574628FC58}"/>
              </c:ext>
            </c:extLst>
          </c:dPt>
          <c:dPt>
            <c:idx val="6"/>
            <c:bubble3D val="0"/>
            <c:explosion val="4"/>
            <c:extLst>
              <c:ext xmlns:c16="http://schemas.microsoft.com/office/drawing/2014/chart" uri="{C3380CC4-5D6E-409C-BE32-E72D297353CC}">
                <c16:uniqueId val="{00000008-3251-4A73-9093-5C574628FC58}"/>
              </c:ext>
            </c:extLst>
          </c:dPt>
          <c:dPt>
            <c:idx val="7"/>
            <c:bubble3D val="0"/>
            <c:explosion val="10"/>
            <c:extLst>
              <c:ext xmlns:c16="http://schemas.microsoft.com/office/drawing/2014/chart" uri="{C3380CC4-5D6E-409C-BE32-E72D297353CC}">
                <c16:uniqueId val="{00000006-3251-4A73-9093-5C574628FC58}"/>
              </c:ext>
            </c:extLst>
          </c:dPt>
          <c:dPt>
            <c:idx val="8"/>
            <c:bubble3D val="0"/>
            <c:explosion val="6"/>
            <c:extLst>
              <c:ext xmlns:c16="http://schemas.microsoft.com/office/drawing/2014/chart" uri="{C3380CC4-5D6E-409C-BE32-E72D297353CC}">
                <c16:uniqueId val="{00000003-E4FF-4BFF-BDAC-1F129F77DFB4}"/>
              </c:ext>
            </c:extLst>
          </c:dPt>
          <c:dPt>
            <c:idx val="11"/>
            <c:bubble3D val="0"/>
            <c:extLst>
              <c:ext xmlns:c16="http://schemas.microsoft.com/office/drawing/2014/chart" uri="{C3380CC4-5D6E-409C-BE32-E72D297353CC}">
                <c16:uniqueId val="{00000005-E4FF-4BFF-BDAC-1F129F77DFB4}"/>
              </c:ext>
            </c:extLst>
          </c:dPt>
          <c:dLbls>
            <c:dLbl>
              <c:idx val="0"/>
              <c:layout>
                <c:manualLayout>
                  <c:x val="7.0866994544559869E-3"/>
                  <c:y val="-4.571966660136540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FF-4BFF-BDAC-1F129F77DFB4}"/>
                </c:ext>
              </c:extLst>
            </c:dLbl>
            <c:dLbl>
              <c:idx val="2"/>
              <c:layout>
                <c:manualLayout>
                  <c:x val="6.4984295461929242E-3"/>
                  <c:y val="-4.1662317821813108E-2"/>
                </c:manualLayout>
              </c:layout>
              <c:numFmt formatCode="0.00%" sourceLinked="0"/>
              <c:spPr>
                <a:noFill/>
                <a:ln>
                  <a:noFill/>
                </a:ln>
                <a:effectLst/>
              </c:spPr>
              <c:txPr>
                <a:bodyPr wrap="square" lIns="38100" tIns="19050" rIns="38100" bIns="19050" anchor="ctr">
                  <a:noAutofit/>
                </a:bodyPr>
                <a:lstStyle/>
                <a:p>
                  <a:pPr>
                    <a:defRPr sz="900"/>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7.3107332394671293E-2"/>
                      <c:h val="7.2130462053104749E-2"/>
                    </c:manualLayout>
                  </c15:layout>
                </c:ext>
                <c:ext xmlns:c16="http://schemas.microsoft.com/office/drawing/2014/chart" uri="{C3380CC4-5D6E-409C-BE32-E72D297353CC}">
                  <c16:uniqueId val="{0000000A-3251-4A73-9093-5C574628FC58}"/>
                </c:ext>
              </c:extLst>
            </c:dLbl>
            <c:dLbl>
              <c:idx val="3"/>
              <c:layout>
                <c:manualLayout>
                  <c:x val="1.9561466871227905E-2"/>
                  <c:y val="-0.10031624470524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251-4A73-9093-5C574628FC58}"/>
                </c:ext>
              </c:extLst>
            </c:dLbl>
            <c:dLbl>
              <c:idx val="5"/>
              <c:layout>
                <c:manualLayout>
                  <c:x val="1.3274449488355275E-2"/>
                  <c:y val="3.29520068615717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51-4A73-9093-5C574628FC58}"/>
                </c:ext>
              </c:extLst>
            </c:dLbl>
            <c:dLbl>
              <c:idx val="6"/>
              <c:layout>
                <c:manualLayout>
                  <c:x val="-8.2665567107371621E-2"/>
                  <c:y val="4.20307486653024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251-4A73-9093-5C574628FC58}"/>
                </c:ext>
              </c:extLst>
            </c:dLbl>
            <c:dLbl>
              <c:idx val="7"/>
              <c:layout>
                <c:manualLayout>
                  <c:x val="0.15309089017398222"/>
                  <c:y val="-8.78327277875546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251-4A73-9093-5C574628FC58}"/>
                </c:ext>
              </c:extLst>
            </c:dLbl>
            <c:dLbl>
              <c:idx val="8"/>
              <c:layout>
                <c:manualLayout>
                  <c:x val="-2.6458415594184163E-2"/>
                  <c:y val="-8.616145436346905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FF-4BFF-BDAC-1F129F77DFB4}"/>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9"/>
                <c:pt idx="0">
                  <c:v>Živnostník</c:v>
                </c:pt>
                <c:pt idx="1">
                  <c:v>Spol. s.r.o.</c:v>
                </c:pt>
                <c:pt idx="2">
                  <c:v>Mimovládne org.</c:v>
                </c:pt>
                <c:pt idx="3">
                  <c:v>Príspevkové org.</c:v>
                </c:pt>
                <c:pt idx="4">
                  <c:v>Rozpočtová organizácia</c:v>
                </c:pt>
                <c:pt idx="5">
                  <c:v>Združenie</c:v>
                </c:pt>
                <c:pt idx="6">
                  <c:v>Cirkevná org. </c:v>
                </c:pt>
                <c:pt idx="7">
                  <c:v>Obec, mesto</c:v>
                </c:pt>
                <c:pt idx="8">
                  <c:v>Iné</c:v>
                </c:pt>
              </c:strCache>
            </c:strRef>
          </c:cat>
          <c:val>
            <c:numRef>
              <c:f>Hárok1!$B$1:$B$9</c:f>
              <c:numCache>
                <c:formatCode>General</c:formatCode>
                <c:ptCount val="9"/>
                <c:pt idx="0">
                  <c:v>38</c:v>
                </c:pt>
                <c:pt idx="1">
                  <c:v>95</c:v>
                </c:pt>
                <c:pt idx="2">
                  <c:v>24</c:v>
                </c:pt>
                <c:pt idx="3">
                  <c:v>23</c:v>
                </c:pt>
                <c:pt idx="4">
                  <c:v>74</c:v>
                </c:pt>
                <c:pt idx="5">
                  <c:v>20</c:v>
                </c:pt>
                <c:pt idx="6">
                  <c:v>6</c:v>
                </c:pt>
                <c:pt idx="7">
                  <c:v>305</c:v>
                </c:pt>
                <c:pt idx="8">
                  <c:v>21</c:v>
                </c:pt>
              </c:numCache>
            </c:numRef>
          </c:val>
          <c:extLst>
            <c:ext xmlns:c16="http://schemas.microsoft.com/office/drawing/2014/chart" uri="{C3380CC4-5D6E-409C-BE32-E72D297353CC}">
              <c16:uniqueId val="{00000006-E4FF-4BFF-BDAC-1F129F77DFB4}"/>
            </c:ext>
          </c:extLst>
        </c:ser>
        <c:dLbls>
          <c:showLegendKey val="0"/>
          <c:showVal val="1"/>
          <c:showCatName val="0"/>
          <c:showSerName val="0"/>
          <c:showPercent val="0"/>
          <c:showBubbleSize val="0"/>
          <c:showLeaderLines val="1"/>
        </c:dLbls>
      </c:pie3DChart>
    </c:plotArea>
    <c:legend>
      <c:legendPos val="r"/>
      <c:layout>
        <c:manualLayout>
          <c:xMode val="edge"/>
          <c:yMode val="edge"/>
          <c:x val="0.67409744744757538"/>
          <c:y val="0.13216526378693569"/>
          <c:w val="0.3089866799250548"/>
          <c:h val="0.80576352271249385"/>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zamestnancov podľa  pohlavia</a:t>
            </a:r>
            <a:endParaRPr lang="sk-SK" sz="1200">
              <a:effectLst/>
            </a:endParaRPr>
          </a:p>
        </c:rich>
      </c:tx>
      <c:layout>
        <c:manualLayout>
          <c:xMode val="edge"/>
          <c:yMode val="edge"/>
          <c:x val="0.19645118205699874"/>
          <c:y val="0.14571051868905188"/>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92225917055773"/>
          <c:y val="0.27433480740908917"/>
          <c:w val="0.43735005771980912"/>
          <c:h val="0.57133327841547232"/>
        </c:manualLayout>
      </c:layout>
      <c:pie3DChart>
        <c:varyColors val="1"/>
        <c:ser>
          <c:idx val="0"/>
          <c:order val="0"/>
          <c:explosion val="18"/>
          <c:dPt>
            <c:idx val="0"/>
            <c:bubble3D val="0"/>
            <c:spPr>
              <a:solidFill>
                <a:srgbClr val="92D050"/>
              </a:solidFill>
            </c:spPr>
            <c:extLst>
              <c:ext xmlns:c16="http://schemas.microsoft.com/office/drawing/2014/chart" uri="{C3380CC4-5D6E-409C-BE32-E72D297353CC}">
                <c16:uniqueId val="{00000001-256B-43DB-BCB1-D6CE801ECDA3}"/>
              </c:ext>
            </c:extLst>
          </c:dPt>
          <c:dPt>
            <c:idx val="1"/>
            <c:bubble3D val="0"/>
            <c:explosion val="11"/>
            <c:extLst>
              <c:ext xmlns:c16="http://schemas.microsoft.com/office/drawing/2014/chart" uri="{C3380CC4-5D6E-409C-BE32-E72D297353CC}">
                <c16:uniqueId val="{00000002-481F-4C15-AB6C-6882F757630D}"/>
              </c:ext>
            </c:extLst>
          </c:dPt>
          <c:dLbls>
            <c:dLbl>
              <c:idx val="0"/>
              <c:layout>
                <c:manualLayout>
                  <c:x val="-0.11282797189202887"/>
                  <c:y val="-0.1996363012943755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6B-43DB-BCB1-D6CE801ECDA3}"/>
                </c:ext>
              </c:extLst>
            </c:dLbl>
            <c:dLbl>
              <c:idx val="1"/>
              <c:spPr>
                <a:noFill/>
                <a:ln>
                  <a:noFill/>
                </a:ln>
                <a:effectLst/>
              </c:spPr>
              <c:txPr>
                <a:bodyPr wrap="square" lIns="38100" tIns="19050" rIns="38100" bIns="19050" anchor="ctr">
                  <a:noAutofit/>
                </a:bodyPr>
                <a:lstStyle/>
                <a:p>
                  <a:pPr>
                    <a:defRPr/>
                  </a:pPr>
                  <a:endParaRPr lang="sk-SK"/>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81F-4C15-AB6C-6882F757630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Hárok1!$B$20:$B$21</c:f>
              <c:strCache>
                <c:ptCount val="2"/>
                <c:pt idx="0">
                  <c:v>žena</c:v>
                </c:pt>
                <c:pt idx="1">
                  <c:v>muž</c:v>
                </c:pt>
              </c:strCache>
            </c:strRef>
          </c:cat>
          <c:val>
            <c:numRef>
              <c:f>Hárok1!$C$20:$C$21</c:f>
              <c:numCache>
                <c:formatCode>General</c:formatCode>
                <c:ptCount val="2"/>
                <c:pt idx="0">
                  <c:v>3</c:v>
                </c:pt>
                <c:pt idx="1">
                  <c:v>1</c:v>
                </c:pt>
              </c:numCache>
            </c:numRef>
          </c:val>
          <c:extLst>
            <c:ext xmlns:c16="http://schemas.microsoft.com/office/drawing/2014/chart" uri="{C3380CC4-5D6E-409C-BE32-E72D297353CC}">
              <c16:uniqueId val="{00000002-256B-43DB-BCB1-D6CE801ECDA3}"/>
            </c:ext>
          </c:extLst>
        </c:ser>
        <c:dLbls>
          <c:showLegendKey val="0"/>
          <c:showVal val="1"/>
          <c:showCatName val="0"/>
          <c:showSerName val="0"/>
          <c:showPercent val="0"/>
          <c:showBubbleSize val="0"/>
          <c:showLeaderLines val="1"/>
        </c:dLbls>
      </c:pie3DChart>
    </c:plotArea>
    <c:legend>
      <c:legendPos val="r"/>
      <c:layout>
        <c:manualLayout>
          <c:xMode val="edge"/>
          <c:yMode val="edge"/>
          <c:x val="0.7478608764778425"/>
          <c:y val="0.3654682161619377"/>
          <c:w val="0.18676320200583155"/>
          <c:h val="0.34922382281558539"/>
        </c:manualLayout>
      </c:layout>
      <c:overlay val="0"/>
      <c:txPr>
        <a:bodyPr/>
        <a:lstStyle/>
        <a:p>
          <a:pPr rtl="0">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3643486944723266"/>
          <c:y val="6.624577659836719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458408771685952"/>
          <c:y val="0.24506115635769465"/>
          <c:w val="0.49256151548152766"/>
          <c:h val="0.63592776829743758"/>
        </c:manualLayout>
      </c:layout>
      <c:pie3DChart>
        <c:varyColors val="1"/>
        <c:ser>
          <c:idx val="0"/>
          <c:order val="0"/>
          <c:explosion val="25"/>
          <c:dPt>
            <c:idx val="0"/>
            <c:bubble3D val="0"/>
            <c:explosion val="14"/>
            <c:extLst>
              <c:ext xmlns:c16="http://schemas.microsoft.com/office/drawing/2014/chart" uri="{C3380CC4-5D6E-409C-BE32-E72D297353CC}">
                <c16:uniqueId val="{00000001-83BD-47D2-A9F2-FC376BEF2BA7}"/>
              </c:ext>
            </c:extLst>
          </c:dPt>
          <c:dPt>
            <c:idx val="1"/>
            <c:bubble3D val="0"/>
            <c:explosion val="7"/>
            <c:extLst>
              <c:ext xmlns:c16="http://schemas.microsoft.com/office/drawing/2014/chart" uri="{C3380CC4-5D6E-409C-BE32-E72D297353CC}">
                <c16:uniqueId val="{00000003-83BD-47D2-A9F2-FC376BEF2BA7}"/>
              </c:ext>
            </c:extLst>
          </c:dPt>
          <c:dPt>
            <c:idx val="2"/>
            <c:bubble3D val="0"/>
            <c:explosion val="12"/>
            <c:extLst>
              <c:ext xmlns:c16="http://schemas.microsoft.com/office/drawing/2014/chart" uri="{C3380CC4-5D6E-409C-BE32-E72D297353CC}">
                <c16:uniqueId val="{00000005-83BD-47D2-A9F2-FC376BEF2BA7}"/>
              </c:ext>
            </c:extLst>
          </c:dPt>
          <c:dPt>
            <c:idx val="3"/>
            <c:bubble3D val="0"/>
            <c:explosion val="16"/>
            <c:extLst>
              <c:ext xmlns:c16="http://schemas.microsoft.com/office/drawing/2014/chart" uri="{C3380CC4-5D6E-409C-BE32-E72D297353CC}">
                <c16:uniqueId val="{00000007-83BD-47D2-A9F2-FC376BEF2BA7}"/>
              </c:ext>
            </c:extLst>
          </c:dPt>
          <c:dLbls>
            <c:dLbl>
              <c:idx val="2"/>
              <c:layout>
                <c:manualLayout>
                  <c:x val="0.12971634075994243"/>
                  <c:y val="-0.195862869503516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3BD-47D2-A9F2-FC376BEF2BA7}"/>
                </c:ext>
              </c:extLst>
            </c:dLbl>
            <c:numFmt formatCode="0.00%" sourceLinked="0"/>
            <c:spPr>
              <a:noFill/>
              <a:ln>
                <a:noFill/>
              </a:ln>
              <a:effectLst/>
            </c:spPr>
            <c:txPr>
              <a:bodyPr wrap="square" lIns="38100" tIns="19050" rIns="38100" bIns="19050" anchor="ctr">
                <a:spAutoFit/>
              </a:bodyPr>
              <a:lstStyle/>
              <a:p>
                <a:pPr>
                  <a:defRPr sz="10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287</c:v>
                </c:pt>
                <c:pt idx="1">
                  <c:v>360</c:v>
                </c:pt>
                <c:pt idx="2">
                  <c:v>995</c:v>
                </c:pt>
                <c:pt idx="3">
                  <c:v>243</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83BD-47D2-A9F2-FC376BEF2BA7}"/>
            </c:ext>
          </c:extLst>
        </c:ser>
        <c:dLbls>
          <c:showLegendKey val="0"/>
          <c:showVal val="1"/>
          <c:showCatName val="0"/>
          <c:showSerName val="0"/>
          <c:showPercent val="0"/>
          <c:showBubbleSize val="0"/>
          <c:showLeaderLines val="1"/>
        </c:dLbls>
      </c:pie3DChart>
    </c:plotArea>
    <c:legend>
      <c:legendPos val="r"/>
      <c:layout>
        <c:manualLayout>
          <c:xMode val="edge"/>
          <c:yMode val="edge"/>
          <c:x val="0.74774631563776284"/>
          <c:y val="0.18388077371299616"/>
          <c:w val="0.17251965945500178"/>
          <c:h val="0.69696980907926842"/>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0.13245999670814462"/>
          <c:y val="4.589937993558665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15872286244735"/>
          <c:y val="0.23354651629245035"/>
          <c:w val="0.49039537229946334"/>
          <c:h val="0.63318834599823492"/>
        </c:manualLayout>
      </c:layout>
      <c:pie3DChart>
        <c:varyColors val="1"/>
        <c:ser>
          <c:idx val="0"/>
          <c:order val="0"/>
          <c:explosion val="17"/>
          <c:dPt>
            <c:idx val="0"/>
            <c:bubble3D val="0"/>
            <c:extLst>
              <c:ext xmlns:c16="http://schemas.microsoft.com/office/drawing/2014/chart" uri="{C3380CC4-5D6E-409C-BE32-E72D297353CC}">
                <c16:uniqueId val="{00000001-BD12-4F7D-A629-FF2AE9ACBB9A}"/>
              </c:ext>
            </c:extLst>
          </c:dPt>
          <c:dPt>
            <c:idx val="1"/>
            <c:bubble3D val="0"/>
            <c:extLst>
              <c:ext xmlns:c16="http://schemas.microsoft.com/office/drawing/2014/chart" uri="{C3380CC4-5D6E-409C-BE32-E72D297353CC}">
                <c16:uniqueId val="{00000003-BD12-4F7D-A629-FF2AE9ACBB9A}"/>
              </c:ext>
            </c:extLst>
          </c:dPt>
          <c:dPt>
            <c:idx val="2"/>
            <c:bubble3D val="0"/>
            <c:extLst>
              <c:ext xmlns:c16="http://schemas.microsoft.com/office/drawing/2014/chart" uri="{C3380CC4-5D6E-409C-BE32-E72D297353CC}">
                <c16:uniqueId val="{00000005-BD12-4F7D-A629-FF2AE9ACBB9A}"/>
              </c:ext>
            </c:extLst>
          </c:dPt>
          <c:dPt>
            <c:idx val="3"/>
            <c:bubble3D val="0"/>
            <c:extLst>
              <c:ext xmlns:c16="http://schemas.microsoft.com/office/drawing/2014/chart" uri="{C3380CC4-5D6E-409C-BE32-E72D297353CC}">
                <c16:uniqueId val="{00000007-BD12-4F7D-A629-FF2AE9ACBB9A}"/>
              </c:ext>
            </c:extLst>
          </c:dPt>
          <c:dLbls>
            <c:dLbl>
              <c:idx val="0"/>
              <c:layout>
                <c:manualLayout>
                  <c:x val="-2.7765947376365674E-2"/>
                  <c:y val="-5.87181514974383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12-4F7D-A629-FF2AE9ACBB9A}"/>
                </c:ext>
              </c:extLst>
            </c:dLbl>
            <c:dLbl>
              <c:idx val="1"/>
              <c:layout>
                <c:manualLayout>
                  <c:x val="1.9840677610522259E-2"/>
                  <c:y val="-5.08352531261103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12-4F7D-A629-FF2AE9ACBB9A}"/>
                </c:ext>
              </c:extLst>
            </c:dLbl>
            <c:dLbl>
              <c:idx val="2"/>
              <c:layout>
                <c:manualLayout>
                  <c:x val="5.2694673590365268E-2"/>
                  <c:y val="-2.08784627904044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12-4F7D-A629-FF2AE9ACBB9A}"/>
                </c:ext>
              </c:extLst>
            </c:dLbl>
            <c:dLbl>
              <c:idx val="4"/>
              <c:layout>
                <c:manualLayout>
                  <c:x val="-0.1264703549660538"/>
                  <c:y val="-0.157401517495902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443-4C9D-9F49-3F0D6F1209A9}"/>
                </c:ext>
              </c:extLst>
            </c:dLbl>
            <c:dLbl>
              <c:idx val="5"/>
              <c:layout>
                <c:manualLayout>
                  <c:x val="-9.8429887317913918E-3"/>
                  <c:y val="8.545083611273481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443-4C9D-9F49-3F0D6F1209A9}"/>
                </c:ext>
              </c:extLst>
            </c:dLbl>
            <c:dLbl>
              <c:idx val="6"/>
              <c:layout>
                <c:manualLayout>
                  <c:x val="5.2746268733087645E-2"/>
                  <c:y val="-9.29446182764272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43-4C9D-9F49-3F0D6F1209A9}"/>
                </c:ext>
              </c:extLst>
            </c:dLbl>
            <c:dLbl>
              <c:idx val="9"/>
              <c:layout>
                <c:manualLayout>
                  <c:x val="-8.9173377588605066E-2"/>
                  <c:y val="-2.41696179898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E443-4C9D-9F49-3F0D6F1209A9}"/>
                </c:ext>
              </c:extLst>
            </c:dLbl>
            <c:numFmt formatCode="0.00%" sourceLinked="0"/>
            <c:spPr>
              <a:noFill/>
              <a:ln>
                <a:noFill/>
              </a:ln>
              <a:effectLst/>
            </c:spPr>
            <c:txPr>
              <a:bodyPr vertOverflow="overflow" horzOverflow="overflow" wrap="square" lIns="38100" tIns="19050" rIns="38100" bIns="19050" anchor="ctr" anchorCtr="0">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Vyššie odborné vzdelanie</c:v>
                </c:pt>
                <c:pt idx="6">
                  <c:v>Úplné stredné všeobecné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2</c:v>
                </c:pt>
                <c:pt idx="1">
                  <c:v>54</c:v>
                </c:pt>
                <c:pt idx="2">
                  <c:v>2</c:v>
                </c:pt>
                <c:pt idx="3">
                  <c:v>296</c:v>
                </c:pt>
                <c:pt idx="4">
                  <c:v>809</c:v>
                </c:pt>
                <c:pt idx="5">
                  <c:v>17</c:v>
                </c:pt>
                <c:pt idx="6">
                  <c:v>110</c:v>
                </c:pt>
                <c:pt idx="7">
                  <c:v>127</c:v>
                </c:pt>
                <c:pt idx="8">
                  <c:v>455</c:v>
                </c:pt>
                <c:pt idx="9">
                  <c:v>12</c:v>
                </c:pt>
              </c:numCache>
            </c:numRef>
          </c:val>
          <c:extLst>
            <c:ext xmlns:c16="http://schemas.microsoft.com/office/drawing/2014/chart" uri="{C3380CC4-5D6E-409C-BE32-E72D297353CC}">
              <c16:uniqueId val="{00000008-BD12-4F7D-A629-FF2AE9ACBB9A}"/>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67208481047526381"/>
          <c:y val="0.13570061339017708"/>
          <c:w val="0.30408761452202859"/>
          <c:h val="0.8529081654848392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15628757171085228"/>
          <c:y val="9.728614943047629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324866044511687"/>
          <c:y val="0.23353244091320208"/>
          <c:w val="0.46873394047882"/>
          <c:h val="0.60622508185269841"/>
        </c:manualLayout>
      </c:layout>
      <c:pie3DChart>
        <c:varyColors val="1"/>
        <c:ser>
          <c:idx val="0"/>
          <c:order val="0"/>
          <c:explosion val="25"/>
          <c:dPt>
            <c:idx val="0"/>
            <c:bubble3D val="0"/>
            <c:explosion val="14"/>
            <c:extLst>
              <c:ext xmlns:c16="http://schemas.microsoft.com/office/drawing/2014/chart" uri="{C3380CC4-5D6E-409C-BE32-E72D297353CC}">
                <c16:uniqueId val="{00000001-F6FA-4308-BCB2-DCD93A6B041A}"/>
              </c:ext>
            </c:extLst>
          </c:dPt>
          <c:dPt>
            <c:idx val="1"/>
            <c:bubble3D val="0"/>
            <c:explosion val="7"/>
            <c:extLst>
              <c:ext xmlns:c16="http://schemas.microsoft.com/office/drawing/2014/chart" uri="{C3380CC4-5D6E-409C-BE32-E72D297353CC}">
                <c16:uniqueId val="{00000003-F6FA-4308-BCB2-DCD93A6B041A}"/>
              </c:ext>
            </c:extLst>
          </c:dPt>
          <c:dPt>
            <c:idx val="2"/>
            <c:bubble3D val="0"/>
            <c:explosion val="12"/>
            <c:extLst>
              <c:ext xmlns:c16="http://schemas.microsoft.com/office/drawing/2014/chart" uri="{C3380CC4-5D6E-409C-BE32-E72D297353CC}">
                <c16:uniqueId val="{00000005-F6FA-4308-BCB2-DCD93A6B041A}"/>
              </c:ext>
            </c:extLst>
          </c:dPt>
          <c:dPt>
            <c:idx val="3"/>
            <c:bubble3D val="0"/>
            <c:explosion val="16"/>
            <c:extLst>
              <c:ext xmlns:c16="http://schemas.microsoft.com/office/drawing/2014/chart" uri="{C3380CC4-5D6E-409C-BE32-E72D297353CC}">
                <c16:uniqueId val="{00000007-F6FA-4308-BCB2-DCD93A6B041A}"/>
              </c:ext>
            </c:extLst>
          </c:dPt>
          <c:dPt>
            <c:idx val="4"/>
            <c:bubble3D val="0"/>
            <c:explosion val="17"/>
            <c:extLst>
              <c:ext xmlns:c16="http://schemas.microsoft.com/office/drawing/2014/chart" uri="{C3380CC4-5D6E-409C-BE32-E72D297353CC}">
                <c16:uniqueId val="{00000008-BD09-489F-9A92-2A1AC3DD6837}"/>
              </c:ext>
            </c:extLst>
          </c:dPt>
          <c:dLbls>
            <c:dLbl>
              <c:idx val="0"/>
              <c:layout>
                <c:manualLayout>
                  <c:x val="-3.445191034214055E-3"/>
                  <c:y val="-2.10914643515064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FA-4308-BCB2-DCD93A6B041A}"/>
                </c:ext>
              </c:extLst>
            </c:dLbl>
            <c:dLbl>
              <c:idx val="2"/>
              <c:layout>
                <c:manualLayout>
                  <c:x val="-0.1180378324582058"/>
                  <c:y val="-7.54391217090621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FA-4308-BCB2-DCD93A6B041A}"/>
                </c:ext>
              </c:extLst>
            </c:dLbl>
            <c:dLbl>
              <c:idx val="3"/>
              <c:layout>
                <c:manualLayout>
                  <c:x val="0.11320946519289331"/>
                  <c:y val="-0.1659990147580375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FA-4308-BCB2-DCD93A6B041A}"/>
                </c:ext>
              </c:extLst>
            </c:dLbl>
            <c:dLbl>
              <c:idx val="4"/>
              <c:layout>
                <c:manualLayout>
                  <c:x val="7.8203738558457303E-2"/>
                  <c:y val="5.33579802222972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D09-489F-9A92-2A1AC3DD6837}"/>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29</c:v>
                </c:pt>
                <c:pt idx="1">
                  <c:v>232</c:v>
                </c:pt>
                <c:pt idx="2">
                  <c:v>477</c:v>
                </c:pt>
                <c:pt idx="3">
                  <c:v>771</c:v>
                </c:pt>
                <c:pt idx="4">
                  <c:v>376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F6FA-4308-BCB2-DCD93A6B041A}"/>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znevýhodnenia</a:t>
            </a:r>
            <a:endParaRPr lang="sk-SK" sz="1200">
              <a:effectLst/>
            </a:endParaRPr>
          </a:p>
        </c:rich>
      </c:tx>
      <c:layout>
        <c:manualLayout>
          <c:xMode val="edge"/>
          <c:yMode val="edge"/>
          <c:x val="0.19522438161787689"/>
          <c:y val="4.34923749009488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559350554263915"/>
          <c:y val="0.28957878258034142"/>
          <c:w val="0.47712990199226729"/>
          <c:h val="0.62002498004247775"/>
        </c:manualLayout>
      </c:layout>
      <c:pie3DChart>
        <c:varyColors val="1"/>
        <c:ser>
          <c:idx val="0"/>
          <c:order val="0"/>
          <c:explosion val="25"/>
          <c:dPt>
            <c:idx val="0"/>
            <c:bubble3D val="0"/>
            <c:explosion val="14"/>
            <c:extLst>
              <c:ext xmlns:c16="http://schemas.microsoft.com/office/drawing/2014/chart" uri="{C3380CC4-5D6E-409C-BE32-E72D297353CC}">
                <c16:uniqueId val="{00000001-6E64-4F53-B9D4-5C27A7A1E57B}"/>
              </c:ext>
            </c:extLst>
          </c:dPt>
          <c:dPt>
            <c:idx val="1"/>
            <c:bubble3D val="0"/>
            <c:explosion val="7"/>
            <c:extLst>
              <c:ext xmlns:c16="http://schemas.microsoft.com/office/drawing/2014/chart" uri="{C3380CC4-5D6E-409C-BE32-E72D297353CC}">
                <c16:uniqueId val="{00000003-6E64-4F53-B9D4-5C27A7A1E57B}"/>
              </c:ext>
            </c:extLst>
          </c:dPt>
          <c:dPt>
            <c:idx val="2"/>
            <c:bubble3D val="0"/>
            <c:explosion val="4"/>
            <c:extLst>
              <c:ext xmlns:c16="http://schemas.microsoft.com/office/drawing/2014/chart" uri="{C3380CC4-5D6E-409C-BE32-E72D297353CC}">
                <c16:uniqueId val="{00000005-6E64-4F53-B9D4-5C27A7A1E57B}"/>
              </c:ext>
            </c:extLst>
          </c:dPt>
          <c:dPt>
            <c:idx val="3"/>
            <c:bubble3D val="0"/>
            <c:explosion val="7"/>
            <c:extLst>
              <c:ext xmlns:c16="http://schemas.microsoft.com/office/drawing/2014/chart" uri="{C3380CC4-5D6E-409C-BE32-E72D297353CC}">
                <c16:uniqueId val="{00000007-6E64-4F53-B9D4-5C27A7A1E57B}"/>
              </c:ext>
            </c:extLst>
          </c:dPt>
          <c:dPt>
            <c:idx val="4"/>
            <c:bubble3D val="0"/>
            <c:explosion val="10"/>
            <c:extLst>
              <c:ext xmlns:c16="http://schemas.microsoft.com/office/drawing/2014/chart" uri="{C3380CC4-5D6E-409C-BE32-E72D297353CC}">
                <c16:uniqueId val="{00000009-6E64-4F53-B9D4-5C27A7A1E57B}"/>
              </c:ext>
            </c:extLst>
          </c:dPt>
          <c:dLbls>
            <c:dLbl>
              <c:idx val="0"/>
              <c:layout>
                <c:manualLayout>
                  <c:x val="5.4501804729547472E-2"/>
                  <c:y val="-1.62943714013352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64-4F53-B9D4-5C27A7A1E57B}"/>
                </c:ext>
              </c:extLst>
            </c:dLbl>
            <c:dLbl>
              <c:idx val="1"/>
              <c:layout>
                <c:manualLayout>
                  <c:x val="4.4764999807324166E-2"/>
                  <c:y val="-1.53124901221279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64-4F53-B9D4-5C27A7A1E57B}"/>
                </c:ext>
              </c:extLst>
            </c:dLbl>
            <c:dLbl>
              <c:idx val="2"/>
              <c:layout>
                <c:manualLayout>
                  <c:x val="-0.12919345930045864"/>
                  <c:y val="-0.134369671147962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64-4F53-B9D4-5C27A7A1E57B}"/>
                </c:ext>
              </c:extLst>
            </c:dLbl>
            <c:dLbl>
              <c:idx val="3"/>
              <c:layout>
                <c:manualLayout>
                  <c:x val="-2.5431315375953251E-2"/>
                  <c:y val="3.412957218731496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E64-4F53-B9D4-5C27A7A1E57B}"/>
                </c:ext>
              </c:extLst>
            </c:dLbl>
            <c:dLbl>
              <c:idx val="4"/>
              <c:layout>
                <c:manualLayout>
                  <c:x val="0.12672994994712122"/>
                  <c:y val="7.55093654704528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E64-4F53-B9D4-5C27A7A1E57B}"/>
                </c:ext>
              </c:extLst>
            </c:dLbl>
            <c:dLbl>
              <c:idx val="5"/>
              <c:layout>
                <c:manualLayout>
                  <c:x val="-5.8381438046182239E-2"/>
                  <c:y val="-2.40159975777378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E64-4F53-B9D4-5C27A7A1E57B}"/>
                </c:ext>
              </c:extLst>
            </c:dLbl>
            <c:dLbl>
              <c:idx val="6"/>
              <c:layout>
                <c:manualLayout>
                  <c:x val="1.0724503645853404E-2"/>
                  <c:y val="-2.06665665108359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E64-4F53-B9D4-5C27A7A1E57B}"/>
                </c:ext>
              </c:extLst>
            </c:dLbl>
            <c:dLbl>
              <c:idx val="7"/>
              <c:layout>
                <c:manualLayout>
                  <c:x val="4.8295675927947791E-2"/>
                  <c:y val="-1.361956841809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E64-4F53-B9D4-5C27A7A1E57B}"/>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rokov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176</c:v>
                </c:pt>
                <c:pt idx="1">
                  <c:v>243</c:v>
                </c:pt>
                <c:pt idx="2">
                  <c:v>1180</c:v>
                </c:pt>
                <c:pt idx="3">
                  <c:v>58</c:v>
                </c:pt>
                <c:pt idx="4">
                  <c:v>926</c:v>
                </c:pt>
                <c:pt idx="5">
                  <c:v>38</c:v>
                </c:pt>
                <c:pt idx="6">
                  <c:v>71</c:v>
                </c:pt>
                <c:pt idx="7">
                  <c:v>75</c:v>
                </c:pt>
              </c:numCache>
            </c:numRef>
          </c:val>
          <c:extLst>
            <c:ext xmlns:c16="http://schemas.microsoft.com/office/drawing/2014/chart" uri="{C3380CC4-5D6E-409C-BE32-E72D297353CC}">
              <c16:uniqueId val="{0000000D-6E64-4F53-B9D4-5C27A7A1E57B}"/>
            </c:ext>
          </c:extLst>
        </c:ser>
        <c:dLbls>
          <c:showLegendKey val="0"/>
          <c:showVal val="1"/>
          <c:showCatName val="0"/>
          <c:showSerName val="0"/>
          <c:showPercent val="0"/>
          <c:showBubbleSize val="0"/>
          <c:showLeaderLines val="1"/>
        </c:dLbls>
      </c:pie3DChart>
    </c:plotArea>
    <c:legend>
      <c:legendPos val="tr"/>
      <c:layout>
        <c:manualLayout>
          <c:xMode val="edge"/>
          <c:yMode val="edge"/>
          <c:x val="0.65489494889810873"/>
          <c:y val="0.12864874037375371"/>
          <c:w val="0.31900390917693194"/>
          <c:h val="0.8162504512627872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SK NACE</a:t>
            </a:r>
            <a:endParaRPr lang="sk-SK" sz="1200">
              <a:effectLst/>
            </a:endParaRPr>
          </a:p>
        </c:rich>
      </c:tx>
      <c:layout>
        <c:manualLayout>
          <c:xMode val="edge"/>
          <c:yMode val="edge"/>
          <c:x val="0.13755529013822854"/>
          <c:y val="3.1032743857837441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6959415907338808E-2"/>
          <c:y val="0.38623226195086269"/>
          <c:w val="0.44920581121656666"/>
          <c:h val="0.58011238759089545"/>
        </c:manualLayout>
      </c:layout>
      <c:pie3DChart>
        <c:varyColors val="1"/>
        <c:ser>
          <c:idx val="0"/>
          <c:order val="0"/>
          <c:explosion val="25"/>
          <c:dPt>
            <c:idx val="0"/>
            <c:bubble3D val="0"/>
            <c:explosion val="14"/>
            <c:extLst>
              <c:ext xmlns:c16="http://schemas.microsoft.com/office/drawing/2014/chart" uri="{C3380CC4-5D6E-409C-BE32-E72D297353CC}">
                <c16:uniqueId val="{00000001-7EAE-45EA-A66E-76E7AE638A32}"/>
              </c:ext>
            </c:extLst>
          </c:dPt>
          <c:dPt>
            <c:idx val="1"/>
            <c:bubble3D val="0"/>
            <c:explosion val="7"/>
            <c:extLst>
              <c:ext xmlns:c16="http://schemas.microsoft.com/office/drawing/2014/chart" uri="{C3380CC4-5D6E-409C-BE32-E72D297353CC}">
                <c16:uniqueId val="{00000003-7EAE-45EA-A66E-76E7AE638A32}"/>
              </c:ext>
            </c:extLst>
          </c:dPt>
          <c:dPt>
            <c:idx val="2"/>
            <c:bubble3D val="0"/>
            <c:explosion val="12"/>
            <c:extLst>
              <c:ext xmlns:c16="http://schemas.microsoft.com/office/drawing/2014/chart" uri="{C3380CC4-5D6E-409C-BE32-E72D297353CC}">
                <c16:uniqueId val="{00000005-7EAE-45EA-A66E-76E7AE638A32}"/>
              </c:ext>
            </c:extLst>
          </c:dPt>
          <c:dPt>
            <c:idx val="3"/>
            <c:bubble3D val="0"/>
            <c:explosion val="16"/>
            <c:extLst>
              <c:ext xmlns:c16="http://schemas.microsoft.com/office/drawing/2014/chart" uri="{C3380CC4-5D6E-409C-BE32-E72D297353CC}">
                <c16:uniqueId val="{00000007-7EAE-45EA-A66E-76E7AE638A32}"/>
              </c:ext>
            </c:extLst>
          </c:dPt>
          <c:dPt>
            <c:idx val="4"/>
            <c:bubble3D val="0"/>
            <c:explosion val="18"/>
            <c:extLst>
              <c:ext xmlns:c16="http://schemas.microsoft.com/office/drawing/2014/chart" uri="{C3380CC4-5D6E-409C-BE32-E72D297353CC}">
                <c16:uniqueId val="{00000009-7EAE-45EA-A66E-76E7AE638A32}"/>
              </c:ext>
            </c:extLst>
          </c:dPt>
          <c:dLbls>
            <c:dLbl>
              <c:idx val="5"/>
              <c:layout>
                <c:manualLayout>
                  <c:x val="-1.5915705430023026E-2"/>
                  <c:y val="3.68514263585904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7C-4D91-8C9E-BAFAC3044BDA}"/>
                </c:ext>
              </c:extLst>
            </c:dLbl>
            <c:dLbl>
              <c:idx val="6"/>
              <c:layout>
                <c:manualLayout>
                  <c:x val="-4.284273909543157E-2"/>
                  <c:y val="-1.73452088980680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73-4AC4-BDF0-7653CC6731AC}"/>
                </c:ext>
              </c:extLst>
            </c:dLbl>
            <c:dLbl>
              <c:idx val="7"/>
              <c:layout>
                <c:manualLayout>
                  <c:x val="-1.9782611443232519E-2"/>
                  <c:y val="-3.67510834054109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EAE-45EA-A66E-76E7AE638A32}"/>
                </c:ext>
              </c:extLst>
            </c:dLbl>
            <c:dLbl>
              <c:idx val="8"/>
              <c:layout>
                <c:manualLayout>
                  <c:x val="-4.1417996907689908E-2"/>
                  <c:y val="-7.16363641795771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EAE-45EA-A66E-76E7AE638A32}"/>
                </c:ext>
              </c:extLst>
            </c:dLbl>
            <c:dLbl>
              <c:idx val="9"/>
              <c:layout>
                <c:manualLayout>
                  <c:x val="-4.8337731501441557E-2"/>
                  <c:y val="-0.135436168839550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7EAE-45EA-A66E-76E7AE638A32}"/>
                </c:ext>
              </c:extLst>
            </c:dLbl>
            <c:dLbl>
              <c:idx val="11"/>
              <c:layout>
                <c:manualLayout>
                  <c:x val="-3.5467817959380907E-2"/>
                  <c:y val="-0.140304461942257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ED73-4AC4-BDF0-7653CC6731AC}"/>
                </c:ext>
              </c:extLst>
            </c:dLbl>
            <c:dLbl>
              <c:idx val="12"/>
              <c:layout>
                <c:manualLayout>
                  <c:x val="7.5348727476481168E-3"/>
                  <c:y val="-0.159713004001989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EAE-45EA-A66E-76E7AE638A32}"/>
                </c:ext>
              </c:extLst>
            </c:dLbl>
            <c:dLbl>
              <c:idx val="13"/>
              <c:layout>
                <c:manualLayout>
                  <c:x val="8.5736873154327459E-2"/>
                  <c:y val="-0.119787616711845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EAE-45EA-A66E-76E7AE638A32}"/>
                </c:ext>
              </c:extLst>
            </c:dLbl>
            <c:dLbl>
              <c:idx val="15"/>
              <c:layout>
                <c:manualLayout>
                  <c:x val="0.16119731482659322"/>
                  <c:y val="-5.72440084333720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D73-4AC4-BDF0-7653CC6731AC}"/>
                </c:ext>
              </c:extLst>
            </c:dLbl>
            <c:dLbl>
              <c:idx val="16"/>
              <c:delete val="1"/>
              <c:extLst>
                <c:ext xmlns:c15="http://schemas.microsoft.com/office/drawing/2012/chart" uri="{CE6537A1-D6FC-4f65-9D91-7224C49458BB}"/>
                <c:ext xmlns:c16="http://schemas.microsoft.com/office/drawing/2014/chart" uri="{C3380CC4-5D6E-409C-BE32-E72D297353CC}">
                  <c16:uniqueId val="{0000000F-7EAE-45EA-A66E-76E7AE638A32}"/>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Hárok1!$A$1:$A$17</c:f>
              <c:strCache>
                <c:ptCount val="17"/>
                <c:pt idx="0">
                  <c:v>Stavebníctvo</c:v>
                </c:pt>
                <c:pt idx="1">
                  <c:v>Ostatné činnosti</c:v>
                </c:pt>
                <c:pt idx="2">
                  <c:v>Odborné, vedecké a technické činnosti</c:v>
                </c:pt>
                <c:pt idx="3">
                  <c:v>Priemyselná výroba</c:v>
                </c:pt>
                <c:pt idx="4">
                  <c:v>Veľkoobchod a maloobchod</c:v>
                </c:pt>
                <c:pt idx="5">
                  <c:v>Administratívne služby</c:v>
                </c:pt>
                <c:pt idx="6">
                  <c:v>Ubytovacie a stravovacie služby</c:v>
                </c:pt>
                <c:pt idx="7">
                  <c:v>Informácie a komunikácia</c:v>
                </c:pt>
                <c:pt idx="8">
                  <c:v>Pôdohospodárstvo</c:v>
                </c:pt>
                <c:pt idx="9">
                  <c:v>Vzdelávanie</c:v>
                </c:pt>
                <c:pt idx="10">
                  <c:v>Umenie, zábava, rekreácia</c:v>
                </c:pt>
                <c:pt idx="11">
                  <c:v>Nehnuteľnosti</c:v>
                </c:pt>
                <c:pt idx="12">
                  <c:v>Doprava a skladovanie</c:v>
                </c:pt>
                <c:pt idx="13">
                  <c:v>Finančné a poisťovacie služby</c:v>
                </c:pt>
                <c:pt idx="14">
                  <c:v>Zdravotníctvo a soc.pom.</c:v>
                </c:pt>
                <c:pt idx="15">
                  <c:v>Dodávka vody</c:v>
                </c:pt>
                <c:pt idx="16">
                  <c:v>Dodávka elektriny, plynu, pary</c:v>
                </c:pt>
              </c:strCache>
            </c:strRef>
          </c:cat>
          <c:val>
            <c:numRef>
              <c:f>Hárok1!$B$1:$B$17</c:f>
              <c:numCache>
                <c:formatCode>General</c:formatCode>
                <c:ptCount val="17"/>
                <c:pt idx="0">
                  <c:v>360</c:v>
                </c:pt>
                <c:pt idx="1">
                  <c:v>369</c:v>
                </c:pt>
                <c:pt idx="2">
                  <c:v>294</c:v>
                </c:pt>
                <c:pt idx="3">
                  <c:v>235</c:v>
                </c:pt>
                <c:pt idx="4">
                  <c:v>175</c:v>
                </c:pt>
                <c:pt idx="5">
                  <c:v>94</c:v>
                </c:pt>
                <c:pt idx="6">
                  <c:v>38</c:v>
                </c:pt>
                <c:pt idx="7">
                  <c:v>41</c:v>
                </c:pt>
                <c:pt idx="8">
                  <c:v>107</c:v>
                </c:pt>
                <c:pt idx="9">
                  <c:v>46</c:v>
                </c:pt>
                <c:pt idx="10">
                  <c:v>45</c:v>
                </c:pt>
                <c:pt idx="11">
                  <c:v>8</c:v>
                </c:pt>
                <c:pt idx="12">
                  <c:v>3</c:v>
                </c:pt>
                <c:pt idx="13">
                  <c:v>6</c:v>
                </c:pt>
                <c:pt idx="14">
                  <c:v>4</c:v>
                </c:pt>
                <c:pt idx="15">
                  <c:v>1</c:v>
                </c:pt>
                <c:pt idx="16">
                  <c:v>1</c:v>
                </c:pt>
              </c:numCache>
            </c:numRef>
          </c:val>
          <c:extLst>
            <c:ext xmlns:c16="http://schemas.microsoft.com/office/drawing/2014/chart" uri="{C3380CC4-5D6E-409C-BE32-E72D297353CC}">
              <c16:uniqueId val="{00000010-7EAE-45EA-A66E-76E7AE638A32}"/>
            </c:ext>
          </c:extLst>
        </c:ser>
        <c:dLbls>
          <c:showLegendKey val="0"/>
          <c:showVal val="1"/>
          <c:showCatName val="0"/>
          <c:showSerName val="0"/>
          <c:showPercent val="0"/>
          <c:showBubbleSize val="0"/>
          <c:showLeaderLines val="1"/>
        </c:dLbls>
      </c:pie3DChart>
    </c:plotArea>
    <c:legend>
      <c:legendPos val="r"/>
      <c:layout>
        <c:manualLayout>
          <c:xMode val="edge"/>
          <c:yMode val="edge"/>
          <c:x val="0.57649119702733786"/>
          <c:y val="0.10018807410029922"/>
          <c:w val="0.41296155266414292"/>
          <c:h val="0.8808401937805583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Vyhodnotenie AOTP za rok 2021" edit="true"/>
    <f:field ref="objsubject" par="" text="" edit="true"/>
    <f:field ref="objcreatedby" par="" text="Petrakovičová, Eva, RNDr., PhD."/>
    <f:field ref="objcreatedat" par="" date="2022-05-31T10:09:48" text="31.5.2022 10:09:48"/>
    <f:field ref="objchangedby" par="" text="Petrakovičová, Eva, RNDr., PhD."/>
    <f:field ref="objmodifiedat" par="" date="2022-05-31T10:26:33" text="31.5.2022 10:26:33"/>
    <f:field ref="doc_FSCFOLIO_1_1001_FieldDocumentNumber" par="" text=""/>
    <f:field ref="doc_FSCFOLIO_1_1001_FieldSubject" par="" text="" edit="true"/>
    <f:field ref="FSCFOLIO_1_1001_FieldCurrentUser" par="" text="Mgr. František Brezovský"/>
    <f:field ref="CCAPRECONFIG_15_1001_Objektname" par="" text="Vyhodnotenie AOTP za rok 2021"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F6CB81D5-654B-4BCE-B18A-9CD2E25F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103</Pages>
  <Words>32788</Words>
  <Characters>186896</Characters>
  <Application>Microsoft Office Word</Application>
  <DocSecurity>0</DocSecurity>
  <Lines>1557</Lines>
  <Paragraphs>438</Paragraphs>
  <ScaleCrop>false</ScaleCrop>
  <HeadingPairs>
    <vt:vector size="2" baseType="variant">
      <vt:variant>
        <vt:lpstr>Názov</vt:lpstr>
      </vt:variant>
      <vt:variant>
        <vt:i4>1</vt:i4>
      </vt:variant>
    </vt:vector>
  </HeadingPairs>
  <TitlesOfParts>
    <vt:vector size="1" baseType="lpstr">
      <vt:lpstr/>
    </vt:vector>
  </TitlesOfParts>
  <Company>UPSVR SR</Company>
  <LinksUpToDate>false</LinksUpToDate>
  <CharactersWithSpaces>219246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Petrakovičová Eva</dc:creator>
  <cp:keywords/>
  <dc:description/>
  <cp:lastModifiedBy>Brezovský František</cp:lastModifiedBy>
  <cp:revision>6</cp:revision>
  <cp:lastPrinted>2025-05-20T07:56:00Z</cp:lastPrinted>
  <dcterms:created xsi:type="dcterms:W3CDTF">2025-05-27T07:47:00Z</dcterms:created>
  <dcterms:modified xsi:type="dcterms:W3CDTF">2025-05-27T09:49:00Z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PSVRVREG@103.510:mp_org_city">
    <vt:lpwstr/>
  </property>
  <property fmtid="{D5CDD505-2E9C-101B-9397-08002B2CF9AE}" pid="3" name="FSC#SKMPSVRVREG@103.510:zaz_vnut_adresati_1_MP">
    <vt:lpwstr/>
  </property>
  <property fmtid="{D5CDD505-2E9C-101B-9397-08002B2CF9AE}" pid="4" name="FSC#SKMPSVRVREG@103.510:zaz_vnut_adresati_2_MP">
    <vt:lpwstr/>
  </property>
  <property fmtid="{D5CDD505-2E9C-101B-9397-08002B2CF9AE}" pid="5" name="FSC#SKMPSVRVREG@103.510:zaz_vnut_adresati_3_MP">
    <vt:lpwstr/>
  </property>
  <property fmtid="{D5CDD505-2E9C-101B-9397-08002B2CF9AE}" pid="6" name="FSC#SKMPSVRVREG@103.510:zaz_vnut_adresati_4_MP">
    <vt:lpwstr/>
  </property>
  <property fmtid="{D5CDD505-2E9C-101B-9397-08002B2CF9AE}" pid="7" name="FSC#SKMPSVRVREG@103.510:zaz_vnut_adresati_5_MP">
    <vt:lpwstr/>
  </property>
  <property fmtid="{D5CDD505-2E9C-101B-9397-08002B2CF9AE}" pid="8" name="FSC#SKMPSVRVREG@103.510:zaz_vnut_adresati_6_MP">
    <vt:lpwstr/>
  </property>
  <property fmtid="{D5CDD505-2E9C-101B-9397-08002B2CF9AE}" pid="9" name="FSC#SKMPSVRVREG@103.510:zaz_vnut_adresati_7_MP">
    <vt:lpwstr/>
  </property>
  <property fmtid="{D5CDD505-2E9C-101B-9397-08002B2CF9AE}" pid="10" name="FSC#SKMPSVRVREG@103.510:zaz_vnut_adresati_8_MP">
    <vt:lpwstr/>
  </property>
  <property fmtid="{D5CDD505-2E9C-101B-9397-08002B2CF9AE}" pid="11" name="FSC#SKMPSVRVREG@103.510:zaz_vnut_adresati_9_MP">
    <vt:lpwstr/>
  </property>
  <property fmtid="{D5CDD505-2E9C-101B-9397-08002B2CF9AE}" pid="12" name="FSC#SKMPSVRVREG@103.510:zaz_vnut_adresati_10_MP">
    <vt:lpwstr/>
  </property>
  <property fmtid="{D5CDD505-2E9C-101B-9397-08002B2CF9AE}" pid="13" name="FSC#SKMPSVRVREG@103.510:zaz_vnut_adresati_11_MP">
    <vt:lpwstr/>
  </property>
  <property fmtid="{D5CDD505-2E9C-101B-9397-08002B2CF9AE}" pid="14" name="FSC#SKMPSVRVREG@103.510:zaz_vnut_adresati_12_MP">
    <vt:lpwstr/>
  </property>
  <property fmtid="{D5CDD505-2E9C-101B-9397-08002B2CF9AE}" pid="15" name="FSC#SKMPSVRVREG@103.510:zaz_vnut_adresati_13_MP">
    <vt:lpwstr/>
  </property>
  <property fmtid="{D5CDD505-2E9C-101B-9397-08002B2CF9AE}" pid="16" name="FSC#SKMPSVRVREG@103.510:zaz_vnut_adresati_14_MP">
    <vt:lpwstr/>
  </property>
  <property fmtid="{D5CDD505-2E9C-101B-9397-08002B2CF9AE}" pid="17" name="FSC#SKMPSVRVREG@103.510:zaz_vnut_adresati_15_MP">
    <vt:lpwstr/>
  </property>
  <property fmtid="{D5CDD505-2E9C-101B-9397-08002B2CF9AE}" pid="18" name="FSC#SKMPSVRVREG@103.510:zaz_vnut_adresati_16_MP">
    <vt:lpwstr/>
  </property>
  <property fmtid="{D5CDD505-2E9C-101B-9397-08002B2CF9AE}" pid="19" name="FSC#SKMPSVRVREG@103.510:zaz_vnut_adresati_17_MP">
    <vt:lpwstr/>
  </property>
  <property fmtid="{D5CDD505-2E9C-101B-9397-08002B2CF9AE}" pid="20" name="FSC#SKMPSVRVREG@103.510:zaz_vnut_adresati_18_MP">
    <vt:lpwstr/>
  </property>
  <property fmtid="{D5CDD505-2E9C-101B-9397-08002B2CF9AE}" pid="21" name="FSC#SKMPSVRVREG@103.510:zaz_vnut_adresati_19_MP">
    <vt:lpwstr/>
  </property>
  <property fmtid="{D5CDD505-2E9C-101B-9397-08002B2CF9AE}" pid="22" name="FSC#SKMPSVRVREG@103.510:zaz_vnut_adresati_20_MP">
    <vt:lpwstr/>
  </property>
  <property fmtid="{D5CDD505-2E9C-101B-9397-08002B2CF9AE}" pid="23" name="FSC#SKMPSVRVREG@103.510:zaz_vnut_adresati_21_MP">
    <vt:lpwstr/>
  </property>
  <property fmtid="{D5CDD505-2E9C-101B-9397-08002B2CF9AE}" pid="24" name="FSC#SKMPSVRVREG@103.510:zaz_vnut_adresati_22_MP">
    <vt:lpwstr/>
  </property>
  <property fmtid="{D5CDD505-2E9C-101B-9397-08002B2CF9AE}" pid="25" name="FSC#SKMPSVRVREG@103.510:zaz_vnut_adresati_23_MP">
    <vt:lpwstr/>
  </property>
  <property fmtid="{D5CDD505-2E9C-101B-9397-08002B2CF9AE}" pid="26" name="FSC#SKMPSVRVREG@103.510:zaz_vnut_adresati_24_MP">
    <vt:lpwstr/>
  </property>
  <property fmtid="{D5CDD505-2E9C-101B-9397-08002B2CF9AE}" pid="27" name="FSC#SKMPSVRVREG@103.510:zaz_vnut_adresati_25_MP">
    <vt:lpwstr/>
  </property>
  <property fmtid="{D5CDD505-2E9C-101B-9397-08002B2CF9AE}" pid="28" name="FSC#SKMPSVRVREG@103.510:zaz_vnut_adresati_26_MP">
    <vt:lpwstr/>
  </property>
  <property fmtid="{D5CDD505-2E9C-101B-9397-08002B2CF9AE}" pid="29" name="FSC#SKMPSVRVREG@103.510:zaz_vnut_adresati_27_MP">
    <vt:lpwstr/>
  </property>
  <property fmtid="{D5CDD505-2E9C-101B-9397-08002B2CF9AE}" pid="30" name="FSC#SKMPSVRVREG@103.510:zaz_vnut_adresati_28_MP">
    <vt:lpwstr/>
  </property>
  <property fmtid="{D5CDD505-2E9C-101B-9397-08002B2CF9AE}" pid="31" name="FSC#SKMPSVRVREG@103.510:zaz_vnut_adresati_29_MP">
    <vt:lpwstr/>
  </property>
  <property fmtid="{D5CDD505-2E9C-101B-9397-08002B2CF9AE}" pid="32" name="FSC#SKMPSVRVREG@103.510:zaz_vnut_adresati_30_MP">
    <vt:lpwstr/>
  </property>
  <property fmtid="{D5CDD505-2E9C-101B-9397-08002B2CF9AE}" pid="33" name="FSC#SKMPSVRVREG@103.510:zaz_vnut_adresati_31_MP">
    <vt:lpwstr/>
  </property>
  <property fmtid="{D5CDD505-2E9C-101B-9397-08002B2CF9AE}" pid="34" name="FSC#SKMPSVRVREG@103.510:zaz_vnut_adresati_32_MP">
    <vt:lpwstr/>
  </property>
  <property fmtid="{D5CDD505-2E9C-101B-9397-08002B2CF9AE}" pid="35" name="FSC#SKMPSVRVREG@103.510:zaz_vnut_adresati_33_MP">
    <vt:lpwstr/>
  </property>
  <property fmtid="{D5CDD505-2E9C-101B-9397-08002B2CF9AE}" pid="36" name="FSC#SKMPSVRVREG@103.510:zaz_vnut_adresati_34_MP">
    <vt:lpwstr/>
  </property>
  <property fmtid="{D5CDD505-2E9C-101B-9397-08002B2CF9AE}" pid="37" name="FSC#SKMPSVRVREG@103.510:zaz_vnut_adresati_35_MP">
    <vt:lpwstr/>
  </property>
  <property fmtid="{D5CDD505-2E9C-101B-9397-08002B2CF9AE}" pid="38" name="FSC#SKMPSVRVREG@103.510:zaz_vnut_adresati_36_MP">
    <vt:lpwstr/>
  </property>
  <property fmtid="{D5CDD505-2E9C-101B-9397-08002B2CF9AE}" pid="39" name="FSC#SKMPSVRVREG@103.510:zaz_vnut_adresati_37_MP">
    <vt:lpwstr/>
  </property>
  <property fmtid="{D5CDD505-2E9C-101B-9397-08002B2CF9AE}" pid="40" name="FSC#SKMPSVRVREG@103.510:zaz_vnut_adresati_38_MP">
    <vt:lpwstr/>
  </property>
  <property fmtid="{D5CDD505-2E9C-101B-9397-08002B2CF9AE}" pid="41" name="FSC#SKMPSVRVREG@103.510:zaz_vnut_adresati_39_MP">
    <vt:lpwstr/>
  </property>
  <property fmtid="{D5CDD505-2E9C-101B-9397-08002B2CF9AE}" pid="42" name="FSC#SKMPSVRVREG@103.510:zaz_vnut_adresati_40_MP">
    <vt:lpwstr/>
  </property>
  <property fmtid="{D5CDD505-2E9C-101B-9397-08002B2CF9AE}" pid="43" name="FSC#SKMPSVRVREG@103.510:zaz_vnut_adresati_41_MP">
    <vt:lpwstr/>
  </property>
  <property fmtid="{D5CDD505-2E9C-101B-9397-08002B2CF9AE}" pid="44" name="FSC#SKMPSVRVREG@103.510:zaz_vnut_adresati_42_MP">
    <vt:lpwstr/>
  </property>
  <property fmtid="{D5CDD505-2E9C-101B-9397-08002B2CF9AE}" pid="45" name="FSC#SKMPSVRVREG@103.510:zaz_vnut_adresati_43_MP">
    <vt:lpwstr/>
  </property>
  <property fmtid="{D5CDD505-2E9C-101B-9397-08002B2CF9AE}" pid="46" name="FSC#SKMPSVRVREG@103.510:zaz_vnut_adresati_44_MP">
    <vt:lpwstr/>
  </property>
  <property fmtid="{D5CDD505-2E9C-101B-9397-08002B2CF9AE}" pid="47" name="FSC#SKMPSVRVREG@103.510:zaz_vnut_adresati_45_MP">
    <vt:lpwstr/>
  </property>
  <property fmtid="{D5CDD505-2E9C-101B-9397-08002B2CF9AE}" pid="48" name="FSC#SKMPSVRVREG@103.510:zaz_vnut_adresati_46_MP">
    <vt:lpwstr/>
  </property>
  <property fmtid="{D5CDD505-2E9C-101B-9397-08002B2CF9AE}" pid="49" name="FSC#SKMPSVRVREG@103.510:zaz_vnut_adresati_47_MP">
    <vt:lpwstr/>
  </property>
  <property fmtid="{D5CDD505-2E9C-101B-9397-08002B2CF9AE}" pid="50" name="FSC#SKMPSVRVREG@103.510:zaz_vnut_adresati_48_MP">
    <vt:lpwstr/>
  </property>
  <property fmtid="{D5CDD505-2E9C-101B-9397-08002B2CF9AE}" pid="51" name="FSC#SKMPSVRVREG@103.510:zaz_vnut_adresati_49_MP">
    <vt:lpwstr/>
  </property>
  <property fmtid="{D5CDD505-2E9C-101B-9397-08002B2CF9AE}" pid="52" name="FSC#SKMPSVRVREG@103.510:zaz_vnut_adresati_50_MP">
    <vt:lpwstr/>
  </property>
  <property fmtid="{D5CDD505-2E9C-101B-9397-08002B2CF9AE}" pid="53" name="FSC#SKMPSVRVREG@103.510:zaznam_jeden_adresatMPSVR">
    <vt:lpwstr/>
  </property>
  <property fmtid="{D5CDD505-2E9C-101B-9397-08002B2CF9AE}" pid="54" name="FSC#SKMPSVRVREG@103.510:AttrStrBarCode">
    <vt:lpwstr/>
  </property>
  <property fmtid="{D5CDD505-2E9C-101B-9397-08002B2CF9AE}" pid="55" name="FSC#SKMPSVRVREG@103.510:IntAdresatiHlavicka">
    <vt:lpwstr/>
  </property>
  <property fmtid="{D5CDD505-2E9C-101B-9397-08002B2CF9AE}" pid="56" name="FSC#SKMPSVRVREG@103.510:VeduciORGOddelenie">
    <vt:lpwstr/>
  </property>
  <property fmtid="{D5CDD505-2E9C-101B-9397-08002B2CF9AE}" pid="57" name="FSC#SKMPSVRVREG@103.510:VeduciORGOdbor">
    <vt:lpwstr/>
  </property>
  <property fmtid="{D5CDD505-2E9C-101B-9397-08002B2CF9AE}" pid="58" name="FSC#SKMPSVRVREG@103.510:VeduciORGsekcia">
    <vt:lpwstr/>
  </property>
  <property fmtid="{D5CDD505-2E9C-101B-9397-08002B2CF9AE}" pid="59" name="FSC#SKMPSVRVREG@103.510:VeduciOS">
    <vt:lpwstr>Zimmer, Karol, Ing.</vt:lpwstr>
  </property>
  <property fmtid="{D5CDD505-2E9C-101B-9397-08002B2CF9AE}" pid="60" name="FSC#SKMPSVRVREG@103.510:VeduciOS_titul_pred">
    <vt:lpwstr>Ing. Karol Zimmer</vt:lpwstr>
  </property>
  <property fmtid="{D5CDD505-2E9C-101B-9397-08002B2CF9AE}" pid="61" name="FSC#SKMPSVRVREG@103.510:VeduciORGOddelenieOrg">
    <vt:lpwstr/>
  </property>
  <property fmtid="{D5CDD505-2E9C-101B-9397-08002B2CF9AE}" pid="62" name="FSC#SKMPSVRVREG@103.510:VeduciORGOdborOrg">
    <vt:lpwstr/>
  </property>
  <property fmtid="{D5CDD505-2E9C-101B-9397-08002B2CF9AE}" pid="63" name="FSC#SKMPSVRVREG@103.510:VeduciORGsekciaOrg">
    <vt:lpwstr/>
  </property>
  <property fmtid="{D5CDD505-2E9C-101B-9397-08002B2CF9AE}" pid="64" name="FSC#SKMPSVRVREG@103.510:VeduciOSOrg">
    <vt:lpwstr>US1/GR (Generálny riaditeľ)</vt:lpwstr>
  </property>
  <property fmtid="{D5CDD505-2E9C-101B-9397-08002B2CF9AE}" pid="65" name="FSC#SKMPSVRVREG@103.510:sk_org_fullname_MPSVR">
    <vt:lpwstr>Ústredie práce, sociálnych vecí a rodiny</vt:lpwstr>
  </property>
  <property fmtid="{D5CDD505-2E9C-101B-9397-08002B2CF9AE}" pid="66" name="FSC#SKMPSVR@103.510:Adresa_klienta_zo_spisu">
    <vt:lpwstr/>
  </property>
  <property fmtid="{D5CDD505-2E9C-101B-9397-08002B2CF9AE}" pid="67" name="FSC#SKMPSVR@103.510:Spis_AttrPtrSpisZiadatel">
    <vt:lpwstr/>
  </property>
  <property fmtid="{D5CDD505-2E9C-101B-9397-08002B2CF9AE}" pid="68" name="FSC#SKMPSVR@103.510:Rodne_cislo_osoby_zo_spisu">
    <vt:lpwstr/>
  </property>
  <property fmtid="{D5CDD505-2E9C-101B-9397-08002B2CF9AE}" pid="69" name="FSC#SKMPSVR@103.510:Datum_narodenia_ziadatela_zo_spisu">
    <vt:lpwstr/>
  </property>
  <property fmtid="{D5CDD505-2E9C-101B-9397-08002B2CF9AE}" pid="70" name="FSC#SKMPSVR@103.510:ICO_osoby_zo_spisu">
    <vt:lpwstr/>
  </property>
  <property fmtid="{D5CDD505-2E9C-101B-9397-08002B2CF9AE}" pid="71" name="FSC#SKMPSVR@103.510:ICO_osoby_zo_zaznamu">
    <vt:lpwstr/>
  </property>
  <property fmtid="{D5CDD505-2E9C-101B-9397-08002B2CF9AE}" pid="72" name="FSC#SKMPSVR@103.510:Zaznam_utvar_sprac_skratka">
    <vt:lpwstr/>
  </property>
  <property fmtid="{D5CDD505-2E9C-101B-9397-08002B2CF9AE}" pid="73" name="FSC#SKMPSVR@103.510:DU_utvar_sprac_skratka">
    <vt:lpwstr/>
  </property>
  <property fmtid="{D5CDD505-2E9C-101B-9397-08002B2CF9AE}" pid="74" name="FSC#SKMPSVR@103.510:ZaznamDU_sprac_skratka">
    <vt:lpwstr/>
  </property>
  <property fmtid="{D5CDD505-2E9C-101B-9397-08002B2CF9AE}" pid="75" name="FSC#SKMPSVR@103.510:ZaznamDU_meno spisu">
    <vt:lpwstr/>
  </property>
  <property fmtid="{D5CDD505-2E9C-101B-9397-08002B2CF9AE}" pid="76" name="FSC#SKMPSVR@103.510:viz_DU_org_ulica">
    <vt:lpwstr/>
  </property>
  <property fmtid="{D5CDD505-2E9C-101B-9397-08002B2CF9AE}" pid="77" name="FSC#SKMPSVR@103.510:viz_DU_org_psc">
    <vt:lpwstr/>
  </property>
  <property fmtid="{D5CDD505-2E9C-101B-9397-08002B2CF9AE}" pid="78" name="FSC#SKMPSVR@103.510:viz_DU_org_mesto">
    <vt:lpwstr/>
  </property>
  <property fmtid="{D5CDD505-2E9C-101B-9397-08002B2CF9AE}" pid="79" name="FSC#SKMPSVR@103.510:viz_cislo_konania">
    <vt:lpwstr/>
  </property>
  <property fmtid="{D5CDD505-2E9C-101B-9397-08002B2CF9AE}" pid="80" name="FSC#SKEDITIONREG@103.510:a_acceptor">
    <vt:lpwstr/>
  </property>
  <property fmtid="{D5CDD505-2E9C-101B-9397-08002B2CF9AE}" pid="81" name="FSC#SKEDITIONREG@103.510:a_clearedat">
    <vt:lpwstr/>
  </property>
  <property fmtid="{D5CDD505-2E9C-101B-9397-08002B2CF9AE}" pid="82" name="FSC#SKEDITIONREG@103.510:a_clearedby">
    <vt:lpwstr/>
  </property>
  <property fmtid="{D5CDD505-2E9C-101B-9397-08002B2CF9AE}" pid="83" name="FSC#SKEDITIONREG@103.510:a_comm">
    <vt:lpwstr/>
  </property>
  <property fmtid="{D5CDD505-2E9C-101B-9397-08002B2CF9AE}" pid="84" name="FSC#SKEDITIONREG@103.510:a_decisionattachments">
    <vt:lpwstr/>
  </property>
  <property fmtid="{D5CDD505-2E9C-101B-9397-08002B2CF9AE}" pid="85" name="FSC#SKEDITIONREG@103.510:a_deliveredat">
    <vt:lpwstr/>
  </property>
  <property fmtid="{D5CDD505-2E9C-101B-9397-08002B2CF9AE}" pid="86" name="FSC#SKEDITIONREG@103.510:a_delivery">
    <vt:lpwstr/>
  </property>
  <property fmtid="{D5CDD505-2E9C-101B-9397-08002B2CF9AE}" pid="87" name="FSC#SKEDITIONREG@103.510:a_extension">
    <vt:lpwstr/>
  </property>
  <property fmtid="{D5CDD505-2E9C-101B-9397-08002B2CF9AE}" pid="88" name="FSC#SKEDITIONREG@103.510:a_filenumber">
    <vt:lpwstr/>
  </property>
  <property fmtid="{D5CDD505-2E9C-101B-9397-08002B2CF9AE}" pid="89" name="FSC#SKEDITIONREG@103.510:a_fileresponsible">
    <vt:lpwstr/>
  </property>
  <property fmtid="{D5CDD505-2E9C-101B-9397-08002B2CF9AE}" pid="90" name="FSC#SKEDITIONREG@103.510:a_fileresporg">
    <vt:lpwstr/>
  </property>
  <property fmtid="{D5CDD505-2E9C-101B-9397-08002B2CF9AE}" pid="91" name="FSC#SKEDITIONREG@103.510:a_fileresporg_email_OU">
    <vt:lpwstr/>
  </property>
  <property fmtid="{D5CDD505-2E9C-101B-9397-08002B2CF9AE}" pid="92" name="FSC#SKEDITIONREG@103.510:a_fileresporg_emailaddress">
    <vt:lpwstr/>
  </property>
  <property fmtid="{D5CDD505-2E9C-101B-9397-08002B2CF9AE}" pid="93" name="FSC#SKEDITIONREG@103.510:a_fileresporg_fax">
    <vt:lpwstr/>
  </property>
  <property fmtid="{D5CDD505-2E9C-101B-9397-08002B2CF9AE}" pid="94" name="FSC#SKEDITIONREG@103.510:a_fileresporg_fax_OU">
    <vt:lpwstr/>
  </property>
  <property fmtid="{D5CDD505-2E9C-101B-9397-08002B2CF9AE}" pid="95" name="FSC#SKEDITIONREG@103.510:a_fileresporg_function">
    <vt:lpwstr/>
  </property>
  <property fmtid="{D5CDD505-2E9C-101B-9397-08002B2CF9AE}" pid="96" name="FSC#SKEDITIONREG@103.510:a_fileresporg_function_OU">
    <vt:lpwstr/>
  </property>
  <property fmtid="{D5CDD505-2E9C-101B-9397-08002B2CF9AE}" pid="97" name="FSC#SKEDITIONREG@103.510:a_fileresporg_head">
    <vt:lpwstr/>
  </property>
  <property fmtid="{D5CDD505-2E9C-101B-9397-08002B2CF9AE}" pid="98" name="FSC#SKEDITIONREG@103.510:a_fileresporg_head_OU">
    <vt:lpwstr/>
  </property>
  <property fmtid="{D5CDD505-2E9C-101B-9397-08002B2CF9AE}" pid="99" name="FSC#SKEDITIONREG@103.510:a_fileresporg_OU">
    <vt:lpwstr/>
  </property>
  <property fmtid="{D5CDD505-2E9C-101B-9397-08002B2CF9AE}" pid="100" name="FSC#SKEDITIONREG@103.510:a_fileresporg_phone">
    <vt:lpwstr/>
  </property>
  <property fmtid="{D5CDD505-2E9C-101B-9397-08002B2CF9AE}" pid="101" name="FSC#SKEDITIONREG@103.510:a_fileresporg_phone_OU">
    <vt:lpwstr/>
  </property>
  <property fmtid="{D5CDD505-2E9C-101B-9397-08002B2CF9AE}" pid="102" name="FSC#SKEDITIONREG@103.510:a_incattachments">
    <vt:lpwstr/>
  </property>
  <property fmtid="{D5CDD505-2E9C-101B-9397-08002B2CF9AE}" pid="103" name="FSC#SKEDITIONREG@103.510:a_incnr">
    <vt:lpwstr/>
  </property>
  <property fmtid="{D5CDD505-2E9C-101B-9397-08002B2CF9AE}" pid="104" name="FSC#SKEDITIONREG@103.510:a_objcreatedstr">
    <vt:lpwstr/>
  </property>
  <property fmtid="{D5CDD505-2E9C-101B-9397-08002B2CF9AE}" pid="105" name="FSC#SKEDITIONREG@103.510:a_ordernumber">
    <vt:lpwstr/>
  </property>
  <property fmtid="{D5CDD505-2E9C-101B-9397-08002B2CF9AE}" pid="106" name="FSC#SKEDITIONREG@103.510:a_oursign">
    <vt:lpwstr/>
  </property>
  <property fmtid="{D5CDD505-2E9C-101B-9397-08002B2CF9AE}" pid="107" name="FSC#SKEDITIONREG@103.510:a_sendersign">
    <vt:lpwstr/>
  </property>
  <property fmtid="{D5CDD505-2E9C-101B-9397-08002B2CF9AE}" pid="108" name="FSC#SKEDITIONREG@103.510:a_shortou">
    <vt:lpwstr/>
  </property>
  <property fmtid="{D5CDD505-2E9C-101B-9397-08002B2CF9AE}" pid="109" name="FSC#SKEDITIONREG@103.510:a_testsalutation">
    <vt:lpwstr/>
  </property>
  <property fmtid="{D5CDD505-2E9C-101B-9397-08002B2CF9AE}" pid="110" name="FSC#SKEDITIONREG@103.510:a_validfrom">
    <vt:lpwstr/>
  </property>
  <property fmtid="{D5CDD505-2E9C-101B-9397-08002B2CF9AE}" pid="111" name="FSC#SKEDITIONREG@103.510:as_activity">
    <vt:lpwstr/>
  </property>
  <property fmtid="{D5CDD505-2E9C-101B-9397-08002B2CF9AE}" pid="112" name="FSC#SKEDITIONREG@103.510:as_docdate">
    <vt:lpwstr/>
  </property>
  <property fmtid="{D5CDD505-2E9C-101B-9397-08002B2CF9AE}" pid="113" name="FSC#SKEDITIONREG@103.510:as_establishdate">
    <vt:lpwstr/>
  </property>
  <property fmtid="{D5CDD505-2E9C-101B-9397-08002B2CF9AE}" pid="114" name="FSC#SKEDITIONREG@103.510:as_fileresphead">
    <vt:lpwstr/>
  </property>
  <property fmtid="{D5CDD505-2E9C-101B-9397-08002B2CF9AE}" pid="115" name="FSC#SKEDITIONREG@103.510:as_filerespheadfnct">
    <vt:lpwstr/>
  </property>
  <property fmtid="{D5CDD505-2E9C-101B-9397-08002B2CF9AE}" pid="116" name="FSC#SKEDITIONREG@103.510:as_fileresponsible">
    <vt:lpwstr/>
  </property>
  <property fmtid="{D5CDD505-2E9C-101B-9397-08002B2CF9AE}" pid="117" name="FSC#SKEDITIONREG@103.510:as_filesubj">
    <vt:lpwstr/>
  </property>
  <property fmtid="{D5CDD505-2E9C-101B-9397-08002B2CF9AE}" pid="118" name="FSC#SKEDITIONREG@103.510:as_objname">
    <vt:lpwstr/>
  </property>
  <property fmtid="{D5CDD505-2E9C-101B-9397-08002B2CF9AE}" pid="119" name="FSC#SKEDITIONREG@103.510:as_ou">
    <vt:lpwstr/>
  </property>
  <property fmtid="{D5CDD505-2E9C-101B-9397-08002B2CF9AE}" pid="120" name="FSC#SKEDITIONREG@103.510:as_owner">
    <vt:lpwstr>RNDr. Eva Petrakovičová, PhD.</vt:lpwstr>
  </property>
  <property fmtid="{D5CDD505-2E9C-101B-9397-08002B2CF9AE}" pid="121" name="FSC#SKEDITIONREG@103.510:as_phonelink">
    <vt:lpwstr/>
  </property>
  <property fmtid="{D5CDD505-2E9C-101B-9397-08002B2CF9AE}" pid="122" name="FSC#SKEDITIONREG@103.510:oz_externAdr">
    <vt:lpwstr/>
  </property>
  <property fmtid="{D5CDD505-2E9C-101B-9397-08002B2CF9AE}" pid="123" name="FSC#SKEDITIONREG@103.510:a_depositperiod">
    <vt:lpwstr/>
  </property>
  <property fmtid="{D5CDD505-2E9C-101B-9397-08002B2CF9AE}" pid="124" name="FSC#SKEDITIONREG@103.510:a_disposestate">
    <vt:lpwstr/>
  </property>
  <property fmtid="{D5CDD505-2E9C-101B-9397-08002B2CF9AE}" pid="125" name="FSC#SKEDITIONREG@103.510:a_fileresponsiblefnct">
    <vt:lpwstr/>
  </property>
  <property fmtid="{D5CDD505-2E9C-101B-9397-08002B2CF9AE}" pid="126" name="FSC#SKEDITIONREG@103.510:a_fileresporg_position">
    <vt:lpwstr/>
  </property>
  <property fmtid="{D5CDD505-2E9C-101B-9397-08002B2CF9AE}" pid="127" name="FSC#SKEDITIONREG@103.510:a_fileresporg_position_OU">
    <vt:lpwstr/>
  </property>
  <property fmtid="{D5CDD505-2E9C-101B-9397-08002B2CF9AE}" pid="128" name="FSC#SKEDITIONREG@103.510:a_osobnecislosprac">
    <vt:lpwstr/>
  </property>
  <property fmtid="{D5CDD505-2E9C-101B-9397-08002B2CF9AE}" pid="129" name="FSC#SKEDITIONREG@103.510:a_registrysign">
    <vt:lpwstr/>
  </property>
  <property fmtid="{D5CDD505-2E9C-101B-9397-08002B2CF9AE}" pid="130" name="FSC#SKEDITIONREG@103.510:a_subfileatt">
    <vt:lpwstr/>
  </property>
  <property fmtid="{D5CDD505-2E9C-101B-9397-08002B2CF9AE}" pid="131" name="FSC#SKEDITIONREG@103.510:as_filesubjall">
    <vt:lpwstr/>
  </property>
  <property fmtid="{D5CDD505-2E9C-101B-9397-08002B2CF9AE}" pid="132" name="FSC#SKEDITIONREG@103.510:CreatedAt">
    <vt:lpwstr>31. 5. 2022, 10:09</vt:lpwstr>
  </property>
  <property fmtid="{D5CDD505-2E9C-101B-9397-08002B2CF9AE}" pid="133" name="FSC#SKEDITIONREG@103.510:curruserrolegroup">
    <vt:lpwstr>Oddelenie aktívnych opatrení na trhu práce a štátna pomoc</vt:lpwstr>
  </property>
  <property fmtid="{D5CDD505-2E9C-101B-9397-08002B2CF9AE}" pid="134" name="FSC#SKEDITIONREG@103.510:currusersubst">
    <vt:lpwstr/>
  </property>
  <property fmtid="{D5CDD505-2E9C-101B-9397-08002B2CF9AE}" pid="135" name="FSC#SKEDITIONREG@103.510:emailsprac">
    <vt:lpwstr/>
  </property>
  <property fmtid="{D5CDD505-2E9C-101B-9397-08002B2CF9AE}" pid="136" name="FSC#SKEDITIONREG@103.510:ms_VyskladaniePoznamok">
    <vt:lpwstr/>
  </property>
  <property fmtid="{D5CDD505-2E9C-101B-9397-08002B2CF9AE}" pid="137" name="FSC#SKEDITIONREG@103.510:oumlname_fnct">
    <vt:lpwstr/>
  </property>
  <property fmtid="{D5CDD505-2E9C-101B-9397-08002B2CF9AE}" pid="138" name="FSC#SKEDITIONREG@103.510:sk_org_city">
    <vt:lpwstr>Bratislava-Staré Mesto</vt:lpwstr>
  </property>
  <property fmtid="{D5CDD505-2E9C-101B-9397-08002B2CF9AE}" pid="139" name="FSC#SKEDITIONREG@103.510:sk_org_dic">
    <vt:lpwstr/>
  </property>
  <property fmtid="{D5CDD505-2E9C-101B-9397-08002B2CF9AE}" pid="140" name="FSC#SKEDITIONREG@103.510:sk_org_email">
    <vt:lpwstr/>
  </property>
  <property fmtid="{D5CDD505-2E9C-101B-9397-08002B2CF9AE}" pid="141" name="FSC#SKEDITIONREG@103.510:sk_org_fax">
    <vt:lpwstr/>
  </property>
  <property fmtid="{D5CDD505-2E9C-101B-9397-08002B2CF9AE}" pid="142" name="FSC#SKEDITIONREG@103.510:sk_org_fullname">
    <vt:lpwstr>Ústredie práce, sociálnych vecí a rodiny</vt:lpwstr>
  </property>
  <property fmtid="{D5CDD505-2E9C-101B-9397-08002B2CF9AE}" pid="143" name="FSC#SKEDITIONREG@103.510:sk_org_ico">
    <vt:lpwstr>30794536</vt:lpwstr>
  </property>
  <property fmtid="{D5CDD505-2E9C-101B-9397-08002B2CF9AE}" pid="144" name="FSC#SKEDITIONREG@103.510:sk_org_phone">
    <vt:lpwstr/>
  </property>
  <property fmtid="{D5CDD505-2E9C-101B-9397-08002B2CF9AE}" pid="145" name="FSC#SKEDITIONREG@103.510:sk_org_shortname">
    <vt:lpwstr/>
  </property>
  <property fmtid="{D5CDD505-2E9C-101B-9397-08002B2CF9AE}" pid="146" name="FSC#SKEDITIONREG@103.510:sk_org_state">
    <vt:lpwstr>Bratislava I</vt:lpwstr>
  </property>
  <property fmtid="{D5CDD505-2E9C-101B-9397-08002B2CF9AE}" pid="147" name="FSC#SKEDITIONREG@103.510:sk_org_street">
    <vt:lpwstr>Špitálska 8</vt:lpwstr>
  </property>
  <property fmtid="{D5CDD505-2E9C-101B-9397-08002B2CF9AE}" pid="148" name="FSC#SKEDITIONREG@103.510:sk_org_zip">
    <vt:lpwstr>812 67</vt:lpwstr>
  </property>
  <property fmtid="{D5CDD505-2E9C-101B-9397-08002B2CF9AE}" pid="149" name="FSC#SKEDITIONREG@103.510:viz_clearedat">
    <vt:lpwstr/>
  </property>
  <property fmtid="{D5CDD505-2E9C-101B-9397-08002B2CF9AE}" pid="150" name="FSC#SKEDITIONREG@103.510:viz_clearedby">
    <vt:lpwstr/>
  </property>
  <property fmtid="{D5CDD505-2E9C-101B-9397-08002B2CF9AE}" pid="151" name="FSC#SKEDITIONREG@103.510:viz_comm">
    <vt:lpwstr/>
  </property>
  <property fmtid="{D5CDD505-2E9C-101B-9397-08002B2CF9AE}" pid="152" name="FSC#SKEDITIONREG@103.510:viz_decisionattachments">
    <vt:lpwstr/>
  </property>
  <property fmtid="{D5CDD505-2E9C-101B-9397-08002B2CF9AE}" pid="153" name="FSC#SKEDITIONREG@103.510:viz_deliveredat">
    <vt:lpwstr/>
  </property>
  <property fmtid="{D5CDD505-2E9C-101B-9397-08002B2CF9AE}" pid="154" name="FSC#SKEDITIONREG@103.510:viz_delivery">
    <vt:lpwstr/>
  </property>
  <property fmtid="{D5CDD505-2E9C-101B-9397-08002B2CF9AE}" pid="155" name="FSC#SKEDITIONREG@103.510:viz_extension">
    <vt:lpwstr/>
  </property>
  <property fmtid="{D5CDD505-2E9C-101B-9397-08002B2CF9AE}" pid="156" name="FSC#SKEDITIONREG@103.510:viz_filenumber">
    <vt:lpwstr/>
  </property>
  <property fmtid="{D5CDD505-2E9C-101B-9397-08002B2CF9AE}" pid="157" name="FSC#SKEDITIONREG@103.510:viz_fileresponsible">
    <vt:lpwstr/>
  </property>
  <property fmtid="{D5CDD505-2E9C-101B-9397-08002B2CF9AE}" pid="158" name="FSC#SKEDITIONREG@103.510:viz_fileresporg">
    <vt:lpwstr/>
  </property>
  <property fmtid="{D5CDD505-2E9C-101B-9397-08002B2CF9AE}" pid="159" name="FSC#SKEDITIONREG@103.510:viz_fileresporg_email_OU">
    <vt:lpwstr/>
  </property>
  <property fmtid="{D5CDD505-2E9C-101B-9397-08002B2CF9AE}" pid="160" name="FSC#SKEDITIONREG@103.510:viz_fileresporg_emailaddress">
    <vt:lpwstr/>
  </property>
  <property fmtid="{D5CDD505-2E9C-101B-9397-08002B2CF9AE}" pid="161" name="FSC#SKEDITIONREG@103.510:viz_fileresporg_fax">
    <vt:lpwstr/>
  </property>
  <property fmtid="{D5CDD505-2E9C-101B-9397-08002B2CF9AE}" pid="162" name="FSC#SKEDITIONREG@103.510:viz_fileresporg_fax_OU">
    <vt:lpwstr/>
  </property>
  <property fmtid="{D5CDD505-2E9C-101B-9397-08002B2CF9AE}" pid="163" name="FSC#SKEDITIONREG@103.510:viz_fileresporg_function">
    <vt:lpwstr/>
  </property>
  <property fmtid="{D5CDD505-2E9C-101B-9397-08002B2CF9AE}" pid="164" name="FSC#SKEDITIONREG@103.510:viz_fileresporg_function_OU">
    <vt:lpwstr/>
  </property>
  <property fmtid="{D5CDD505-2E9C-101B-9397-08002B2CF9AE}" pid="165" name="FSC#SKEDITIONREG@103.510:viz_fileresporg_head">
    <vt:lpwstr/>
  </property>
  <property fmtid="{D5CDD505-2E9C-101B-9397-08002B2CF9AE}" pid="166" name="FSC#SKEDITIONREG@103.510:viz_fileresporg_head_OU">
    <vt:lpwstr/>
  </property>
  <property fmtid="{D5CDD505-2E9C-101B-9397-08002B2CF9AE}" pid="167" name="FSC#SKEDITIONREG@103.510:viz_fileresporg_longname">
    <vt:lpwstr/>
  </property>
  <property fmtid="{D5CDD505-2E9C-101B-9397-08002B2CF9AE}" pid="168" name="FSC#SKEDITIONREG@103.510:viz_fileresporg_mesto">
    <vt:lpwstr/>
  </property>
  <property fmtid="{D5CDD505-2E9C-101B-9397-08002B2CF9AE}" pid="169" name="FSC#SKEDITIONREG@103.510:viz_fileresporg_odbor">
    <vt:lpwstr/>
  </property>
  <property fmtid="{D5CDD505-2E9C-101B-9397-08002B2CF9AE}" pid="170" name="FSC#SKEDITIONREG@103.510:viz_fileresporg_odbor_function">
    <vt:lpwstr/>
  </property>
  <property fmtid="{D5CDD505-2E9C-101B-9397-08002B2CF9AE}" pid="171" name="FSC#SKEDITIONREG@103.510:viz_fileresporg_odbor_head">
    <vt:lpwstr/>
  </property>
  <property fmtid="{D5CDD505-2E9C-101B-9397-08002B2CF9AE}" pid="172" name="FSC#SKEDITIONREG@103.510:viz_fileresporg_OU">
    <vt:lpwstr/>
  </property>
  <property fmtid="{D5CDD505-2E9C-101B-9397-08002B2CF9AE}" pid="173" name="FSC#SKEDITIONREG@103.510:viz_fileresporg_phone">
    <vt:lpwstr/>
  </property>
  <property fmtid="{D5CDD505-2E9C-101B-9397-08002B2CF9AE}" pid="174" name="FSC#SKEDITIONREG@103.510:viz_fileresporg_phone_OU">
    <vt:lpwstr/>
  </property>
  <property fmtid="{D5CDD505-2E9C-101B-9397-08002B2CF9AE}" pid="175" name="FSC#SKEDITIONREG@103.510:viz_fileresporg_position">
    <vt:lpwstr/>
  </property>
  <property fmtid="{D5CDD505-2E9C-101B-9397-08002B2CF9AE}" pid="176" name="FSC#SKEDITIONREG@103.510:viz_fileresporg_position_OU">
    <vt:lpwstr/>
  </property>
  <property fmtid="{D5CDD505-2E9C-101B-9397-08002B2CF9AE}" pid="177" name="FSC#SKEDITIONREG@103.510:viz_fileresporg_psc">
    <vt:lpwstr/>
  </property>
  <property fmtid="{D5CDD505-2E9C-101B-9397-08002B2CF9AE}" pid="178" name="FSC#SKEDITIONREG@103.510:viz_fileresporg_sekcia">
    <vt:lpwstr/>
  </property>
  <property fmtid="{D5CDD505-2E9C-101B-9397-08002B2CF9AE}" pid="179" name="FSC#SKEDITIONREG@103.510:viz_fileresporg_sekcia_function">
    <vt:lpwstr/>
  </property>
  <property fmtid="{D5CDD505-2E9C-101B-9397-08002B2CF9AE}" pid="180" name="FSC#SKEDITIONREG@103.510:viz_fileresporg_sekcia_head">
    <vt:lpwstr/>
  </property>
  <property fmtid="{D5CDD505-2E9C-101B-9397-08002B2CF9AE}" pid="181" name="FSC#SKEDITIONREG@103.510:viz_fileresporg_stat">
    <vt:lpwstr/>
  </property>
  <property fmtid="{D5CDD505-2E9C-101B-9397-08002B2CF9AE}" pid="182" name="FSC#SKEDITIONREG@103.510:viz_fileresporg_ulica">
    <vt:lpwstr/>
  </property>
  <property fmtid="{D5CDD505-2E9C-101B-9397-08002B2CF9AE}" pid="183" name="FSC#SKEDITIONREG@103.510:viz_fileresporgknazov">
    <vt:lpwstr/>
  </property>
  <property fmtid="{D5CDD505-2E9C-101B-9397-08002B2CF9AE}" pid="184" name="FSC#SKEDITIONREG@103.510:viz_filesubj">
    <vt:lpwstr/>
  </property>
  <property fmtid="{D5CDD505-2E9C-101B-9397-08002B2CF9AE}" pid="185" name="FSC#SKEDITIONREG@103.510:viz_incattachments">
    <vt:lpwstr/>
  </property>
  <property fmtid="{D5CDD505-2E9C-101B-9397-08002B2CF9AE}" pid="186" name="FSC#SKEDITIONREG@103.510:viz_incnr">
    <vt:lpwstr/>
  </property>
  <property fmtid="{D5CDD505-2E9C-101B-9397-08002B2CF9AE}" pid="187" name="FSC#SKEDITIONREG@103.510:viz_intletterrecivers">
    <vt:lpwstr/>
  </property>
  <property fmtid="{D5CDD505-2E9C-101B-9397-08002B2CF9AE}" pid="188" name="FSC#SKEDITIONREG@103.510:viz_objcreatedstr">
    <vt:lpwstr/>
  </property>
  <property fmtid="{D5CDD505-2E9C-101B-9397-08002B2CF9AE}" pid="189" name="FSC#SKEDITIONREG@103.510:viz_ordernumber">
    <vt:lpwstr/>
  </property>
  <property fmtid="{D5CDD505-2E9C-101B-9397-08002B2CF9AE}" pid="190" name="FSC#SKEDITIONREG@103.510:viz_oursign">
    <vt:lpwstr/>
  </property>
  <property fmtid="{D5CDD505-2E9C-101B-9397-08002B2CF9AE}" pid="191" name="FSC#SKEDITIONREG@103.510:viz_responseto_createdby">
    <vt:lpwstr/>
  </property>
  <property fmtid="{D5CDD505-2E9C-101B-9397-08002B2CF9AE}" pid="192" name="FSC#SKEDITIONREG@103.510:viz_sendersign">
    <vt:lpwstr/>
  </property>
  <property fmtid="{D5CDD505-2E9C-101B-9397-08002B2CF9AE}" pid="193" name="FSC#SKEDITIONREG@103.510:viz_shortfileresporg">
    <vt:lpwstr/>
  </property>
  <property fmtid="{D5CDD505-2E9C-101B-9397-08002B2CF9AE}" pid="194" name="FSC#SKEDITIONREG@103.510:viz_tel_number">
    <vt:lpwstr/>
  </property>
  <property fmtid="{D5CDD505-2E9C-101B-9397-08002B2CF9AE}" pid="195" name="FSC#SKEDITIONREG@103.510:viz_tel_number2">
    <vt:lpwstr/>
  </property>
  <property fmtid="{D5CDD505-2E9C-101B-9397-08002B2CF9AE}" pid="196" name="FSC#SKEDITIONREG@103.510:viz_testsalutation">
    <vt:lpwstr/>
  </property>
  <property fmtid="{D5CDD505-2E9C-101B-9397-08002B2CF9AE}" pid="197" name="FSC#SKEDITIONREG@103.510:viz_validfrom">
    <vt:lpwstr/>
  </property>
  <property fmtid="{D5CDD505-2E9C-101B-9397-08002B2CF9AE}" pid="198" name="FSC#SKEDITIONREG@103.510:zaznam_jeden_adresat">
    <vt:lpwstr/>
  </property>
  <property fmtid="{D5CDD505-2E9C-101B-9397-08002B2CF9AE}" pid="199" name="FSC#SKEDITIONREG@103.510:zaznam_vnut_adresati_1">
    <vt:lpwstr/>
  </property>
  <property fmtid="{D5CDD505-2E9C-101B-9397-08002B2CF9AE}" pid="200" name="FSC#SKEDITIONREG@103.510:zaznam_vnut_adresati_10">
    <vt:lpwstr/>
  </property>
  <property fmtid="{D5CDD505-2E9C-101B-9397-08002B2CF9AE}" pid="201" name="FSC#SKEDITIONREG@103.510:zaznam_vnut_adresati_11">
    <vt:lpwstr/>
  </property>
  <property fmtid="{D5CDD505-2E9C-101B-9397-08002B2CF9AE}" pid="202" name="FSC#SKEDITIONREG@103.510:zaznam_vnut_adresati_12">
    <vt:lpwstr/>
  </property>
  <property fmtid="{D5CDD505-2E9C-101B-9397-08002B2CF9AE}" pid="203" name="FSC#SKEDITIONREG@103.510:zaznam_vnut_adresati_13">
    <vt:lpwstr/>
  </property>
  <property fmtid="{D5CDD505-2E9C-101B-9397-08002B2CF9AE}" pid="204" name="FSC#SKEDITIONREG@103.510:zaznam_vnut_adresati_14">
    <vt:lpwstr/>
  </property>
  <property fmtid="{D5CDD505-2E9C-101B-9397-08002B2CF9AE}" pid="205" name="FSC#SKEDITIONREG@103.510:zaznam_vnut_adresati_15">
    <vt:lpwstr/>
  </property>
  <property fmtid="{D5CDD505-2E9C-101B-9397-08002B2CF9AE}" pid="206" name="FSC#SKEDITIONREG@103.510:zaznam_vnut_adresati_16">
    <vt:lpwstr/>
  </property>
  <property fmtid="{D5CDD505-2E9C-101B-9397-08002B2CF9AE}" pid="207" name="FSC#SKEDITIONREG@103.510:zaznam_vnut_adresati_17">
    <vt:lpwstr/>
  </property>
  <property fmtid="{D5CDD505-2E9C-101B-9397-08002B2CF9AE}" pid="208" name="FSC#SKEDITIONREG@103.510:zaznam_vnut_adresati_18">
    <vt:lpwstr/>
  </property>
  <property fmtid="{D5CDD505-2E9C-101B-9397-08002B2CF9AE}" pid="209" name="FSC#SKEDITIONREG@103.510:zaznam_vnut_adresati_19">
    <vt:lpwstr/>
  </property>
  <property fmtid="{D5CDD505-2E9C-101B-9397-08002B2CF9AE}" pid="210" name="FSC#SKEDITIONREG@103.510:zaznam_vnut_adresati_2">
    <vt:lpwstr/>
  </property>
  <property fmtid="{D5CDD505-2E9C-101B-9397-08002B2CF9AE}" pid="211" name="FSC#SKEDITIONREG@103.510:zaznam_vnut_adresati_20">
    <vt:lpwstr/>
  </property>
  <property fmtid="{D5CDD505-2E9C-101B-9397-08002B2CF9AE}" pid="212" name="FSC#SKEDITIONREG@103.510:zaznam_vnut_adresati_21">
    <vt:lpwstr/>
  </property>
  <property fmtid="{D5CDD505-2E9C-101B-9397-08002B2CF9AE}" pid="213" name="FSC#SKEDITIONREG@103.510:zaznam_vnut_adresati_22">
    <vt:lpwstr/>
  </property>
  <property fmtid="{D5CDD505-2E9C-101B-9397-08002B2CF9AE}" pid="214" name="FSC#SKEDITIONREG@103.510:zaznam_vnut_adresati_23">
    <vt:lpwstr/>
  </property>
  <property fmtid="{D5CDD505-2E9C-101B-9397-08002B2CF9AE}" pid="215" name="FSC#SKEDITIONREG@103.510:zaznam_vnut_adresati_24">
    <vt:lpwstr/>
  </property>
  <property fmtid="{D5CDD505-2E9C-101B-9397-08002B2CF9AE}" pid="216" name="FSC#SKEDITIONREG@103.510:zaznam_vnut_adresati_25">
    <vt:lpwstr/>
  </property>
  <property fmtid="{D5CDD505-2E9C-101B-9397-08002B2CF9AE}" pid="217" name="FSC#SKEDITIONREG@103.510:zaznam_vnut_adresati_26">
    <vt:lpwstr/>
  </property>
  <property fmtid="{D5CDD505-2E9C-101B-9397-08002B2CF9AE}" pid="218" name="FSC#SKEDITIONREG@103.510:zaznam_vnut_adresati_27">
    <vt:lpwstr/>
  </property>
  <property fmtid="{D5CDD505-2E9C-101B-9397-08002B2CF9AE}" pid="219" name="FSC#SKEDITIONREG@103.510:zaznam_vnut_adresati_28">
    <vt:lpwstr/>
  </property>
  <property fmtid="{D5CDD505-2E9C-101B-9397-08002B2CF9AE}" pid="220" name="FSC#SKEDITIONREG@103.510:zaznam_vnut_adresati_29">
    <vt:lpwstr/>
  </property>
  <property fmtid="{D5CDD505-2E9C-101B-9397-08002B2CF9AE}" pid="221" name="FSC#SKEDITIONREG@103.510:zaznam_vnut_adresati_3">
    <vt:lpwstr/>
  </property>
  <property fmtid="{D5CDD505-2E9C-101B-9397-08002B2CF9AE}" pid="222" name="FSC#SKEDITIONREG@103.510:zaznam_vnut_adresati_30">
    <vt:lpwstr/>
  </property>
  <property fmtid="{D5CDD505-2E9C-101B-9397-08002B2CF9AE}" pid="223" name="FSC#SKEDITIONREG@103.510:zaznam_vnut_adresati_31">
    <vt:lpwstr/>
  </property>
  <property fmtid="{D5CDD505-2E9C-101B-9397-08002B2CF9AE}" pid="224" name="FSC#SKEDITIONREG@103.510:zaznam_vnut_adresati_32">
    <vt:lpwstr/>
  </property>
  <property fmtid="{D5CDD505-2E9C-101B-9397-08002B2CF9AE}" pid="225" name="FSC#SKEDITIONREG@103.510:zaznam_vnut_adresati_33">
    <vt:lpwstr/>
  </property>
  <property fmtid="{D5CDD505-2E9C-101B-9397-08002B2CF9AE}" pid="226" name="FSC#SKEDITIONREG@103.510:zaznam_vnut_adresati_34">
    <vt:lpwstr/>
  </property>
  <property fmtid="{D5CDD505-2E9C-101B-9397-08002B2CF9AE}" pid="227" name="FSC#SKEDITIONREG@103.510:zaznam_vnut_adresati_35">
    <vt:lpwstr/>
  </property>
  <property fmtid="{D5CDD505-2E9C-101B-9397-08002B2CF9AE}" pid="228" name="FSC#SKEDITIONREG@103.510:zaznam_vnut_adresati_36">
    <vt:lpwstr/>
  </property>
  <property fmtid="{D5CDD505-2E9C-101B-9397-08002B2CF9AE}" pid="229" name="FSC#SKEDITIONREG@103.510:zaznam_vnut_adresati_37">
    <vt:lpwstr/>
  </property>
  <property fmtid="{D5CDD505-2E9C-101B-9397-08002B2CF9AE}" pid="230" name="FSC#SKEDITIONREG@103.510:zaznam_vnut_adresati_38">
    <vt:lpwstr/>
  </property>
  <property fmtid="{D5CDD505-2E9C-101B-9397-08002B2CF9AE}" pid="231" name="FSC#SKEDITIONREG@103.510:zaznam_vnut_adresati_39">
    <vt:lpwstr/>
  </property>
  <property fmtid="{D5CDD505-2E9C-101B-9397-08002B2CF9AE}" pid="232" name="FSC#SKEDITIONREG@103.510:zaznam_vnut_adresati_4">
    <vt:lpwstr/>
  </property>
  <property fmtid="{D5CDD505-2E9C-101B-9397-08002B2CF9AE}" pid="233" name="FSC#SKEDITIONREG@103.510:zaznam_vnut_adresati_40">
    <vt:lpwstr/>
  </property>
  <property fmtid="{D5CDD505-2E9C-101B-9397-08002B2CF9AE}" pid="234" name="FSC#SKEDITIONREG@103.510:zaznam_vnut_adresati_41">
    <vt:lpwstr/>
  </property>
  <property fmtid="{D5CDD505-2E9C-101B-9397-08002B2CF9AE}" pid="235" name="FSC#SKEDITIONREG@103.510:zaznam_vnut_adresati_42">
    <vt:lpwstr/>
  </property>
  <property fmtid="{D5CDD505-2E9C-101B-9397-08002B2CF9AE}" pid="236" name="FSC#SKEDITIONREG@103.510:zaznam_vnut_adresati_43">
    <vt:lpwstr/>
  </property>
  <property fmtid="{D5CDD505-2E9C-101B-9397-08002B2CF9AE}" pid="237" name="FSC#SKEDITIONREG@103.510:zaznam_vnut_adresati_44">
    <vt:lpwstr/>
  </property>
  <property fmtid="{D5CDD505-2E9C-101B-9397-08002B2CF9AE}" pid="238" name="FSC#SKEDITIONREG@103.510:zaznam_vnut_adresati_45">
    <vt:lpwstr/>
  </property>
  <property fmtid="{D5CDD505-2E9C-101B-9397-08002B2CF9AE}" pid="239" name="FSC#SKEDITIONREG@103.510:zaznam_vnut_adresati_46">
    <vt:lpwstr/>
  </property>
  <property fmtid="{D5CDD505-2E9C-101B-9397-08002B2CF9AE}" pid="240" name="FSC#SKEDITIONREG@103.510:zaznam_vnut_adresati_47">
    <vt:lpwstr/>
  </property>
  <property fmtid="{D5CDD505-2E9C-101B-9397-08002B2CF9AE}" pid="241" name="FSC#SKEDITIONREG@103.510:zaznam_vnut_adresati_48">
    <vt:lpwstr/>
  </property>
  <property fmtid="{D5CDD505-2E9C-101B-9397-08002B2CF9AE}" pid="242" name="FSC#SKEDITIONREG@103.510:zaznam_vnut_adresati_49">
    <vt:lpwstr/>
  </property>
  <property fmtid="{D5CDD505-2E9C-101B-9397-08002B2CF9AE}" pid="243" name="FSC#SKEDITIONREG@103.510:zaznam_vnut_adresati_5">
    <vt:lpwstr/>
  </property>
  <property fmtid="{D5CDD505-2E9C-101B-9397-08002B2CF9AE}" pid="244" name="FSC#SKEDITIONREG@103.510:zaznam_vnut_adresati_50">
    <vt:lpwstr/>
  </property>
  <property fmtid="{D5CDD505-2E9C-101B-9397-08002B2CF9AE}" pid="245" name="FSC#SKEDITIONREG@103.510:zaznam_vnut_adresati_51">
    <vt:lpwstr/>
  </property>
  <property fmtid="{D5CDD505-2E9C-101B-9397-08002B2CF9AE}" pid="246" name="FSC#SKEDITIONREG@103.510:zaznam_vnut_adresati_52">
    <vt:lpwstr/>
  </property>
  <property fmtid="{D5CDD505-2E9C-101B-9397-08002B2CF9AE}" pid="247" name="FSC#SKEDITIONREG@103.510:zaznam_vnut_adresati_53">
    <vt:lpwstr/>
  </property>
  <property fmtid="{D5CDD505-2E9C-101B-9397-08002B2CF9AE}" pid="248" name="FSC#SKEDITIONREG@103.510:zaznam_vnut_adresati_54">
    <vt:lpwstr/>
  </property>
  <property fmtid="{D5CDD505-2E9C-101B-9397-08002B2CF9AE}" pid="249" name="FSC#SKEDITIONREG@103.510:zaznam_vnut_adresati_55">
    <vt:lpwstr/>
  </property>
  <property fmtid="{D5CDD505-2E9C-101B-9397-08002B2CF9AE}" pid="250" name="FSC#SKEDITIONREG@103.510:zaznam_vnut_adresati_56">
    <vt:lpwstr/>
  </property>
  <property fmtid="{D5CDD505-2E9C-101B-9397-08002B2CF9AE}" pid="251" name="FSC#SKEDITIONREG@103.510:zaznam_vnut_adresati_57">
    <vt:lpwstr/>
  </property>
  <property fmtid="{D5CDD505-2E9C-101B-9397-08002B2CF9AE}" pid="252" name="FSC#SKEDITIONREG@103.510:zaznam_vnut_adresati_58">
    <vt:lpwstr/>
  </property>
  <property fmtid="{D5CDD505-2E9C-101B-9397-08002B2CF9AE}" pid="253" name="FSC#SKEDITIONREG@103.510:zaznam_vnut_adresati_59">
    <vt:lpwstr/>
  </property>
  <property fmtid="{D5CDD505-2E9C-101B-9397-08002B2CF9AE}" pid="254" name="FSC#SKEDITIONREG@103.510:zaznam_vnut_adresati_6">
    <vt:lpwstr/>
  </property>
  <property fmtid="{D5CDD505-2E9C-101B-9397-08002B2CF9AE}" pid="255" name="FSC#SKEDITIONREG@103.510:zaznam_vnut_adresati_60">
    <vt:lpwstr/>
  </property>
  <property fmtid="{D5CDD505-2E9C-101B-9397-08002B2CF9AE}" pid="256" name="FSC#SKEDITIONREG@103.510:zaznam_vnut_adresati_61">
    <vt:lpwstr/>
  </property>
  <property fmtid="{D5CDD505-2E9C-101B-9397-08002B2CF9AE}" pid="257" name="FSC#SKEDITIONREG@103.510:zaznam_vnut_adresati_62">
    <vt:lpwstr/>
  </property>
  <property fmtid="{D5CDD505-2E9C-101B-9397-08002B2CF9AE}" pid="258" name="FSC#SKEDITIONREG@103.510:zaznam_vnut_adresati_63">
    <vt:lpwstr/>
  </property>
  <property fmtid="{D5CDD505-2E9C-101B-9397-08002B2CF9AE}" pid="259" name="FSC#SKEDITIONREG@103.510:zaznam_vnut_adresati_64">
    <vt:lpwstr/>
  </property>
  <property fmtid="{D5CDD505-2E9C-101B-9397-08002B2CF9AE}" pid="260" name="FSC#SKEDITIONREG@103.510:zaznam_vnut_adresati_65">
    <vt:lpwstr/>
  </property>
  <property fmtid="{D5CDD505-2E9C-101B-9397-08002B2CF9AE}" pid="261" name="FSC#SKEDITIONREG@103.510:zaznam_vnut_adresati_66">
    <vt:lpwstr/>
  </property>
  <property fmtid="{D5CDD505-2E9C-101B-9397-08002B2CF9AE}" pid="262" name="FSC#SKEDITIONREG@103.510:zaznam_vnut_adresati_67">
    <vt:lpwstr/>
  </property>
  <property fmtid="{D5CDD505-2E9C-101B-9397-08002B2CF9AE}" pid="263" name="FSC#SKEDITIONREG@103.510:zaznam_vnut_adresati_68">
    <vt:lpwstr/>
  </property>
  <property fmtid="{D5CDD505-2E9C-101B-9397-08002B2CF9AE}" pid="264" name="FSC#SKEDITIONREG@103.510:zaznam_vnut_adresati_69">
    <vt:lpwstr/>
  </property>
  <property fmtid="{D5CDD505-2E9C-101B-9397-08002B2CF9AE}" pid="265" name="FSC#SKEDITIONREG@103.510:zaznam_vnut_adresati_7">
    <vt:lpwstr/>
  </property>
  <property fmtid="{D5CDD505-2E9C-101B-9397-08002B2CF9AE}" pid="266" name="FSC#SKEDITIONREG@103.510:zaznam_vnut_adresati_70">
    <vt:lpwstr/>
  </property>
  <property fmtid="{D5CDD505-2E9C-101B-9397-08002B2CF9AE}" pid="267" name="FSC#SKEDITIONREG@103.510:zaznam_vnut_adresati_8">
    <vt:lpwstr/>
  </property>
  <property fmtid="{D5CDD505-2E9C-101B-9397-08002B2CF9AE}" pid="268" name="FSC#SKEDITIONREG@103.510:zaznam_vnut_adresati_9">
    <vt:lpwstr/>
  </property>
  <property fmtid="{D5CDD505-2E9C-101B-9397-08002B2CF9AE}" pid="269" name="FSC#SKEDITIONREG@103.510:zaznam_vonk_adresati_1">
    <vt:lpwstr/>
  </property>
  <property fmtid="{D5CDD505-2E9C-101B-9397-08002B2CF9AE}" pid="270" name="FSC#SKEDITIONREG@103.510:zaznam_vonk_adresati_2">
    <vt:lpwstr/>
  </property>
  <property fmtid="{D5CDD505-2E9C-101B-9397-08002B2CF9AE}" pid="271" name="FSC#SKEDITIONREG@103.510:zaznam_vonk_adresati_3">
    <vt:lpwstr/>
  </property>
  <property fmtid="{D5CDD505-2E9C-101B-9397-08002B2CF9AE}" pid="272" name="FSC#SKEDITIONREG@103.510:zaznam_vonk_adresati_4">
    <vt:lpwstr/>
  </property>
  <property fmtid="{D5CDD505-2E9C-101B-9397-08002B2CF9AE}" pid="273" name="FSC#SKEDITIONREG@103.510:zaznam_vonk_adresati_5">
    <vt:lpwstr/>
  </property>
  <property fmtid="{D5CDD505-2E9C-101B-9397-08002B2CF9AE}" pid="274" name="FSC#SKEDITIONREG@103.510:zaznam_vonk_adresati_6">
    <vt:lpwstr/>
  </property>
  <property fmtid="{D5CDD505-2E9C-101B-9397-08002B2CF9AE}" pid="275" name="FSC#SKEDITIONREG@103.510:zaznam_vonk_adresati_7">
    <vt:lpwstr/>
  </property>
  <property fmtid="{D5CDD505-2E9C-101B-9397-08002B2CF9AE}" pid="276" name="FSC#SKEDITIONREG@103.510:zaznam_vonk_adresati_8">
    <vt:lpwstr/>
  </property>
  <property fmtid="{D5CDD505-2E9C-101B-9397-08002B2CF9AE}" pid="277" name="FSC#SKEDITIONREG@103.510:zaznam_vonk_adresati_9">
    <vt:lpwstr/>
  </property>
  <property fmtid="{D5CDD505-2E9C-101B-9397-08002B2CF9AE}" pid="278" name="FSC#SKEDITIONREG@103.510:zaznam_vonk_adresati_10">
    <vt:lpwstr/>
  </property>
  <property fmtid="{D5CDD505-2E9C-101B-9397-08002B2CF9AE}" pid="279" name="FSC#SKEDITIONREG@103.510:zaznam_vonk_adresati_11">
    <vt:lpwstr/>
  </property>
  <property fmtid="{D5CDD505-2E9C-101B-9397-08002B2CF9AE}" pid="280" name="FSC#SKEDITIONREG@103.510:zaznam_vonk_adresati_12">
    <vt:lpwstr/>
  </property>
  <property fmtid="{D5CDD505-2E9C-101B-9397-08002B2CF9AE}" pid="281" name="FSC#SKEDITIONREG@103.510:zaznam_vonk_adresati_13">
    <vt:lpwstr/>
  </property>
  <property fmtid="{D5CDD505-2E9C-101B-9397-08002B2CF9AE}" pid="282" name="FSC#SKEDITIONREG@103.510:zaznam_vonk_adresati_14">
    <vt:lpwstr/>
  </property>
  <property fmtid="{D5CDD505-2E9C-101B-9397-08002B2CF9AE}" pid="283" name="FSC#SKEDITIONREG@103.510:zaznam_vonk_adresati_15">
    <vt:lpwstr/>
  </property>
  <property fmtid="{D5CDD505-2E9C-101B-9397-08002B2CF9AE}" pid="284" name="FSC#SKEDITIONREG@103.510:zaznam_vonk_adresati_16">
    <vt:lpwstr/>
  </property>
  <property fmtid="{D5CDD505-2E9C-101B-9397-08002B2CF9AE}" pid="285" name="FSC#SKEDITIONREG@103.510:zaznam_vonk_adresati_17">
    <vt:lpwstr/>
  </property>
  <property fmtid="{D5CDD505-2E9C-101B-9397-08002B2CF9AE}" pid="286" name="FSC#SKEDITIONREG@103.510:zaznam_vonk_adresati_18">
    <vt:lpwstr/>
  </property>
  <property fmtid="{D5CDD505-2E9C-101B-9397-08002B2CF9AE}" pid="287" name="FSC#SKEDITIONREG@103.510:zaznam_vonk_adresati_19">
    <vt:lpwstr/>
  </property>
  <property fmtid="{D5CDD505-2E9C-101B-9397-08002B2CF9AE}" pid="288" name="FSC#SKEDITIONREG@103.510:zaznam_vonk_adresati_20">
    <vt:lpwstr/>
  </property>
  <property fmtid="{D5CDD505-2E9C-101B-9397-08002B2CF9AE}" pid="289" name="FSC#SKEDITIONREG@103.510:zaznam_vonk_adresati_21">
    <vt:lpwstr/>
  </property>
  <property fmtid="{D5CDD505-2E9C-101B-9397-08002B2CF9AE}" pid="290" name="FSC#SKEDITIONREG@103.510:zaznam_vonk_adresati_22">
    <vt:lpwstr/>
  </property>
  <property fmtid="{D5CDD505-2E9C-101B-9397-08002B2CF9AE}" pid="291" name="FSC#SKEDITIONREG@103.510:zaznam_vonk_adresati_23">
    <vt:lpwstr/>
  </property>
  <property fmtid="{D5CDD505-2E9C-101B-9397-08002B2CF9AE}" pid="292" name="FSC#SKEDITIONREG@103.510:zaznam_vonk_adresati_24">
    <vt:lpwstr/>
  </property>
  <property fmtid="{D5CDD505-2E9C-101B-9397-08002B2CF9AE}" pid="293" name="FSC#SKEDITIONREG@103.510:zaznam_vonk_adresati_25">
    <vt:lpwstr/>
  </property>
  <property fmtid="{D5CDD505-2E9C-101B-9397-08002B2CF9AE}" pid="294" name="FSC#SKEDITIONREG@103.510:zaznam_vonk_adresati_26">
    <vt:lpwstr/>
  </property>
  <property fmtid="{D5CDD505-2E9C-101B-9397-08002B2CF9AE}" pid="295" name="FSC#SKEDITIONREG@103.510:zaznam_vonk_adresati_27">
    <vt:lpwstr/>
  </property>
  <property fmtid="{D5CDD505-2E9C-101B-9397-08002B2CF9AE}" pid="296" name="FSC#SKEDITIONREG@103.510:zaznam_vonk_adresati_28">
    <vt:lpwstr/>
  </property>
  <property fmtid="{D5CDD505-2E9C-101B-9397-08002B2CF9AE}" pid="297" name="FSC#SKEDITIONREG@103.510:zaznam_vonk_adresati_29">
    <vt:lpwstr/>
  </property>
  <property fmtid="{D5CDD505-2E9C-101B-9397-08002B2CF9AE}" pid="298" name="FSC#SKEDITIONREG@103.510:zaznam_vonk_adresati_30">
    <vt:lpwstr/>
  </property>
  <property fmtid="{D5CDD505-2E9C-101B-9397-08002B2CF9AE}" pid="299" name="FSC#SKEDITIONREG@103.510:zaznam_vonk_adresati_31">
    <vt:lpwstr/>
  </property>
  <property fmtid="{D5CDD505-2E9C-101B-9397-08002B2CF9AE}" pid="300" name="FSC#SKEDITIONREG@103.510:zaznam_vonk_adresati_32">
    <vt:lpwstr/>
  </property>
  <property fmtid="{D5CDD505-2E9C-101B-9397-08002B2CF9AE}" pid="301" name="FSC#SKEDITIONREG@103.510:zaznam_vonk_adresati_33">
    <vt:lpwstr/>
  </property>
  <property fmtid="{D5CDD505-2E9C-101B-9397-08002B2CF9AE}" pid="302" name="FSC#SKEDITIONREG@103.510:zaznam_vonk_adresati_34">
    <vt:lpwstr/>
  </property>
  <property fmtid="{D5CDD505-2E9C-101B-9397-08002B2CF9AE}" pid="303" name="FSC#SKEDITIONREG@103.510:zaznam_vonk_adresati_35">
    <vt:lpwstr/>
  </property>
  <property fmtid="{D5CDD505-2E9C-101B-9397-08002B2CF9AE}" pid="304" name="FSC#SKEDITIONREG@103.510:Stazovatel">
    <vt:lpwstr/>
  </property>
  <property fmtid="{D5CDD505-2E9C-101B-9397-08002B2CF9AE}" pid="305" name="FSC#SKEDITIONREG@103.510:ProtiKomu">
    <vt:lpwstr/>
  </property>
  <property fmtid="{D5CDD505-2E9C-101B-9397-08002B2CF9AE}" pid="306" name="FSC#SKEDITIONREG@103.510:EvCisloStaz">
    <vt:lpwstr/>
  </property>
  <property fmtid="{D5CDD505-2E9C-101B-9397-08002B2CF9AE}" pid="307" name="FSC#SKEDITIONREG@103.510:jod_AttrDateSkutocnyDatumVydania">
    <vt:lpwstr/>
  </property>
  <property fmtid="{D5CDD505-2E9C-101B-9397-08002B2CF9AE}" pid="308" name="FSC#SKEDITIONREG@103.510:jod_AttrNumCisloZmeny">
    <vt:lpwstr/>
  </property>
  <property fmtid="{D5CDD505-2E9C-101B-9397-08002B2CF9AE}" pid="309" name="FSC#SKEDITIONREG@103.510:jod_AttrStrRegCisloZaznamu">
    <vt:lpwstr/>
  </property>
  <property fmtid="{D5CDD505-2E9C-101B-9397-08002B2CF9AE}" pid="310" name="FSC#SKEDITIONREG@103.510:jod_cislodoc">
    <vt:lpwstr/>
  </property>
  <property fmtid="{D5CDD505-2E9C-101B-9397-08002B2CF9AE}" pid="311" name="FSC#SKEDITIONREG@103.510:jod_druh">
    <vt:lpwstr/>
  </property>
  <property fmtid="{D5CDD505-2E9C-101B-9397-08002B2CF9AE}" pid="312" name="FSC#SKEDITIONREG@103.510:jod_lu">
    <vt:lpwstr/>
  </property>
  <property fmtid="{D5CDD505-2E9C-101B-9397-08002B2CF9AE}" pid="313" name="FSC#SKEDITIONREG@103.510:jod_nazov">
    <vt:lpwstr/>
  </property>
  <property fmtid="{D5CDD505-2E9C-101B-9397-08002B2CF9AE}" pid="314" name="FSC#SKEDITIONREG@103.510:jod_typ">
    <vt:lpwstr/>
  </property>
  <property fmtid="{D5CDD505-2E9C-101B-9397-08002B2CF9AE}" pid="315" name="FSC#SKEDITIONREG@103.510:jod_zh">
    <vt:lpwstr/>
  </property>
  <property fmtid="{D5CDD505-2E9C-101B-9397-08002B2CF9AE}" pid="316" name="FSC#SKEDITIONREG@103.510:jod_sAttrDatePlatnostDo">
    <vt:lpwstr/>
  </property>
  <property fmtid="{D5CDD505-2E9C-101B-9397-08002B2CF9AE}" pid="317" name="FSC#SKEDITIONREG@103.510:jod_sAttrDatePlatnostOd">
    <vt:lpwstr/>
  </property>
  <property fmtid="{D5CDD505-2E9C-101B-9397-08002B2CF9AE}" pid="318" name="FSC#SKEDITIONREG@103.510:jod_sAttrDateUcinnostDoc">
    <vt:lpwstr/>
  </property>
  <property fmtid="{D5CDD505-2E9C-101B-9397-08002B2CF9AE}" pid="319" name="FSC#SKEDITIONREG@103.510:a_telephone">
    <vt:lpwstr/>
  </property>
  <property fmtid="{D5CDD505-2E9C-101B-9397-08002B2CF9AE}" pid="320" name="FSC#SKEDITIONREG@103.510:a_email">
    <vt:lpwstr/>
  </property>
  <property fmtid="{D5CDD505-2E9C-101B-9397-08002B2CF9AE}" pid="321" name="FSC#SKEDITIONREG@103.510:a_nazovOU">
    <vt:lpwstr/>
  </property>
  <property fmtid="{D5CDD505-2E9C-101B-9397-08002B2CF9AE}" pid="322" name="FSC#SKEDITIONREG@103.510:a_veduciOU">
    <vt:lpwstr/>
  </property>
  <property fmtid="{D5CDD505-2E9C-101B-9397-08002B2CF9AE}" pid="323" name="FSC#SKEDITIONREG@103.510:a_nadradeneOU">
    <vt:lpwstr/>
  </property>
  <property fmtid="{D5CDD505-2E9C-101B-9397-08002B2CF9AE}" pid="324" name="FSC#SKEDITIONREG@103.510:a_veduciOd">
    <vt:lpwstr/>
  </property>
  <property fmtid="{D5CDD505-2E9C-101B-9397-08002B2CF9AE}" pid="325" name="FSC#SKEDITIONREG@103.510:a_komu">
    <vt:lpwstr/>
  </property>
  <property fmtid="{D5CDD505-2E9C-101B-9397-08002B2CF9AE}" pid="326" name="FSC#SKEDITIONREG@103.510:a_nasecislo">
    <vt:lpwstr/>
  </property>
  <property fmtid="{D5CDD505-2E9C-101B-9397-08002B2CF9AE}" pid="327" name="FSC#SKEDITIONREG@103.510:a_riaditelOdboru">
    <vt:lpwstr/>
  </property>
  <property fmtid="{D5CDD505-2E9C-101B-9397-08002B2CF9AE}" pid="328" name="FSC#SKEDITIONREG@103.510:zaz_fileresporg_addrstreet">
    <vt:lpwstr/>
  </property>
  <property fmtid="{D5CDD505-2E9C-101B-9397-08002B2CF9AE}" pid="329" name="FSC#SKEDITIONREG@103.510:zaz_fileresporg_addrzipcode">
    <vt:lpwstr/>
  </property>
  <property fmtid="{D5CDD505-2E9C-101B-9397-08002B2CF9AE}" pid="330" name="FSC#SKEDITIONREG@103.510:zaz_fileresporg_addrcity">
    <vt:lpwstr/>
  </property>
  <property fmtid="{D5CDD505-2E9C-101B-9397-08002B2CF9AE}" pid="331" name="FSC#SKMODSYS@103.500:mdnazov">
    <vt:lpwstr/>
  </property>
  <property fmtid="{D5CDD505-2E9C-101B-9397-08002B2CF9AE}" pid="332" name="FSC#SKMODSYS@103.500:mdfileresp">
    <vt:lpwstr/>
  </property>
  <property fmtid="{D5CDD505-2E9C-101B-9397-08002B2CF9AE}" pid="333" name="FSC#SKMODSYS@103.500:mdfileresporg">
    <vt:lpwstr/>
  </property>
  <property fmtid="{D5CDD505-2E9C-101B-9397-08002B2CF9AE}" pid="334" name="FSC#SKMODSYS@103.500:mdcreateat">
    <vt:lpwstr>31. 5. 2022</vt:lpwstr>
  </property>
  <property fmtid="{D5CDD505-2E9C-101B-9397-08002B2CF9AE}" pid="335" name="FSC#SKCP@103.500:cp_AttrPtrOrgUtvar">
    <vt:lpwstr/>
  </property>
  <property fmtid="{D5CDD505-2E9C-101B-9397-08002B2CF9AE}" pid="336" name="FSC#SKCP@103.500:cp_AttrStrEvCisloCP">
    <vt:lpwstr> </vt:lpwstr>
  </property>
  <property fmtid="{D5CDD505-2E9C-101B-9397-08002B2CF9AE}" pid="337" name="FSC#SKCP@103.500:cp_zamestnanec">
    <vt:lpwstr/>
  </property>
  <property fmtid="{D5CDD505-2E9C-101B-9397-08002B2CF9AE}" pid="338" name="FSC#SKCP@103.500:cpt_miestoRokovania">
    <vt:lpwstr/>
  </property>
  <property fmtid="{D5CDD505-2E9C-101B-9397-08002B2CF9AE}" pid="339" name="FSC#SKCP@103.500:cpt_datumCesty">
    <vt:lpwstr/>
  </property>
  <property fmtid="{D5CDD505-2E9C-101B-9397-08002B2CF9AE}" pid="340" name="FSC#SKCP@103.500:cpt_ucelCesty">
    <vt:lpwstr/>
  </property>
  <property fmtid="{D5CDD505-2E9C-101B-9397-08002B2CF9AE}" pid="341" name="FSC#SKCP@103.500:cpz_miestoRokovania">
    <vt:lpwstr/>
  </property>
  <property fmtid="{D5CDD505-2E9C-101B-9397-08002B2CF9AE}" pid="342" name="FSC#SKCP@103.500:cpz_datumCesty">
    <vt:lpwstr> - </vt:lpwstr>
  </property>
  <property fmtid="{D5CDD505-2E9C-101B-9397-08002B2CF9AE}" pid="343" name="FSC#SKCP@103.500:cpz_ucelCesty">
    <vt:lpwstr/>
  </property>
  <property fmtid="{D5CDD505-2E9C-101B-9397-08002B2CF9AE}" pid="344" name="FSC#SKCP@103.500:cpz_datumVypracovania">
    <vt:lpwstr/>
  </property>
  <property fmtid="{D5CDD505-2E9C-101B-9397-08002B2CF9AE}" pid="345" name="FSC#SKCP@103.500:cpz_datPodpSchv1">
    <vt:lpwstr/>
  </property>
  <property fmtid="{D5CDD505-2E9C-101B-9397-08002B2CF9AE}" pid="346" name="FSC#SKCP@103.500:cpz_datPodpSchv2">
    <vt:lpwstr/>
  </property>
  <property fmtid="{D5CDD505-2E9C-101B-9397-08002B2CF9AE}" pid="347" name="FSC#SKCP@103.500:cpz_datPodpSchv3">
    <vt:lpwstr/>
  </property>
  <property fmtid="{D5CDD505-2E9C-101B-9397-08002B2CF9AE}" pid="348" name="FSC#SKCP@103.500:cpz_PodpSchv1">
    <vt:lpwstr/>
  </property>
  <property fmtid="{D5CDD505-2E9C-101B-9397-08002B2CF9AE}" pid="349" name="FSC#SKCP@103.500:cpz_PodpSchv2">
    <vt:lpwstr/>
  </property>
  <property fmtid="{D5CDD505-2E9C-101B-9397-08002B2CF9AE}" pid="350" name="FSC#SKCP@103.500:cpz_PodpSchv3">
    <vt:lpwstr/>
  </property>
  <property fmtid="{D5CDD505-2E9C-101B-9397-08002B2CF9AE}" pid="351" name="FSC#SKCP@103.500:cpz_Funkcia">
    <vt:lpwstr/>
  </property>
  <property fmtid="{D5CDD505-2E9C-101B-9397-08002B2CF9AE}" pid="352" name="FSC#SKCP@103.500:cp_Spolucestujuci">
    <vt:lpwstr/>
  </property>
  <property fmtid="{D5CDD505-2E9C-101B-9397-08002B2CF9AE}" pid="353" name="FSC#SKNAD@103.500:nad_objname">
    <vt:lpwstr/>
  </property>
  <property fmtid="{D5CDD505-2E9C-101B-9397-08002B2CF9AE}" pid="354" name="FSC#SKNAD@103.500:nad_AttrStrNazov">
    <vt:lpwstr/>
  </property>
  <property fmtid="{D5CDD505-2E9C-101B-9397-08002B2CF9AE}" pid="355" name="FSC#SKNAD@103.500:nad_AttrPtrSpracovatel">
    <vt:lpwstr/>
  </property>
  <property fmtid="{D5CDD505-2E9C-101B-9397-08002B2CF9AE}" pid="356" name="FSC#SKNAD@103.500:nad_AttrPtrGestor1">
    <vt:lpwstr/>
  </property>
  <property fmtid="{D5CDD505-2E9C-101B-9397-08002B2CF9AE}" pid="357" name="FSC#SKNAD@103.500:nad_AttrPtrGestor1Funkcia">
    <vt:lpwstr/>
  </property>
  <property fmtid="{D5CDD505-2E9C-101B-9397-08002B2CF9AE}" pid="358" name="FSC#SKNAD@103.500:nad_AttrPtrGestor1OU">
    <vt:lpwstr/>
  </property>
  <property fmtid="{D5CDD505-2E9C-101B-9397-08002B2CF9AE}" pid="359" name="FSC#SKNAD@103.500:nad_AttrPtrGestor2">
    <vt:lpwstr/>
  </property>
  <property fmtid="{D5CDD505-2E9C-101B-9397-08002B2CF9AE}" pid="360" name="FSC#SKNAD@103.500:nad_AttrPtrGestor2Funkcia">
    <vt:lpwstr/>
  </property>
  <property fmtid="{D5CDD505-2E9C-101B-9397-08002B2CF9AE}" pid="361" name="FSC#SKNAD@103.500:nad_schvalil">
    <vt:lpwstr/>
  </property>
  <property fmtid="{D5CDD505-2E9C-101B-9397-08002B2CF9AE}" pid="362" name="FSC#SKNAD@103.500:nad_schvalilfunkcia">
    <vt:lpwstr/>
  </property>
  <property fmtid="{D5CDD505-2E9C-101B-9397-08002B2CF9AE}" pid="363" name="FSC#SKNAD@103.500:nad_vr">
    <vt:lpwstr/>
  </property>
  <property fmtid="{D5CDD505-2E9C-101B-9397-08002B2CF9AE}" pid="364" name="FSC#SKNAD@103.500:nad_AttrDateDatumPodpisania">
    <vt:lpwstr/>
  </property>
  <property fmtid="{D5CDD505-2E9C-101B-9397-08002B2CF9AE}" pid="365" name="FSC#SKNAD@103.500:nad_pripobjname">
    <vt:lpwstr/>
  </property>
  <property fmtid="{D5CDD505-2E9C-101B-9397-08002B2CF9AE}" pid="366" name="FSC#SKNAD@103.500:nad_pripVytvorilKto">
    <vt:lpwstr/>
  </property>
  <property fmtid="{D5CDD505-2E9C-101B-9397-08002B2CF9AE}" pid="367" name="FSC#SKNAD@103.500:nad_pripVytvorilKedy">
    <vt:lpwstr>31.5.2022, 10:09</vt:lpwstr>
  </property>
  <property fmtid="{D5CDD505-2E9C-101B-9397-08002B2CF9AE}" pid="368" name="FSC#SKNAD@103.500:nad_AttrStrCisloNA">
    <vt:lpwstr/>
  </property>
  <property fmtid="{D5CDD505-2E9C-101B-9397-08002B2CF9AE}" pid="369" name="FSC#SKNAD@103.500:nad_AttrDateUcinnaOd">
    <vt:lpwstr/>
  </property>
  <property fmtid="{D5CDD505-2E9C-101B-9397-08002B2CF9AE}" pid="370" name="FSC#SKNAD@103.500:nad_AttrDateUcinnaDo">
    <vt:lpwstr/>
  </property>
  <property fmtid="{D5CDD505-2E9C-101B-9397-08002B2CF9AE}" pid="371" name="FSC#SKNAD@103.500:nad_AttrPtrPredchadzajuceNA">
    <vt:lpwstr/>
  </property>
  <property fmtid="{D5CDD505-2E9C-101B-9397-08002B2CF9AE}" pid="372" name="FSC#SKNAD@103.500:nad_AttrPtrSpracovatelOU">
    <vt:lpwstr/>
  </property>
  <property fmtid="{D5CDD505-2E9C-101B-9397-08002B2CF9AE}" pid="373" name="FSC#SKNAD@103.500:nad_AttrPtrPatriKNA">
    <vt:lpwstr/>
  </property>
  <property fmtid="{D5CDD505-2E9C-101B-9397-08002B2CF9AE}" pid="374" name="FSC#SKNAD@103.500:nad_AttrIntCisloDodatku">
    <vt:lpwstr/>
  </property>
  <property fmtid="{D5CDD505-2E9C-101B-9397-08002B2CF9AE}" pid="375" name="FSC#SKNAD@103.500:nad_AttrPtrSpracVeduci">
    <vt:lpwstr/>
  </property>
  <property fmtid="{D5CDD505-2E9C-101B-9397-08002B2CF9AE}" pid="376" name="FSC#SKNAD@103.500:nad_AttrPtrSpracVeduciOU">
    <vt:lpwstr/>
  </property>
  <property fmtid="{D5CDD505-2E9C-101B-9397-08002B2CF9AE}" pid="377" name="FSC#SKNAD@103.500:nad_spis">
    <vt:lpwstr/>
  </property>
  <property fmtid="{D5CDD505-2E9C-101B-9397-08002B2CF9AE}" pid="378" name="FSC#SKPUPP@103.500:pupp_riaditelPorady">
    <vt:lpwstr/>
  </property>
  <property fmtid="{D5CDD505-2E9C-101B-9397-08002B2CF9AE}" pid="379" name="FSC#SKPUPP@103.500:pupp_cisloporady">
    <vt:lpwstr/>
  </property>
  <property fmtid="{D5CDD505-2E9C-101B-9397-08002B2CF9AE}" pid="380" name="FSC#SKPUPP@103.500:pupp_konanieOHodine">
    <vt:lpwstr/>
  </property>
  <property fmtid="{D5CDD505-2E9C-101B-9397-08002B2CF9AE}" pid="381" name="FSC#SKPUPP@103.500:pupp_datPorMesiacString">
    <vt:lpwstr/>
  </property>
  <property fmtid="{D5CDD505-2E9C-101B-9397-08002B2CF9AE}" pid="382" name="FSC#SKPUPP@103.500:pupp_datumporady">
    <vt:lpwstr/>
  </property>
  <property fmtid="{D5CDD505-2E9C-101B-9397-08002B2CF9AE}" pid="383" name="FSC#SKPUPP@103.500:pupp_konaniedo">
    <vt:lpwstr/>
  </property>
  <property fmtid="{D5CDD505-2E9C-101B-9397-08002B2CF9AE}" pid="384" name="FSC#SKPUPP@103.500:pupp_konanieod">
    <vt:lpwstr/>
  </property>
  <property fmtid="{D5CDD505-2E9C-101B-9397-08002B2CF9AE}" pid="385" name="FSC#SKPUPP@103.500:pupp_menopp">
    <vt:lpwstr/>
  </property>
  <property fmtid="{D5CDD505-2E9C-101B-9397-08002B2CF9AE}" pid="386" name="FSC#SKPUPP@103.500:pupp_miestokonania">
    <vt:lpwstr/>
  </property>
  <property fmtid="{D5CDD505-2E9C-101B-9397-08002B2CF9AE}" pid="387" name="FSC#SKPUPP@103.500:pupp_temaporady">
    <vt:lpwstr/>
  </property>
  <property fmtid="{D5CDD505-2E9C-101B-9397-08002B2CF9AE}" pid="388" name="FSC#SKPUPP@103.500:pupp_ucastnici">
    <vt:lpwstr/>
  </property>
  <property fmtid="{D5CDD505-2E9C-101B-9397-08002B2CF9AE}" pid="389" name="FSC#SKPUPP@103.500:pupp_ulohy">
    <vt:lpwstr>test</vt:lpwstr>
  </property>
  <property fmtid="{D5CDD505-2E9C-101B-9397-08002B2CF9AE}" pid="390" name="FSC#SKPUPP@103.500:pupp_ucastnici_funkcie">
    <vt:lpwstr/>
  </property>
  <property fmtid="{D5CDD505-2E9C-101B-9397-08002B2CF9AE}" pid="391" name="FSC#SKPUPP@103.500:pupp_nazov_ulohy">
    <vt:lpwstr/>
  </property>
  <property fmtid="{D5CDD505-2E9C-101B-9397-08002B2CF9AE}" pid="392" name="FSC#SKPUPP@103.500:pupp_cislo_ulohy">
    <vt:lpwstr/>
  </property>
  <property fmtid="{D5CDD505-2E9C-101B-9397-08002B2CF9AE}" pid="393" name="FSC#SKPUPP@103.500:pupp_riesitel_ulohy">
    <vt:lpwstr/>
  </property>
  <property fmtid="{D5CDD505-2E9C-101B-9397-08002B2CF9AE}" pid="394" name="FSC#SKPUPP@103.500:pupp_vybavit_ulohy">
    <vt:lpwstr/>
  </property>
  <property fmtid="{D5CDD505-2E9C-101B-9397-08002B2CF9AE}" pid="395" name="FSC#SKPUPP@103.500:pupp_orgutvar">
    <vt:lpwstr/>
  </property>
  <property fmtid="{D5CDD505-2E9C-101B-9397-08002B2CF9AE}" pid="396" name="FSC#COOELAK@1.1001:Subject">
    <vt:lpwstr/>
  </property>
  <property fmtid="{D5CDD505-2E9C-101B-9397-08002B2CF9AE}" pid="397" name="FSC#COOELAK@1.1001:FileReference">
    <vt:lpwstr/>
  </property>
  <property fmtid="{D5CDD505-2E9C-101B-9397-08002B2CF9AE}" pid="398" name="FSC#COOELAK@1.1001:FileRefYear">
    <vt:lpwstr/>
  </property>
  <property fmtid="{D5CDD505-2E9C-101B-9397-08002B2CF9AE}" pid="399" name="FSC#COOELAK@1.1001:FileRefOrdinal">
    <vt:lpwstr/>
  </property>
  <property fmtid="{D5CDD505-2E9C-101B-9397-08002B2CF9AE}" pid="400" name="FSC#COOELAK@1.1001:FileRefOU">
    <vt:lpwstr/>
  </property>
  <property fmtid="{D5CDD505-2E9C-101B-9397-08002B2CF9AE}" pid="401" name="FSC#COOELAK@1.1001:Organization">
    <vt:lpwstr/>
  </property>
  <property fmtid="{D5CDD505-2E9C-101B-9397-08002B2CF9AE}" pid="402" name="FSC#COOELAK@1.1001:Owner">
    <vt:lpwstr>Petrakovičová, Eva, RNDr., PhD.</vt:lpwstr>
  </property>
  <property fmtid="{D5CDD505-2E9C-101B-9397-08002B2CF9AE}" pid="403" name="FSC#COOELAK@1.1001:OwnerExtension">
    <vt:lpwstr/>
  </property>
  <property fmtid="{D5CDD505-2E9C-101B-9397-08002B2CF9AE}" pid="404" name="FSC#COOELAK@1.1001:OwnerFaxExtension">
    <vt:lpwstr/>
  </property>
  <property fmtid="{D5CDD505-2E9C-101B-9397-08002B2CF9AE}" pid="405" name="FSC#COOELAK@1.1001:DispatchedBy">
    <vt:lpwstr/>
  </property>
  <property fmtid="{D5CDD505-2E9C-101B-9397-08002B2CF9AE}" pid="406" name="FSC#COOELAK@1.1001:DispatchedAt">
    <vt:lpwstr/>
  </property>
  <property fmtid="{D5CDD505-2E9C-101B-9397-08002B2CF9AE}" pid="407" name="FSC#COOELAK@1.1001:ApprovedBy">
    <vt:lpwstr/>
  </property>
  <property fmtid="{D5CDD505-2E9C-101B-9397-08002B2CF9AE}" pid="408" name="FSC#COOELAK@1.1001:ApprovedAt">
    <vt:lpwstr/>
  </property>
  <property fmtid="{D5CDD505-2E9C-101B-9397-08002B2CF9AE}" pid="409" name="FSC#COOELAK@1.1001:Department">
    <vt:lpwstr>US1/SSZODAOTPSP (Oddelenie aktívnych opatrení na trhu práce a štátna pomoc)</vt:lpwstr>
  </property>
  <property fmtid="{D5CDD505-2E9C-101B-9397-08002B2CF9AE}" pid="410" name="FSC#COOELAK@1.1001:CreatedAt">
    <vt:lpwstr>31.05.2022</vt:lpwstr>
  </property>
  <property fmtid="{D5CDD505-2E9C-101B-9397-08002B2CF9AE}" pid="411" name="FSC#COOELAK@1.1001:OU">
    <vt:lpwstr>US1/SSZODAOTPSP (Oddelenie aktívnych opatrení na trhu práce a štátna pomoc)</vt:lpwstr>
  </property>
  <property fmtid="{D5CDD505-2E9C-101B-9397-08002B2CF9AE}" pid="412" name="FSC#COOELAK@1.1001:Priority">
    <vt:lpwstr> ()</vt:lpwstr>
  </property>
  <property fmtid="{D5CDD505-2E9C-101B-9397-08002B2CF9AE}" pid="413" name="FSC#COOELAK@1.1001:ObjBarCode">
    <vt:lpwstr>*COO.2195.102.3.14025226*</vt:lpwstr>
  </property>
  <property fmtid="{D5CDD505-2E9C-101B-9397-08002B2CF9AE}" pid="414" name="FSC#COOELAK@1.1001:RefBarCode">
    <vt:lpwstr/>
  </property>
  <property fmtid="{D5CDD505-2E9C-101B-9397-08002B2CF9AE}" pid="415" name="FSC#COOELAK@1.1001:FileRefBarCode">
    <vt:lpwstr>**</vt:lpwstr>
  </property>
  <property fmtid="{D5CDD505-2E9C-101B-9397-08002B2CF9AE}" pid="416" name="FSC#COOELAK@1.1001:ExternalRef">
    <vt:lpwstr/>
  </property>
  <property fmtid="{D5CDD505-2E9C-101B-9397-08002B2CF9AE}" pid="417" name="FSC#COOELAK@1.1001:IncomingNumber">
    <vt:lpwstr/>
  </property>
  <property fmtid="{D5CDD505-2E9C-101B-9397-08002B2CF9AE}" pid="418" name="FSC#COOELAK@1.1001:IncomingSubject">
    <vt:lpwstr/>
  </property>
  <property fmtid="{D5CDD505-2E9C-101B-9397-08002B2CF9AE}" pid="419" name="FSC#COOELAK@1.1001:ProcessResponsible">
    <vt:lpwstr/>
  </property>
  <property fmtid="{D5CDD505-2E9C-101B-9397-08002B2CF9AE}" pid="420" name="FSC#COOELAK@1.1001:ProcessResponsiblePhone">
    <vt:lpwstr/>
  </property>
  <property fmtid="{D5CDD505-2E9C-101B-9397-08002B2CF9AE}" pid="421" name="FSC#COOELAK@1.1001:ProcessResponsibleMail">
    <vt:lpwstr/>
  </property>
  <property fmtid="{D5CDD505-2E9C-101B-9397-08002B2CF9AE}" pid="422" name="FSC#COOELAK@1.1001:ProcessResponsibleFax">
    <vt:lpwstr/>
  </property>
  <property fmtid="{D5CDD505-2E9C-101B-9397-08002B2CF9AE}" pid="423" name="FSC#COOELAK@1.1001:ApproverFirstName">
    <vt:lpwstr/>
  </property>
  <property fmtid="{D5CDD505-2E9C-101B-9397-08002B2CF9AE}" pid="424" name="FSC#COOELAK@1.1001:ApproverSurName">
    <vt:lpwstr/>
  </property>
  <property fmtid="{D5CDD505-2E9C-101B-9397-08002B2CF9AE}" pid="425" name="FSC#COOELAK@1.1001:ApproverTitle">
    <vt:lpwstr/>
  </property>
  <property fmtid="{D5CDD505-2E9C-101B-9397-08002B2CF9AE}" pid="426" name="FSC#COOELAK@1.1001:ExternalDate">
    <vt:lpwstr/>
  </property>
  <property fmtid="{D5CDD505-2E9C-101B-9397-08002B2CF9AE}" pid="427" name="FSC#COOELAK@1.1001:SettlementApprovedAt">
    <vt:lpwstr/>
  </property>
  <property fmtid="{D5CDD505-2E9C-101B-9397-08002B2CF9AE}" pid="428" name="FSC#COOELAK@1.1001:BaseNumber">
    <vt:lpwstr/>
  </property>
  <property fmtid="{D5CDD505-2E9C-101B-9397-08002B2CF9AE}" pid="429" name="FSC#COOELAK@1.1001:CurrentUserRolePos">
    <vt:lpwstr>vedúci</vt:lpwstr>
  </property>
  <property fmtid="{D5CDD505-2E9C-101B-9397-08002B2CF9AE}" pid="430" name="FSC#COOELAK@1.1001:CurrentUserEmail">
    <vt:lpwstr>Frantisek.Brezovsky@upsvr.gov.sk</vt:lpwstr>
  </property>
  <property fmtid="{D5CDD505-2E9C-101B-9397-08002B2CF9AE}" pid="431" name="FSC#ELAKGOV@1.1001:PersonalSubjGender">
    <vt:lpwstr/>
  </property>
  <property fmtid="{D5CDD505-2E9C-101B-9397-08002B2CF9AE}" pid="432" name="FSC#ELAKGOV@1.1001:PersonalSubjFirstName">
    <vt:lpwstr/>
  </property>
  <property fmtid="{D5CDD505-2E9C-101B-9397-08002B2CF9AE}" pid="433" name="FSC#ELAKGOV@1.1001:PersonalSubjSurName">
    <vt:lpwstr/>
  </property>
  <property fmtid="{D5CDD505-2E9C-101B-9397-08002B2CF9AE}" pid="434" name="FSC#ELAKGOV@1.1001:PersonalSubjSalutation">
    <vt:lpwstr/>
  </property>
  <property fmtid="{D5CDD505-2E9C-101B-9397-08002B2CF9AE}" pid="435" name="FSC#ELAKGOV@1.1001:PersonalSubjAddress">
    <vt:lpwstr/>
  </property>
  <property fmtid="{D5CDD505-2E9C-101B-9397-08002B2CF9AE}" pid="436" name="FSC#ATSTATECFG@1.1001:Office">
    <vt:lpwstr/>
  </property>
  <property fmtid="{D5CDD505-2E9C-101B-9397-08002B2CF9AE}" pid="437" name="FSC#ATSTATECFG@1.1001:Agent">
    <vt:lpwstr/>
  </property>
  <property fmtid="{D5CDD505-2E9C-101B-9397-08002B2CF9AE}" pid="438" name="FSC#ATSTATECFG@1.1001:AgentPhone">
    <vt:lpwstr/>
  </property>
  <property fmtid="{D5CDD505-2E9C-101B-9397-08002B2CF9AE}" pid="439" name="FSC#ATSTATECFG@1.1001:DepartmentFax">
    <vt:lpwstr/>
  </property>
  <property fmtid="{D5CDD505-2E9C-101B-9397-08002B2CF9AE}" pid="440" name="FSC#ATSTATECFG@1.1001:DepartmentEmail">
    <vt:lpwstr/>
  </property>
  <property fmtid="{D5CDD505-2E9C-101B-9397-08002B2CF9AE}" pid="441" name="FSC#ATSTATECFG@1.1001:SubfileDate">
    <vt:lpwstr/>
  </property>
  <property fmtid="{D5CDD505-2E9C-101B-9397-08002B2CF9AE}" pid="442" name="FSC#ATSTATECFG@1.1001:SubfileSubject">
    <vt:lpwstr/>
  </property>
  <property fmtid="{D5CDD505-2E9C-101B-9397-08002B2CF9AE}" pid="443" name="FSC#ATSTATECFG@1.1001:DepartmentZipCode">
    <vt:lpwstr/>
  </property>
  <property fmtid="{D5CDD505-2E9C-101B-9397-08002B2CF9AE}" pid="444" name="FSC#ATSTATECFG@1.1001:DepartmentCountry">
    <vt:lpwstr/>
  </property>
  <property fmtid="{D5CDD505-2E9C-101B-9397-08002B2CF9AE}" pid="445" name="FSC#ATSTATECFG@1.1001:DepartmentCity">
    <vt:lpwstr/>
  </property>
  <property fmtid="{D5CDD505-2E9C-101B-9397-08002B2CF9AE}" pid="446" name="FSC#ATSTATECFG@1.1001:DepartmentStreet">
    <vt:lpwstr/>
  </property>
  <property fmtid="{D5CDD505-2E9C-101B-9397-08002B2CF9AE}" pid="447" name="FSC#ATSTATECFG@1.1001:DepartmentDVR">
    <vt:lpwstr/>
  </property>
  <property fmtid="{D5CDD505-2E9C-101B-9397-08002B2CF9AE}" pid="448" name="FSC#ATSTATECFG@1.1001:DepartmentUID">
    <vt:lpwstr/>
  </property>
  <property fmtid="{D5CDD505-2E9C-101B-9397-08002B2CF9AE}" pid="449" name="FSC#ATSTATECFG@1.1001:SubfileReference">
    <vt:lpwstr/>
  </property>
  <property fmtid="{D5CDD505-2E9C-101B-9397-08002B2CF9AE}" pid="450" name="FSC#ATSTATECFG@1.1001:Clause">
    <vt:lpwstr/>
  </property>
  <property fmtid="{D5CDD505-2E9C-101B-9397-08002B2CF9AE}" pid="451" name="FSC#ATSTATECFG@1.1001:ApprovedSignature">
    <vt:lpwstr/>
  </property>
  <property fmtid="{D5CDD505-2E9C-101B-9397-08002B2CF9AE}" pid="452" name="FSC#ATSTATECFG@1.1001:BankAccount">
    <vt:lpwstr/>
  </property>
  <property fmtid="{D5CDD505-2E9C-101B-9397-08002B2CF9AE}" pid="453" name="FSC#ATSTATECFG@1.1001:BankAccountOwner">
    <vt:lpwstr/>
  </property>
  <property fmtid="{D5CDD505-2E9C-101B-9397-08002B2CF9AE}" pid="454" name="FSC#ATSTATECFG@1.1001:BankInstitute">
    <vt:lpwstr/>
  </property>
  <property fmtid="{D5CDD505-2E9C-101B-9397-08002B2CF9AE}" pid="455" name="FSC#ATSTATECFG@1.1001:BankAccountID">
    <vt:lpwstr/>
  </property>
  <property fmtid="{D5CDD505-2E9C-101B-9397-08002B2CF9AE}" pid="456" name="FSC#ATSTATECFG@1.1001:BankAccountIBAN">
    <vt:lpwstr/>
  </property>
  <property fmtid="{D5CDD505-2E9C-101B-9397-08002B2CF9AE}" pid="457" name="FSC#ATSTATECFG@1.1001:BankAccountBIC">
    <vt:lpwstr/>
  </property>
  <property fmtid="{D5CDD505-2E9C-101B-9397-08002B2CF9AE}" pid="458" name="FSC#ATSTATECFG@1.1001:BankName">
    <vt:lpwstr/>
  </property>
  <property fmtid="{D5CDD505-2E9C-101B-9397-08002B2CF9AE}" pid="459" name="FSC#COOELAK@1.1001:ObjectAddressees">
    <vt:lpwstr/>
  </property>
  <property fmtid="{D5CDD505-2E9C-101B-9397-08002B2CF9AE}" pid="460" name="FSC#SKCONV@103.510:docname">
    <vt:lpwstr/>
  </property>
  <property fmtid="{D5CDD505-2E9C-101B-9397-08002B2CF9AE}" pid="461" name="FSC#COOSYSTEM@1.1:Container">
    <vt:lpwstr>COO.2195.102.3.14025226</vt:lpwstr>
  </property>
  <property fmtid="{D5CDD505-2E9C-101B-9397-08002B2CF9AE}" pid="462" name="FSC#FSCFOLIO@1.1001:docpropproject">
    <vt:lpwstr/>
  </property>
</Properties>
</file>