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9288"/>
      </w:tblGrid>
      <w:tr>
        <w:trPr>
          <w:trHeight w:val="227"/>
          <w:jc w:val="center"/>
        </w:trPr>
        <w:tc>
          <w:tcPr>
            <w:tcW w:w="5000" w:type="pct"/>
            <w:shd w:val="clear" w:color="auto" w:fill="B6DDE8" w:themeFill="accent5" w:themeFillTint="66"/>
            <w:noWrap/>
            <w:vAlign w:val="center"/>
          </w:tcPr>
          <w:p>
            <w:pPr>
              <w:jc w:val="center"/>
              <w:rPr>
                <w:rFonts w:cs="Times New Roman"/>
                <w:b/>
                <w:color w:val="17365D" w:themeColor="text2" w:themeShade="BF"/>
                <w:sz w:val="28"/>
                <w:szCs w:val="20"/>
              </w:rPr>
            </w:pPr>
            <w:r>
              <w:rPr>
                <w:rFonts w:cs="Times New Roman"/>
                <w:b/>
                <w:color w:val="17365D" w:themeColor="text2" w:themeShade="BF"/>
                <w:sz w:val="28"/>
                <w:szCs w:val="20"/>
              </w:rPr>
              <w:t xml:space="preserve">PRÍSPEVOK NA VZDELÁVANIE A PRÍPRAVU PRE TRH PRÁCE ZAMESTNANCOV </w:t>
            </w:r>
          </w:p>
          <w:p>
            <w:pPr>
              <w:jc w:val="center"/>
              <w:rPr>
                <w:rFonts w:cs="Times New Roman"/>
                <w:b/>
                <w:color w:val="17365D" w:themeColor="text2" w:themeShade="BF"/>
                <w:sz w:val="10"/>
                <w:szCs w:val="10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color w:val="17365D" w:themeColor="text2" w:themeShade="BF"/>
                <w:sz w:val="28"/>
                <w:szCs w:val="20"/>
              </w:rPr>
              <w:t xml:space="preserve">ZÁKLADNÉ INFORMÁCIE </w:t>
            </w:r>
          </w:p>
        </w:tc>
      </w:tr>
      <w:tr>
        <w:trPr>
          <w:trHeight w:val="30"/>
          <w:jc w:val="center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  <w:hideMark/>
          </w:tcPr>
          <w:p>
            <w:pPr>
              <w:jc w:val="both"/>
              <w:rPr>
                <w:rFonts w:cs="Times New Roman"/>
                <w:color w:val="0070C0"/>
                <w:sz w:val="6"/>
                <w:szCs w:val="6"/>
              </w:rPr>
            </w:pPr>
          </w:p>
          <w:p>
            <w:p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 xml:space="preserve">Vzdelávanie a prípravu pre trh práce zamestnancov (vzdelávanie zamestnancov) v zmysle § 47 zákona        č. 5/2004 Z. z. o službách zamestnanosti a o zmene a doplnení niektorých zákonov v znení neskorších predpisov (zákon o službách zamestnanosti) vykonáva zamestnávateľ v záujme ďalšieho pracovného uplatnenia svojich zamestnancov. Vzdelávanie zamestnancov sa uskutočňuje v pracovnom čase a je prekážkou v práci na strane zamestnanca; za toto obdobie patrí zamestnancovi náhrada mzdy vo výške jeho priemerného mesačného zárobku. Mimo pracovného času sa vzdelávanie zamestnancov uskutočňuje len vtedy, ak je to nevyhnutné vzhľadom na spôsob jeho zabezpečenia. </w:t>
            </w:r>
          </w:p>
          <w:p>
            <w:pPr>
              <w:jc w:val="both"/>
              <w:rPr>
                <w:sz w:val="6"/>
                <w:szCs w:val="6"/>
              </w:rPr>
            </w:pPr>
          </w:p>
        </w:tc>
      </w:tr>
      <w:tr>
        <w:trPr>
          <w:trHeight w:val="22"/>
          <w:jc w:val="center"/>
        </w:trPr>
        <w:tc>
          <w:tcPr>
            <w:tcW w:w="5000" w:type="pct"/>
            <w:noWrap/>
            <w:vAlign w:val="center"/>
            <w:hideMark/>
          </w:tcPr>
          <w:p>
            <w:pPr>
              <w:jc w:val="both"/>
              <w:rPr>
                <w:rFonts w:cs="Times New Roman"/>
                <w:b/>
                <w:color w:val="002060"/>
                <w:sz w:val="6"/>
                <w:szCs w:val="6"/>
              </w:rPr>
            </w:pPr>
          </w:p>
          <w:p>
            <w:pPr>
              <w:jc w:val="both"/>
              <w:rPr>
                <w:rFonts w:cs="Times New Roman"/>
                <w:b/>
                <w:color w:val="002060"/>
                <w:sz w:val="21"/>
                <w:szCs w:val="21"/>
              </w:rPr>
            </w:pPr>
            <w:r>
              <w:rPr>
                <w:rFonts w:cs="Times New Roman"/>
                <w:b/>
                <w:color w:val="002060"/>
                <w:sz w:val="21"/>
                <w:szCs w:val="21"/>
              </w:rPr>
              <w:t xml:space="preserve">Úrad práce, sociálnych vecí a rodiny (úrad) môže zamestnávateľovi poskytnúť príspevok na vzdelávanie zamestnancov, </w:t>
            </w:r>
            <w:r>
              <w:rPr>
                <w:rFonts w:cs="Times New Roman"/>
                <w:color w:val="002060"/>
                <w:sz w:val="21"/>
                <w:szCs w:val="21"/>
              </w:rPr>
              <w:t>ak sa zaviaže, že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:</w:t>
            </w:r>
          </w:p>
          <w:p>
            <w:pPr>
              <w:pStyle w:val="Odsekzoznamu"/>
              <w:numPr>
                <w:ilvl w:val="0"/>
                <w:numId w:val="3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 xml:space="preserve">po skončení vzdelávania zamestnancov 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bude vzdelávaných zamestnancov zamestnávať najmenej počas 12 mesiacov</w:t>
            </w:r>
            <w:r>
              <w:rPr>
                <w:rFonts w:cs="Times New Roman"/>
                <w:color w:val="002060"/>
                <w:sz w:val="21"/>
                <w:szCs w:val="21"/>
              </w:rPr>
              <w:t>,</w:t>
            </w:r>
          </w:p>
          <w:p>
            <w:pPr>
              <w:pStyle w:val="Odsekzoznamu"/>
              <w:numPr>
                <w:ilvl w:val="0"/>
                <w:numId w:val="3"/>
              </w:num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 xml:space="preserve">vzdelávanie zamestnancov uskutoční ako 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súčasť opatrení, ktoré umožňujú predísť hromadnému prepúšťaniu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 alebo obmedziť hromadné prepúšťanie.</w:t>
            </w:r>
          </w:p>
          <w:p>
            <w:pPr>
              <w:pStyle w:val="Odsekzoznamu"/>
              <w:jc w:val="both"/>
              <w:rPr>
                <w:rFonts w:cs="Times New Roman"/>
                <w:sz w:val="6"/>
                <w:szCs w:val="6"/>
              </w:rPr>
            </w:pPr>
          </w:p>
        </w:tc>
      </w:tr>
      <w:tr>
        <w:trPr>
          <w:trHeight w:val="102"/>
          <w:jc w:val="center"/>
        </w:trPr>
        <w:tc>
          <w:tcPr>
            <w:tcW w:w="5000" w:type="pct"/>
            <w:shd w:val="clear" w:color="auto" w:fill="B6DDE8" w:themeFill="accent5" w:themeFillTint="66"/>
            <w:noWrap/>
            <w:vAlign w:val="center"/>
            <w:hideMark/>
          </w:tcPr>
          <w:p>
            <w:pPr>
              <w:spacing w:after="120"/>
              <w:jc w:val="center"/>
              <w:rPr>
                <w:rFonts w:cs="Times New Roman"/>
                <w:b/>
                <w:color w:val="17365D" w:themeColor="text2" w:themeShade="BF"/>
                <w:sz w:val="6"/>
                <w:szCs w:val="10"/>
              </w:rPr>
            </w:pPr>
          </w:p>
          <w:p>
            <w:pPr>
              <w:spacing w:after="120"/>
              <w:jc w:val="center"/>
              <w:rPr>
                <w:rFonts w:cs="Times New Roman"/>
                <w:b/>
                <w:color w:val="17365D" w:themeColor="text2" w:themeShade="BF"/>
                <w:sz w:val="24"/>
                <w:szCs w:val="20"/>
              </w:rPr>
            </w:pPr>
            <w:r>
              <w:rPr>
                <w:rFonts w:cs="Times New Roman"/>
                <w:b/>
                <w:color w:val="17365D" w:themeColor="text2" w:themeShade="BF"/>
                <w:sz w:val="24"/>
                <w:szCs w:val="20"/>
              </w:rPr>
              <w:t xml:space="preserve">AKO ZÍSKAŤ PRÍSPEVOK NA VZDELÁVANIE ZAMESTNANCOV </w:t>
            </w:r>
          </w:p>
          <w:p>
            <w:pPr>
              <w:spacing w:after="120"/>
              <w:jc w:val="center"/>
              <w:rPr>
                <w:rFonts w:cs="Times New Roman"/>
                <w:sz w:val="2"/>
                <w:szCs w:val="10"/>
              </w:rPr>
            </w:pPr>
          </w:p>
        </w:tc>
      </w:tr>
      <w:tr>
        <w:trPr>
          <w:trHeight w:val="67"/>
          <w:jc w:val="center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  <w:hideMark/>
          </w:tcPr>
          <w:p>
            <w:pPr>
              <w:pStyle w:val="Odsekzoznamu"/>
              <w:numPr>
                <w:ilvl w:val="0"/>
                <w:numId w:val="1"/>
              </w:num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4"/>
                <w:szCs w:val="20"/>
              </w:rPr>
              <w:t>Podanie žiadosti o poskytnutie príspevku na vzdelávanie zamestnancov</w:t>
            </w:r>
          </w:p>
        </w:tc>
      </w:tr>
      <w:tr>
        <w:trPr>
          <w:trHeight w:val="22"/>
          <w:jc w:val="center"/>
        </w:trPr>
        <w:tc>
          <w:tcPr>
            <w:tcW w:w="5000" w:type="pct"/>
            <w:noWrap/>
            <w:vAlign w:val="center"/>
            <w:hideMark/>
          </w:tcPr>
          <w:p>
            <w:pPr>
              <w:pStyle w:val="Odsekzoznamu"/>
              <w:ind w:left="360"/>
              <w:jc w:val="both"/>
              <w:rPr>
                <w:rFonts w:cs="Times New Roman"/>
                <w:color w:val="0070C0"/>
                <w:sz w:val="6"/>
                <w:szCs w:val="6"/>
              </w:rPr>
            </w:pP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 xml:space="preserve">Ak má zamestnávateľ záujem získať príspevok na vzdelávanie zamestnancov, požiada o príspevok  príslušný úrad. Rozhodujúcou skutočnosťou pre podanie žiadosti je miesto výkonu práce vzdelávaných zamestnancov, resp. väčšiny vzdelávaných zamestnancov, s prihliadnutím na efektívnosť vynaložených prostriedkov súvisiacich s miestom vzdelávania zamestnancov. 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 xml:space="preserve">Žiadosť o poskytnutie príspevku, vrátane príloh musí byť predložená na predpísanom formulári, ktorý je k dispozícií priamo na úrade alebo na webovej stránke Ústredia práce, sociálnych vecí a rodiny </w:t>
            </w:r>
            <w:hyperlink r:id="rId9" w:history="1">
              <w:r>
                <w:rPr>
                  <w:rFonts w:cs="Times New Roman"/>
                  <w:color w:val="002060"/>
                  <w:sz w:val="21"/>
                  <w:szCs w:val="21"/>
                </w:rPr>
                <w:t>www.upsvar.sk</w:t>
              </w:r>
            </w:hyperlink>
            <w:r>
              <w:rPr>
                <w:rFonts w:cs="Times New Roman"/>
                <w:color w:val="002060"/>
                <w:sz w:val="21"/>
                <w:szCs w:val="21"/>
              </w:rPr>
              <w:t xml:space="preserve">. 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 xml:space="preserve">Spolu so žiadosťou predkladá zamestnávateľ aj prílohy. 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>V rámci jednej žiadosti je možné žiadať o príspevok len pre jeden druh vzdelávania zamestnancov.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>Vzdelávanie zamestnancov je možné zabezpečiť len externou formou (na základe dodávateľsko-odberateľských vzťahov). Výber dodávateľa služby vzdelávania zamestnancov je potrebné realizovať v zmysle zákona č. 343/2015 Z. z. o verejnom obstarávaní a o zmene a doplnení niektorých zákonov v znení neskorších predpisov.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 xml:space="preserve">Úrad môže zamestnávateľovi poskytnúť pomoc vo výške, ktorá nepresahuje 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50 % oprávnených nákladov na vzdelávanie zamestnancov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. Táto intenzita pomoci sa môže zvýšiť až na 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maximálnu intenzitu pomoci vo výške 70 % oprávnených nákladov</w:t>
            </w:r>
            <w:r>
              <w:rPr>
                <w:rFonts w:cs="Times New Roman"/>
                <w:color w:val="002060"/>
                <w:sz w:val="21"/>
                <w:szCs w:val="21"/>
              </w:rPr>
              <w:t>, a to nasledovne:</w:t>
            </w:r>
          </w:p>
          <w:p>
            <w:pPr>
              <w:pStyle w:val="Odsekzoznamu"/>
              <w:numPr>
                <w:ilvl w:val="1"/>
                <w:numId w:val="12"/>
              </w:numPr>
              <w:spacing w:after="120"/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b/>
                <w:color w:val="002060"/>
                <w:sz w:val="21"/>
                <w:szCs w:val="21"/>
              </w:rPr>
              <w:t>zvýšenie o</w:t>
            </w:r>
            <w:r>
              <w:rPr>
                <w:rFonts w:cs="Times New Roman"/>
                <w:color w:val="002060"/>
                <w:sz w:val="21"/>
                <w:szCs w:val="21"/>
              </w:rPr>
              <w:t> 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 xml:space="preserve">10 % </w:t>
            </w:r>
            <w:r>
              <w:rPr>
                <w:rFonts w:cs="Times New Roman"/>
                <w:i/>
                <w:color w:val="002060"/>
                <w:sz w:val="21"/>
                <w:szCs w:val="21"/>
              </w:rPr>
              <w:t>–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 ak sa vzdelávanie poskytuje pracovníkom so ZP alebo znevýhodneným pracovníkom,</w:t>
            </w:r>
          </w:p>
          <w:p>
            <w:pPr>
              <w:pStyle w:val="Odsekzoznamu"/>
              <w:numPr>
                <w:ilvl w:val="1"/>
                <w:numId w:val="12"/>
              </w:numPr>
              <w:spacing w:after="120"/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b/>
                <w:color w:val="002060"/>
                <w:sz w:val="21"/>
                <w:szCs w:val="21"/>
              </w:rPr>
              <w:t>zvýšenie o</w:t>
            </w:r>
            <w:r>
              <w:rPr>
                <w:rFonts w:cs="Times New Roman"/>
                <w:color w:val="002060"/>
                <w:sz w:val="21"/>
                <w:szCs w:val="21"/>
              </w:rPr>
              <w:t> 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>10 %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 </w:t>
            </w:r>
            <w:r>
              <w:rPr>
                <w:rFonts w:cs="Times New Roman"/>
                <w:i/>
                <w:color w:val="002060"/>
                <w:sz w:val="21"/>
                <w:szCs w:val="21"/>
              </w:rPr>
              <w:t>–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 ak sa vzdelávanie poskytuje zamestnancom stredných podnikov, </w:t>
            </w:r>
          </w:p>
          <w:p>
            <w:pPr>
              <w:pStyle w:val="Odsekzoznamu"/>
              <w:numPr>
                <w:ilvl w:val="1"/>
                <w:numId w:val="12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b/>
                <w:color w:val="002060"/>
                <w:sz w:val="21"/>
                <w:szCs w:val="21"/>
              </w:rPr>
              <w:t>zvýšenie o</w:t>
            </w:r>
            <w:r>
              <w:rPr>
                <w:rFonts w:cs="Times New Roman"/>
                <w:color w:val="002060"/>
                <w:sz w:val="21"/>
                <w:szCs w:val="21"/>
              </w:rPr>
              <w:t> </w:t>
            </w:r>
            <w:r>
              <w:rPr>
                <w:rFonts w:cs="Times New Roman"/>
                <w:b/>
                <w:color w:val="002060"/>
                <w:sz w:val="21"/>
                <w:szCs w:val="21"/>
              </w:rPr>
              <w:t xml:space="preserve">20 % </w:t>
            </w:r>
            <w:r>
              <w:rPr>
                <w:rFonts w:cs="Times New Roman"/>
                <w:i/>
                <w:color w:val="002060"/>
                <w:sz w:val="21"/>
                <w:szCs w:val="21"/>
              </w:rPr>
              <w:t>–</w:t>
            </w:r>
            <w:r>
              <w:rPr>
                <w:rFonts w:cs="Times New Roman"/>
                <w:color w:val="002060"/>
                <w:sz w:val="21"/>
                <w:szCs w:val="21"/>
              </w:rPr>
              <w:t xml:space="preserve"> ak sa vzdelávanie poskytuje zamestnancom malých podnikom. 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b/>
                <w:color w:val="0070C0"/>
                <w:sz w:val="21"/>
                <w:szCs w:val="21"/>
              </w:rPr>
              <w:t>Maximálna výška príspevku</w:t>
            </w:r>
            <w:r>
              <w:rPr>
                <w:rFonts w:cs="Times New Roman"/>
                <w:color w:val="0070C0"/>
                <w:sz w:val="21"/>
                <w:szCs w:val="21"/>
              </w:rPr>
              <w:t xml:space="preserve">, ktorú môže úrad poskytnúť zamestnávateľovi </w:t>
            </w:r>
            <w:r>
              <w:rPr>
                <w:rFonts w:cs="Times New Roman"/>
                <w:b/>
                <w:color w:val="0070C0"/>
                <w:sz w:val="21"/>
                <w:szCs w:val="21"/>
              </w:rPr>
              <w:t>je 2 milióny EUR</w:t>
            </w:r>
            <w:r>
              <w:rPr>
                <w:rFonts w:cs="Times New Roman"/>
                <w:color w:val="0070C0"/>
                <w:sz w:val="21"/>
                <w:szCs w:val="21"/>
              </w:rPr>
              <w:t xml:space="preserve"> na jeden projekt vzdelávania zamestnancov.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2060"/>
                <w:sz w:val="21"/>
                <w:szCs w:val="21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 xml:space="preserve">Na príspevok na vzdelávanie zamestnancov nie je právny nárok. V prípade schválenia žiadosti o poskytnutie príspevku uzatvorí úrad so zamestnávateľom dohodu o poskytnutí príspevku na vzdelávanie zamestnancov (dohoda). 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>Po uzatvorení dohody je možné začať s realizáciou vzdelávania zamestnancov.</w:t>
            </w:r>
          </w:p>
          <w:p>
            <w:pPr>
              <w:pStyle w:val="Odsekzoznamu"/>
              <w:numPr>
                <w:ilvl w:val="0"/>
                <w:numId w:val="4"/>
              </w:numPr>
              <w:jc w:val="both"/>
              <w:rPr>
                <w:rFonts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>Vzdelávanie zamestnancov musí byť realizované v súlade so schváleným projektom vzdelávania zamestnancov, kalkuláciou rozpočtu a dohodou uzatvorenou s úradom. Akékoľvek zmeny je potrebné bezodkladne oznámiť úradu, ktorý vydá k predloženej zmene písomné súhlasné alebo nesúhlasné stanovisko.</w:t>
            </w:r>
          </w:p>
        </w:tc>
      </w:tr>
      <w:tr>
        <w:trPr>
          <w:trHeight w:val="50"/>
          <w:jc w:val="center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>
            <w:pPr>
              <w:pStyle w:val="Odsekzoznamu"/>
              <w:numPr>
                <w:ilvl w:val="0"/>
                <w:numId w:val="1"/>
              </w:numPr>
              <w:spacing w:after="12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2060"/>
                <w:sz w:val="24"/>
                <w:szCs w:val="24"/>
              </w:rPr>
              <w:t xml:space="preserve">Oprávnené výdavky na vzdelávanie zamestnancov </w:t>
            </w:r>
          </w:p>
        </w:tc>
      </w:tr>
      <w:tr>
        <w:trPr>
          <w:trHeight w:val="30"/>
          <w:jc w:val="center"/>
        </w:trPr>
        <w:tc>
          <w:tcPr>
            <w:tcW w:w="5000" w:type="pct"/>
            <w:shd w:val="clear" w:color="auto" w:fill="FFFFFF" w:themeFill="background1"/>
            <w:noWrap/>
            <w:vAlign w:val="center"/>
            <w:hideMark/>
          </w:tcPr>
          <w:p>
            <w:pPr>
              <w:pStyle w:val="Odsekzoznamu"/>
              <w:numPr>
                <w:ilvl w:val="0"/>
                <w:numId w:val="2"/>
              </w:numP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 xml:space="preserve">Za oprávnené výdavky na vzdelávanie zamestnancov môžu byť považované len tie výdavky, ktoré vznikli v priamej súvislosti s plnením dohody, najskôr v deň nadobudnutia jej účinnosti, a ktoré boli </w:t>
            </w:r>
            <w:r>
              <w:rPr>
                <w:rFonts w:cs="Times New Roman"/>
                <w:color w:val="0070C0"/>
                <w:sz w:val="21"/>
                <w:szCs w:val="21"/>
              </w:rPr>
              <w:lastRenderedPageBreak/>
              <w:t>skutočne vynaložené v súlade s kalkuláciou rozpočtu vzdelávania zamestnancov. Oprávnenými výdavkami</w:t>
            </w:r>
            <w:r>
              <w:rPr>
                <w:rStyle w:val="Odkaznapoznmkupodiarou"/>
                <w:rFonts w:cs="Times New Roman"/>
                <w:color w:val="0070C0"/>
                <w:sz w:val="21"/>
                <w:szCs w:val="21"/>
              </w:rPr>
              <w:footnoteReference w:id="1"/>
            </w:r>
            <w:r>
              <w:rPr>
                <w:rFonts w:cs="Times New Roman"/>
                <w:color w:val="0070C0"/>
                <w:sz w:val="21"/>
                <w:szCs w:val="21"/>
              </w:rPr>
              <w:t xml:space="preserve"> sú: </w:t>
            </w:r>
          </w:p>
          <w:p>
            <w:pPr>
              <w:numPr>
                <w:ilvl w:val="0"/>
                <w:numId w:val="8"/>
              </w:num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Výdavky za vzdelávanie zamestnancov:</w:t>
            </w:r>
          </w:p>
          <w:p>
            <w:pPr>
              <w:pStyle w:val="Odsekzoznamu"/>
              <w:numPr>
                <w:ilvl w:val="0"/>
                <w:numId w:val="9"/>
              </w:numPr>
              <w:jc w:val="both"/>
              <w:rPr>
                <w:rFonts w:cs="Times New Roman"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>náklady na službu vzdelávania zamestnanca, ktorú poskytne zamestnávateľ dodávateľovi služieb vzdelávania</w:t>
            </w:r>
            <w:r>
              <w:rPr>
                <w:rFonts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–</w:t>
            </w:r>
            <w:r>
              <w:rPr>
                <w:rFonts w:cs="Times New Roman"/>
                <w:color w:val="0070C0"/>
                <w:sz w:val="20"/>
                <w:szCs w:val="20"/>
              </w:rPr>
              <w:t xml:space="preserve"> oprávneným výdavkom je suma vyfakturovaná externým dodávateľom, ktorý vzdelávanie zamestnancov pre zamestnávateľa zabezpečil. </w:t>
            </w:r>
          </w:p>
          <w:p>
            <w:pPr>
              <w:numPr>
                <w:ilvl w:val="0"/>
                <w:numId w:val="8"/>
              </w:num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Výdavky na vzdelávaných zamestnancov:</w:t>
            </w:r>
          </w:p>
          <w:p>
            <w:pPr>
              <w:pStyle w:val="Odsekzoznamu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>osobné (personálne) výdavky vzdelávaných zamestnancov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color w:val="0070C0"/>
                <w:sz w:val="20"/>
                <w:szCs w:val="20"/>
              </w:rPr>
              <w:t>náhrada hrubej mzdy vzdelávaných zamestnancov</w:t>
            </w:r>
            <w:r>
              <w:rPr>
                <w:rStyle w:val="Odkaznapoznmkupodiarou"/>
                <w:rFonts w:cs="Times New Roman"/>
                <w:color w:val="0070C0"/>
                <w:sz w:val="20"/>
                <w:szCs w:val="20"/>
              </w:rPr>
              <w:footnoteReference w:id="2"/>
            </w:r>
            <w:r>
              <w:rPr>
                <w:rFonts w:cs="Times New Roman"/>
                <w:color w:val="0070C0"/>
                <w:sz w:val="20"/>
                <w:szCs w:val="20"/>
              </w:rPr>
              <w:t>,</w:t>
            </w:r>
          </w:p>
          <w:p>
            <w:pPr>
              <w:pStyle w:val="Odsekzoznamu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 xml:space="preserve">cestovné výdavky na vzdelávaných zamestnancov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>–</w:t>
            </w: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70C0"/>
                <w:sz w:val="20"/>
                <w:szCs w:val="20"/>
              </w:rPr>
              <w:t>v zmysle zákona o cestovných náhradách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, </w:t>
            </w:r>
          </w:p>
          <w:p>
            <w:pPr>
              <w:pStyle w:val="Odsekzoznamu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>stravné výdavky na vzdelávaných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>zamestnancov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–  </w:t>
            </w:r>
            <w:r>
              <w:rPr>
                <w:rFonts w:cs="Times New Roman"/>
                <w:color w:val="0070C0"/>
                <w:sz w:val="20"/>
                <w:szCs w:val="20"/>
              </w:rPr>
              <w:t>v zmysle zákona o cestovných náhradách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, </w:t>
            </w:r>
          </w:p>
          <w:p>
            <w:pPr>
              <w:pStyle w:val="Odsekzoznamu"/>
              <w:numPr>
                <w:ilvl w:val="0"/>
                <w:numId w:val="9"/>
              </w:numPr>
              <w:jc w:val="both"/>
              <w:rPr>
                <w:rFonts w:cs="Times New Roman"/>
                <w:i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>výdavky na ubytovanie pre vzdelávaných zamestnancov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color w:val="0070C0"/>
                <w:sz w:val="20"/>
                <w:szCs w:val="20"/>
              </w:rPr>
              <w:t xml:space="preserve">so ZP 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–  </w:t>
            </w:r>
            <w:r>
              <w:rPr>
                <w:rFonts w:cs="Times New Roman"/>
                <w:color w:val="0070C0"/>
                <w:sz w:val="20"/>
                <w:szCs w:val="20"/>
              </w:rPr>
              <w:t>v zmysle zákona o cestovných náhradách</w:t>
            </w:r>
            <w:r>
              <w:rPr>
                <w:rFonts w:cs="Times New Roman"/>
                <w:i/>
                <w:color w:val="0070C0"/>
                <w:sz w:val="20"/>
                <w:szCs w:val="20"/>
              </w:rPr>
              <w:t xml:space="preserve"> – len v prípade, ak zamestnávateľ vykonáva hospodársku činnosť. </w:t>
            </w:r>
          </w:p>
          <w:p>
            <w:pPr>
              <w:numPr>
                <w:ilvl w:val="0"/>
                <w:numId w:val="8"/>
              </w:num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Ostatné preukázané výdavky vynaložené zamestnávateľom na vzdelávanie zamestnancov: </w:t>
            </w:r>
          </w:p>
          <w:p>
            <w:pPr>
              <w:numPr>
                <w:ilvl w:val="0"/>
                <w:numId w:val="6"/>
              </w:numPr>
              <w:ind w:left="106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výdavky na materiál a dodávky priamo súvisiace so vzdelávaním</w:t>
            </w:r>
            <w:r>
              <w:rPr>
                <w:color w:val="0070C0"/>
                <w:sz w:val="20"/>
                <w:szCs w:val="20"/>
              </w:rPr>
              <w:t xml:space="preserve"> – ide o tovary, služby a prácu súvisiacu s projektom vzdelávania, v prípade ak sa preukáže že ide o nevyhnutné výdavky (napr. kúpa materiálu potrebného na vzdelávanie – </w:t>
            </w:r>
            <w:r>
              <w:rPr>
                <w:i/>
                <w:color w:val="0070C0"/>
                <w:sz w:val="20"/>
                <w:szCs w:val="20"/>
              </w:rPr>
              <w:t>skrutky, plasty, látky na šitie, frézy a pod</w:t>
            </w:r>
            <w:r>
              <w:rPr>
                <w:color w:val="0070C0"/>
                <w:sz w:val="20"/>
                <w:szCs w:val="20"/>
              </w:rPr>
              <w:t>.),</w:t>
            </w:r>
          </w:p>
          <w:p>
            <w:pPr>
              <w:numPr>
                <w:ilvl w:val="0"/>
                <w:numId w:val="6"/>
              </w:numPr>
              <w:ind w:left="106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náklady na potrebnú výbavu účastníkov vzdelávania</w:t>
            </w:r>
            <w:r>
              <w:rPr>
                <w:color w:val="0070C0"/>
                <w:sz w:val="20"/>
                <w:szCs w:val="20"/>
              </w:rPr>
              <w:t xml:space="preserve">  – učebnice a učebné pomôcky </w:t>
            </w:r>
            <w:r>
              <w:rPr>
                <w:b/>
                <w:color w:val="0070C0"/>
                <w:sz w:val="20"/>
                <w:szCs w:val="20"/>
              </w:rPr>
              <w:t>najviac vo výške 49,80 €</w:t>
            </w:r>
            <w:r>
              <w:rPr>
                <w:color w:val="0070C0"/>
                <w:sz w:val="20"/>
                <w:szCs w:val="20"/>
              </w:rPr>
              <w:t xml:space="preserve"> na jedného vzdelávaného zamestnanca,</w:t>
            </w:r>
          </w:p>
          <w:p>
            <w:pPr>
              <w:numPr>
                <w:ilvl w:val="0"/>
                <w:numId w:val="6"/>
              </w:numPr>
              <w:ind w:left="106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odpisy nástrojov a vybavenia</w:t>
            </w:r>
            <w:r>
              <w:rPr>
                <w:color w:val="0070C0"/>
                <w:sz w:val="20"/>
                <w:szCs w:val="20"/>
              </w:rPr>
              <w:t xml:space="preserve"> – ak sa používajú výlučne na vzdelávanie zamestnancov (iba, ak má zamestnávateľ nástroje a vybavenie vo vlastníctve a len počas trvania vzdelávania zamestnancov),</w:t>
            </w:r>
          </w:p>
          <w:p>
            <w:pPr>
              <w:numPr>
                <w:ilvl w:val="0"/>
                <w:numId w:val="5"/>
              </w:numPr>
              <w:ind w:left="1068"/>
              <w:jc w:val="both"/>
              <w:rPr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výdavky na poradenské a konzultačné služby súvisiace s projektom vzdelávania</w:t>
            </w:r>
            <w:r>
              <w:rPr>
                <w:color w:val="0070C0"/>
                <w:sz w:val="20"/>
                <w:szCs w:val="20"/>
              </w:rPr>
              <w:t xml:space="preserve"> – oprávneným výdavkom sú služby súvisiace s poradenstvom v oblasti projektu vzdelávania, komunikácie s úradom, vypracovania žiadosti o úhradu platby a pod.,</w:t>
            </w:r>
          </w:p>
          <w:p>
            <w:pPr>
              <w:numPr>
                <w:ilvl w:val="0"/>
                <w:numId w:val="6"/>
              </w:numPr>
              <w:ind w:left="106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všeobecné nepriame výdavky</w:t>
            </w:r>
            <w:r>
              <w:rPr>
                <w:color w:val="0070C0"/>
                <w:sz w:val="20"/>
                <w:szCs w:val="20"/>
              </w:rPr>
              <w:t xml:space="preserve">  – napr. administratívne výdavky, prenájom, réžia – za režijné výdavky sa pokladajú nepriame výdavky, ktoré majú charakter bežných výdavkov (napr. prevádzková réžia),</w:t>
            </w:r>
          </w:p>
          <w:p>
            <w:pPr>
              <w:numPr>
                <w:ilvl w:val="0"/>
                <w:numId w:val="6"/>
              </w:numPr>
              <w:ind w:left="1068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náklady na poistenie pre prípad škody spôsobenej zamestnancom, ktoré vznikajú zariadeniu na vzdelávanie</w:t>
            </w:r>
            <w:r>
              <w:rPr>
                <w:color w:val="0070C0"/>
                <w:sz w:val="20"/>
                <w:szCs w:val="20"/>
              </w:rPr>
              <w:t xml:space="preserve">  – len v prípade, ak zamestnávateľ nevykonáva hospodársku činnosť  sú oprávneným výdavkom výdavky na poistenie uzatvorené na dobu trvania vzdelávania zamestnancov</w:t>
            </w:r>
            <w:r>
              <w:rPr>
                <w:i/>
                <w:color w:val="0070C0"/>
                <w:sz w:val="20"/>
                <w:szCs w:val="20"/>
              </w:rPr>
              <w:t>,</w:t>
            </w:r>
          </w:p>
          <w:p>
            <w:pPr>
              <w:numPr>
                <w:ilvl w:val="0"/>
                <w:numId w:val="10"/>
              </w:numPr>
              <w:ind w:left="1068"/>
              <w:jc w:val="both"/>
              <w:rPr>
                <w:color w:val="0070C0"/>
                <w:sz w:val="20"/>
                <w:szCs w:val="20"/>
              </w:rPr>
            </w:pPr>
            <w:r>
              <w:rPr>
                <w:b/>
                <w:i/>
                <w:color w:val="0070C0"/>
                <w:sz w:val="20"/>
                <w:szCs w:val="20"/>
              </w:rPr>
              <w:t>náklady na poistenie súvisiace so vzdelávaním zamestnancov v zahraničí</w:t>
            </w:r>
            <w:r>
              <w:rPr>
                <w:color w:val="0070C0"/>
                <w:sz w:val="20"/>
                <w:szCs w:val="20"/>
              </w:rPr>
              <w:t xml:space="preserve"> – len v prípade, ak zamestnávateľ nevykonáva hospodársku činnosť  sú oprávneným výdavkom výdavky na poistenie uzatvorené na dobu trvania vzdelávania zamestnancov v zahraničí.</w:t>
            </w:r>
          </w:p>
          <w:p>
            <w:pPr>
              <w:numPr>
                <w:ilvl w:val="0"/>
                <w:numId w:val="8"/>
              </w:numPr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Výdavky za sprievod vzdelávaných  zamestnancov so ZP:</w:t>
            </w:r>
          </w:p>
          <w:p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preukázané cestovné výdavky, stravné výdavky a výdavky na ubytovanie  fyzickej osoby, ktorá vykonáva sprievod vzdelávanému zamestnancovi so ZP – oprávnený výdavok podľa  zákona o cestovných náhradách.</w:t>
            </w:r>
          </w:p>
          <w:p>
            <w:pPr>
              <w:ind w:left="1068"/>
              <w:jc w:val="both"/>
              <w:rPr>
                <w:sz w:val="6"/>
                <w:szCs w:val="6"/>
              </w:rPr>
            </w:pPr>
          </w:p>
        </w:tc>
      </w:tr>
      <w:tr>
        <w:trPr>
          <w:trHeight w:val="30"/>
          <w:jc w:val="center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>
            <w:pPr>
              <w:pStyle w:val="Odsekzoznamu"/>
              <w:numPr>
                <w:ilvl w:val="0"/>
                <w:numId w:val="1"/>
              </w:numPr>
              <w:spacing w:after="120"/>
              <w:rPr>
                <w:rFonts w:cs="Times New Roman"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4"/>
                <w:szCs w:val="20"/>
              </w:rPr>
              <w:lastRenderedPageBreak/>
              <w:t>Refundácia nákladov vynaložených na vzdelávanie zamestnancov</w:t>
            </w:r>
          </w:p>
        </w:tc>
      </w:tr>
      <w:tr>
        <w:trPr>
          <w:trHeight w:val="30"/>
          <w:jc w:val="center"/>
        </w:trPr>
        <w:tc>
          <w:tcPr>
            <w:tcW w:w="5000" w:type="pct"/>
            <w:shd w:val="clear" w:color="auto" w:fill="FFFFFF" w:themeFill="background1"/>
            <w:noWrap/>
            <w:vAlign w:val="center"/>
          </w:tcPr>
          <w:p>
            <w:pPr>
              <w:pStyle w:val="Odsekzoznamu"/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rFonts w:cs="Times New Roman"/>
                <w:color w:val="0070C0"/>
                <w:sz w:val="21"/>
                <w:szCs w:val="21"/>
              </w:rPr>
            </w:pPr>
            <w:r>
              <w:rPr>
                <w:rFonts w:cs="Times New Roman"/>
                <w:color w:val="0070C0"/>
                <w:sz w:val="21"/>
                <w:szCs w:val="21"/>
              </w:rPr>
              <w:t>Najneskôr do 30 kalendárnych dní od ukončenia vzdelávania zamestnancov je zamestnávateľ povinný úradu odovzdať doklady potrebné k refundácii nákladov za vzdelávanie zamestnancov, ktoré sú vyšpecifikované v dohode.</w:t>
            </w:r>
          </w:p>
          <w:p>
            <w:pPr>
              <w:pStyle w:val="Odsekzoznamu"/>
              <w:numPr>
                <w:ilvl w:val="0"/>
                <w:numId w:val="2"/>
              </w:numPr>
              <w:pBdr>
                <w:bottom w:val="single" w:sz="4" w:space="1" w:color="auto"/>
              </w:pBdr>
              <w:jc w:val="both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color w:val="002060"/>
                <w:sz w:val="21"/>
                <w:szCs w:val="21"/>
              </w:rPr>
              <w:t>Do 30 kalendárnych dní odo dňa predloženia kompletných dokladov, úrad refunduje zamestnávateľovi  výdavky za vzdelávanie zamestnancov formou poskytnutia príspevku na vzdelávanie zamestnancov.</w:t>
            </w:r>
          </w:p>
        </w:tc>
      </w:tr>
    </w:tbl>
    <w:p/>
    <w:sectPr>
      <w:footerReference w:type="default" r:id="rId10"/>
      <w:pgSz w:w="11906" w:h="16838"/>
      <w:pgMar w:top="568" w:right="1417" w:bottom="1134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  <w:pBdr>
        <w:top w:val="single" w:sz="4" w:space="1" w:color="A5A5A5" w:themeColor="background1" w:themeShade="A5"/>
      </w:pBdr>
      <w:jc w:val="right"/>
      <w:rPr>
        <w:color w:val="0070C0"/>
      </w:rPr>
    </w:pPr>
    <w:r>
      <w:rPr>
        <w:noProof/>
        <w:color w:val="FFFFFF" w:themeColor="background1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5850890</wp:posOffset>
              </wp:positionH>
              <wp:positionV relativeFrom="paragraph">
                <wp:posOffset>-548005</wp:posOffset>
              </wp:positionV>
              <wp:extent cx="725805" cy="286385"/>
              <wp:effectExtent l="0" t="0" r="0" b="0"/>
              <wp:wrapNone/>
              <wp:docPr id="423" name="Group 4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5805" cy="286385"/>
                        <a:chOff x="-6" y="3399"/>
                        <a:chExt cx="12197" cy="4253"/>
                      </a:xfrm>
                    </wpg:grpSpPr>
                    <wpg:grpSp>
                      <wpg:cNvPr id="424" name="Group 424"/>
                      <wpg:cNvGrpSpPr>
                        <a:grpSpLocks noChangeAspect="1"/>
                      </wpg:cNvGrpSpPr>
                      <wpg:grpSpPr bwMode="auto">
                        <a:xfrm>
                          <a:off x="-6" y="3717"/>
                          <a:ext cx="12189" cy="3550"/>
                          <a:chOff x="18" y="7468"/>
                          <a:chExt cx="12189" cy="3550"/>
                        </a:xfrm>
                      </wpg:grpSpPr>
                      <wps:wsp>
                        <wps:cNvPr id="425" name="Freeform 425"/>
                        <wps:cNvSpPr>
                          <a:spLocks noChangeAspect="1"/>
                        </wps:cNvSpPr>
                        <wps:spPr bwMode="auto">
                          <a:xfrm>
                            <a:off x="18" y="7837"/>
                            <a:ext cx="7132" cy="28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2863"/>
                              </a:cxn>
                              <a:cxn ang="0">
                                <a:pos x="7132" y="2578"/>
                              </a:cxn>
                              <a:cxn ang="0">
                                <a:pos x="7132" y="20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7132" h="2863">
                                <a:moveTo>
                                  <a:pt x="0" y="0"/>
                                </a:moveTo>
                                <a:lnTo>
                                  <a:pt x="17" y="2863"/>
                                </a:lnTo>
                                <a:lnTo>
                                  <a:pt x="7132" y="2578"/>
                                </a:lnTo>
                                <a:lnTo>
                                  <a:pt x="7132" y="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5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6"/>
                        <wps:cNvSpPr>
                          <a:spLocks noChangeAspect="1"/>
                        </wps:cNvSpPr>
                        <wps:spPr bwMode="auto">
                          <a:xfrm>
                            <a:off x="7150" y="7468"/>
                            <a:ext cx="3466" cy="35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69"/>
                              </a:cxn>
                              <a:cxn ang="0">
                                <a:pos x="0" y="2930"/>
                              </a:cxn>
                              <a:cxn ang="0">
                                <a:pos x="3466" y="3550"/>
                              </a:cxn>
                              <a:cxn ang="0">
                                <a:pos x="3466" y="0"/>
                              </a:cxn>
                              <a:cxn ang="0">
                                <a:pos x="0" y="569"/>
                              </a:cxn>
                            </a:cxnLst>
                            <a:rect l="0" t="0" r="r" b="b"/>
                            <a:pathLst>
                              <a:path w="3466" h="3550">
                                <a:moveTo>
                                  <a:pt x="0" y="569"/>
                                </a:moveTo>
                                <a:lnTo>
                                  <a:pt x="0" y="2930"/>
                                </a:lnTo>
                                <a:lnTo>
                                  <a:pt x="3466" y="3550"/>
                                </a:lnTo>
                                <a:lnTo>
                                  <a:pt x="3466" y="0"/>
                                </a:lnTo>
                                <a:lnTo>
                                  <a:pt x="0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5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 noChangeAspect="1"/>
                        </wps:cNvSpPr>
                        <wps:spPr bwMode="auto">
                          <a:xfrm>
                            <a:off x="10616" y="7468"/>
                            <a:ext cx="1591" cy="35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3550"/>
                              </a:cxn>
                              <a:cxn ang="0">
                                <a:pos x="1591" y="2746"/>
                              </a:cxn>
                              <a:cxn ang="0">
                                <a:pos x="1591" y="737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591" h="3550">
                                <a:moveTo>
                                  <a:pt x="0" y="0"/>
                                </a:moveTo>
                                <a:lnTo>
                                  <a:pt x="0" y="3550"/>
                                </a:lnTo>
                                <a:lnTo>
                                  <a:pt x="1591" y="2746"/>
                                </a:lnTo>
                                <a:lnTo>
                                  <a:pt x="1591" y="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5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28" name="Freeform 428"/>
                      <wps:cNvSpPr>
                        <a:spLocks noChangeAspect="1"/>
                      </wps:cNvSpPr>
                      <wps:spPr bwMode="auto">
                        <a:xfrm>
                          <a:off x="8071" y="4069"/>
                          <a:ext cx="4120" cy="291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" y="251"/>
                            </a:cxn>
                            <a:cxn ang="0">
                              <a:pos x="0" y="2662"/>
                            </a:cxn>
                            <a:cxn ang="0">
                              <a:pos x="4120" y="2913"/>
                            </a:cxn>
                            <a:cxn ang="0">
                              <a:pos x="4120" y="0"/>
                            </a:cxn>
                            <a:cxn ang="0">
                              <a:pos x="1" y="251"/>
                            </a:cxn>
                          </a:cxnLst>
                          <a:rect l="0" t="0" r="r" b="b"/>
                          <a:pathLst>
                            <a:path w="4120" h="2913">
                              <a:moveTo>
                                <a:pt x="1" y="251"/>
                              </a:moveTo>
                              <a:lnTo>
                                <a:pt x="0" y="2662"/>
                              </a:lnTo>
                              <a:lnTo>
                                <a:pt x="4120" y="2913"/>
                              </a:lnTo>
                              <a:lnTo>
                                <a:pt x="4120" y="0"/>
                              </a:lnTo>
                              <a:lnTo>
                                <a:pt x="1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429"/>
                      <wps:cNvSpPr>
                        <a:spLocks noChangeAspect="1"/>
                      </wps:cNvSpPr>
                      <wps:spPr bwMode="auto">
                        <a:xfrm>
                          <a:off x="4104" y="3399"/>
                          <a:ext cx="3985" cy="42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4236"/>
                            </a:cxn>
                            <a:cxn ang="0">
                              <a:pos x="3985" y="3349"/>
                            </a:cxn>
                            <a:cxn ang="0">
                              <a:pos x="3985" y="921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3985" h="4236">
                              <a:moveTo>
                                <a:pt x="0" y="0"/>
                              </a:moveTo>
                              <a:lnTo>
                                <a:pt x="0" y="4236"/>
                              </a:lnTo>
                              <a:lnTo>
                                <a:pt x="3985" y="3349"/>
                              </a:lnTo>
                              <a:lnTo>
                                <a:pt x="3985" y="9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430"/>
                      <wps:cNvSpPr>
                        <a:spLocks noChangeAspect="1"/>
                      </wps:cNvSpPr>
                      <wps:spPr bwMode="auto">
                        <a:xfrm>
                          <a:off x="18" y="3399"/>
                          <a:ext cx="4086" cy="42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086" y="0"/>
                            </a:cxn>
                            <a:cxn ang="0">
                              <a:pos x="4084" y="4253"/>
                            </a:cxn>
                            <a:cxn ang="0">
                              <a:pos x="0" y="3198"/>
                            </a:cxn>
                            <a:cxn ang="0">
                              <a:pos x="0" y="1072"/>
                            </a:cxn>
                            <a:cxn ang="0">
                              <a:pos x="4086" y="0"/>
                            </a:cxn>
                          </a:cxnLst>
                          <a:rect l="0" t="0" r="r" b="b"/>
                          <a:pathLst>
                            <a:path w="4086" h="4253">
                              <a:moveTo>
                                <a:pt x="4086" y="0"/>
                              </a:moveTo>
                              <a:lnTo>
                                <a:pt x="4084" y="4253"/>
                              </a:lnTo>
                              <a:lnTo>
                                <a:pt x="0" y="3198"/>
                              </a:lnTo>
                              <a:lnTo>
                                <a:pt x="0" y="1072"/>
                              </a:lnTo>
                              <a:lnTo>
                                <a:pt x="4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431"/>
                      <wps:cNvSpPr>
                        <a:spLocks noChangeAspect="1"/>
                      </wps:cNvSpPr>
                      <wps:spPr bwMode="auto">
                        <a:xfrm>
                          <a:off x="17" y="3617"/>
                          <a:ext cx="2076" cy="38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921"/>
                            </a:cxn>
                            <a:cxn ang="0">
                              <a:pos x="2060" y="0"/>
                            </a:cxn>
                            <a:cxn ang="0">
                              <a:pos x="2076" y="3851"/>
                            </a:cxn>
                            <a:cxn ang="0">
                              <a:pos x="0" y="2981"/>
                            </a:cxn>
                            <a:cxn ang="0">
                              <a:pos x="0" y="921"/>
                            </a:cxn>
                          </a:cxnLst>
                          <a:rect l="0" t="0" r="r" b="b"/>
                          <a:pathLst>
                            <a:path w="2076" h="3851">
                              <a:moveTo>
                                <a:pt x="0" y="921"/>
                              </a:moveTo>
                              <a:lnTo>
                                <a:pt x="2060" y="0"/>
                              </a:lnTo>
                              <a:lnTo>
                                <a:pt x="2076" y="3851"/>
                              </a:lnTo>
                              <a:lnTo>
                                <a:pt x="0" y="2981"/>
                              </a:lnTo>
                              <a:lnTo>
                                <a:pt x="0" y="9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FEE">
                            <a:alpha val="7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432"/>
                      <wps:cNvSpPr>
                        <a:spLocks noChangeAspect="1"/>
                      </wps:cNvSpPr>
                      <wps:spPr bwMode="auto">
                        <a:xfrm>
                          <a:off x="2077" y="3617"/>
                          <a:ext cx="6011" cy="38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7" y="3835"/>
                            </a:cxn>
                            <a:cxn ang="0">
                              <a:pos x="6011" y="2629"/>
                            </a:cxn>
                            <a:cxn ang="0">
                              <a:pos x="6011" y="1239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6011" h="3835">
                              <a:moveTo>
                                <a:pt x="0" y="0"/>
                              </a:moveTo>
                              <a:lnTo>
                                <a:pt x="17" y="3835"/>
                              </a:lnTo>
                              <a:lnTo>
                                <a:pt x="6011" y="2629"/>
                              </a:lnTo>
                              <a:lnTo>
                                <a:pt x="6011" y="12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BFDE">
                            <a:alpha val="7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433"/>
                      <wps:cNvSpPr>
                        <a:spLocks noChangeAspect="1"/>
                      </wps:cNvSpPr>
                      <wps:spPr bwMode="auto">
                        <a:xfrm>
                          <a:off x="8088" y="3835"/>
                          <a:ext cx="4102" cy="34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038"/>
                            </a:cxn>
                            <a:cxn ang="0">
                              <a:pos x="0" y="2411"/>
                            </a:cxn>
                            <a:cxn ang="0">
                              <a:pos x="4102" y="3432"/>
                            </a:cxn>
                            <a:cxn ang="0">
                              <a:pos x="4102" y="0"/>
                            </a:cxn>
                            <a:cxn ang="0">
                              <a:pos x="0" y="1038"/>
                            </a:cxn>
                          </a:cxnLst>
                          <a:rect l="0" t="0" r="r" b="b"/>
                          <a:pathLst>
                            <a:path w="4102" h="3432">
                              <a:moveTo>
                                <a:pt x="0" y="1038"/>
                              </a:moveTo>
                              <a:lnTo>
                                <a:pt x="0" y="2411"/>
                              </a:lnTo>
                              <a:lnTo>
                                <a:pt x="4102" y="3432"/>
                              </a:lnTo>
                              <a:lnTo>
                                <a:pt x="4102" y="0"/>
                              </a:lnTo>
                              <a:lnTo>
                                <a:pt x="0" y="10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FEE">
                            <a:alpha val="7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3" o:spid="_x0000_s1026" style="position:absolute;margin-left:460.7pt;margin-top:-43.15pt;width:57.15pt;height:22.55pt;z-index:251659264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">
              <o:lock v:ext="edit" aspectratio="t"/>
              <v:group id="Group 424" o:spid="_x0000_s1027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<o:lock v:ext="edit" aspectratio="t"/>
                <v:shape id="Freeform 425" o:spid="_x0000_s1028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  <o:lock v:ext="edit" aspectratio="t"/>
                </v:shape>
                <v:shape id="Freeform 426" o:spid="_x0000_s1029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  <o:lock v:ext="edit" aspectratio="t"/>
                </v:shape>
                <v:shape id="Freeform 427" o:spid="_x0000_s1030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  <o:lock v:ext="edit" aspectratio="t"/>
                </v:shape>
              </v:group>
              <v:shape id="Freeform 428" o:spid="_x0000_s1031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<v:path arrowok="t" o:connecttype="custom" o:connectlocs="1,251;0,2662;4120,2913;4120,0;1,251" o:connectangles="0,0,0,0,0"/>
                <o:lock v:ext="edit" aspectratio="t"/>
              </v:shape>
              <v:shape id="Freeform 429" o:spid="_x0000_s1032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  <v:path arrowok="t" o:connecttype="custom" o:connectlocs="0,0;0,4236;3985,3349;3985,921;0,0" o:connectangles="0,0,0,0,0"/>
                <o:lock v:ext="edit" aspectratio="t"/>
              </v:shape>
              <v:shape id="Freeform 430" o:spid="_x0000_s103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<v:path arrowok="t" o:connecttype="custom" o:connectlocs="4086,0;4084,4253;0,3198;0,1072;4086,0" o:connectangles="0,0,0,0,0"/>
                <o:lock v:ext="edit" aspectratio="t"/>
              </v:shape>
              <v:shape id="Freeform 431" o:spid="_x0000_s103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<v:fill opacity="46003f"/>
                <v:path arrowok="t" o:connecttype="custom" o:connectlocs="0,921;2060,0;2076,3851;0,2981;0,921" o:connectangles="0,0,0,0,0"/>
                <o:lock v:ext="edit" aspectratio="t"/>
              </v:shape>
              <v:shape id="Freeform 432" o:spid="_x0000_s1035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  <v:fill opacity="46003f"/>
                <v:path arrowok="t" o:connecttype="custom" o:connectlocs="0,0;17,3835;6011,2629;6011,1239;0,0" o:connectangles="0,0,0,0,0"/>
                <o:lock v:ext="edit" aspectratio="t"/>
              </v:shape>
              <v:shape id="Freeform 433" o:spid="_x0000_s1036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  <o:lock v:ext="edit" aspectratio="t"/>
              </v:shape>
            </v:group>
          </w:pict>
        </mc:Fallback>
      </mc:AlternateContent>
    </w:r>
    <w:sdt>
      <w:sdtPr>
        <w:rPr>
          <w:i/>
          <w:color w:val="0070C0"/>
          <w:sz w:val="20"/>
        </w:rPr>
        <w:alias w:val="Spoločnosť"/>
        <w:id w:val="76161118"/>
        <w:placeholder>
          <w:docPart w:val="C8558ED33D6F46A0826E7B793821CB3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i/>
            <w:color w:val="0070C0"/>
            <w:sz w:val="20"/>
          </w:rPr>
          <w:t>Bližšie informácie poskytne príslušný úrad práce, sociálnych vecí a rodiny.</w:t>
        </w:r>
      </w:sdtContent>
    </w:sdt>
  </w:p>
  <w:p>
    <w:pPr>
      <w:pStyle w:val="Pt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eastAsia="Times New Roman" w:cs="Times New Roman"/>
          <w:i/>
          <w:sz w:val="16"/>
          <w:szCs w:val="16"/>
          <w:lang w:eastAsia="sk-SK"/>
        </w:rPr>
        <w:t>Platiteľ DPH:</w:t>
      </w:r>
    </w:p>
    <w:p>
      <w:pPr>
        <w:spacing w:after="0" w:line="240" w:lineRule="auto"/>
        <w:ind w:left="142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>a) Zamestnávateľ, ktorý má nárok na vrátenie DPH, uvedie vo vyúčtovaní oprávnených výdavkov všetky sumy bez DPH, aj sumy s DPH, pričom oprávneným výdavkom sú sumy bez DPH. DPH je považovaná za neoprávnený výdavok.</w:t>
      </w:r>
    </w:p>
    <w:p>
      <w:pPr>
        <w:spacing w:after="0" w:line="240" w:lineRule="auto"/>
        <w:ind w:left="142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>b) Zamestnávateľ, ktorý nemá nárok na vrátenie DPH, uvedie vo vyúčtovaní oprávnených výdavkov všetky sumy bez DPH, aj sumy s DPH, pričom oprávneným výdavkom sú sumy s DPH. DPH je považovaná za oprávnený výdavok.</w:t>
      </w:r>
    </w:p>
    <w:p>
      <w:pPr>
        <w:spacing w:after="0" w:line="240" w:lineRule="auto"/>
        <w:ind w:left="142"/>
        <w:contextualSpacing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>V prípade, ak zamestnávateľ nemá nárok na vrátenie DPH v plnej výške pri danom</w:t>
      </w:r>
      <w:bookmarkStart w:id="0" w:name="_GoBack"/>
      <w:bookmarkEnd w:id="0"/>
      <w:r>
        <w:rPr>
          <w:rFonts w:eastAsia="Times New Roman" w:cs="Times New Roman"/>
          <w:i/>
          <w:sz w:val="16"/>
          <w:szCs w:val="16"/>
          <w:lang w:eastAsia="sk-SK"/>
        </w:rPr>
        <w:t xml:space="preserve"> prijatom plnení v súlade so zákonom o DPH, túto skutočnosť preukazuje vedením záznamov v členení na tovary a služby s možnosťou odpočítania dane, bez možnosti odpočítania dane a s možnosťou pomerného odpočítania dane v zmysle ustanovenia § 70 ods. 1 zákona o DPH.</w:t>
      </w:r>
    </w:p>
    <w:p>
      <w:pPr>
        <w:spacing w:after="0" w:line="240" w:lineRule="auto"/>
        <w:ind w:left="142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>Neplatiteľ DPH:</w:t>
      </w:r>
    </w:p>
    <w:p>
      <w:pPr>
        <w:numPr>
          <w:ilvl w:val="0"/>
          <w:numId w:val="14"/>
        </w:numPr>
        <w:spacing w:after="0" w:line="240" w:lineRule="auto"/>
        <w:ind w:left="284" w:hanging="142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 xml:space="preserve">uvedie vo vyúčtovaní oprávnených výdavkov tam, kde je to relevantné, sumy s DPH (ak uhradil zamestnávateľ oprávnené výdavky s DPH platiteľovi DPH). DPH považovaná za oprávnený výdavok. </w:t>
      </w:r>
    </w:p>
    <w:p>
      <w:pPr>
        <w:numPr>
          <w:ilvl w:val="0"/>
          <w:numId w:val="14"/>
        </w:numPr>
        <w:spacing w:after="0" w:line="240" w:lineRule="auto"/>
        <w:ind w:left="284" w:hanging="142"/>
        <w:jc w:val="both"/>
      </w:pPr>
      <w:r>
        <w:rPr>
          <w:rFonts w:eastAsia="Times New Roman" w:cs="Times New Roman"/>
          <w:i/>
          <w:sz w:val="16"/>
          <w:szCs w:val="16"/>
          <w:lang w:eastAsia="sk-SK"/>
        </w:rPr>
        <w:t>uvedie vo vyúčtovaní oprávnených výdavkov tam, kde je to relevantné, sumy bez DPH (ak uhradil zamestnávateľ oprávnené výdavky bez DPH neplatiteľovi DPH). DPH je považovaná za neoprávnený výdavok.</w:t>
      </w:r>
    </w:p>
  </w:footnote>
  <w:footnote w:id="2">
    <w:p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Pri predložení žiadosti o úhradu platby v prípade, ak 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 </w:t>
      </w:r>
      <w:r>
        <w:rPr>
          <w:rFonts w:eastAsia="Times New Roman" w:cs="Times New Roman"/>
          <w:i/>
          <w:sz w:val="16"/>
          <w:szCs w:val="16"/>
          <w:lang w:eastAsia="sk-SK"/>
        </w:rPr>
        <w:t>z</w:t>
      </w:r>
      <w:r>
        <w:rPr>
          <w:rFonts w:eastAsia="Times New Roman" w:cs="Times New Roman"/>
          <w:i/>
          <w:sz w:val="16"/>
          <w:szCs w:val="16"/>
          <w:lang w:eastAsia="sk-SK"/>
        </w:rPr>
        <w:t>amestnanec ne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bude mať 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na výplatnej páske osobitne uvedenú náhradu hrubej mzdy za vzdelávanie, je potrebné </w:t>
      </w:r>
      <w:r>
        <w:rPr>
          <w:rFonts w:eastAsia="Times New Roman" w:cs="Times New Roman"/>
          <w:i/>
          <w:sz w:val="16"/>
          <w:szCs w:val="16"/>
          <w:lang w:eastAsia="sk-SK"/>
        </w:rPr>
        <w:t>zo strany zamestnávateľa predloženie priemerného zárobku zamestnanca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 </w:t>
      </w:r>
      <w:r>
        <w:rPr>
          <w:rFonts w:eastAsia="Times New Roman" w:cs="Times New Roman"/>
          <w:i/>
          <w:sz w:val="16"/>
          <w:szCs w:val="16"/>
          <w:lang w:eastAsia="sk-SK"/>
        </w:rPr>
        <w:t xml:space="preserve">za </w:t>
      </w:r>
      <w:r>
        <w:rPr>
          <w:rFonts w:eastAsia="Times New Roman" w:cs="Times New Roman"/>
          <w:i/>
          <w:sz w:val="16"/>
          <w:szCs w:val="16"/>
          <w:lang w:eastAsia="sk-SK"/>
        </w:rPr>
        <w:t>predchádzajúci kalendárny štvrťrok a vyčíslenie náhrady hrubej mzdy za vzdelávanie v sume hodín, na ktorých sa zamestnanec zúčastňoval na vzdelávaní.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sk-S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64"/>
    <w:multiLevelType w:val="hybridMultilevel"/>
    <w:tmpl w:val="13C6D100"/>
    <w:lvl w:ilvl="0" w:tplc="54E0A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036C3"/>
    <w:multiLevelType w:val="hybridMultilevel"/>
    <w:tmpl w:val="2EC0ECA0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EA1EF9"/>
    <w:multiLevelType w:val="hybridMultilevel"/>
    <w:tmpl w:val="2098E6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0D25"/>
    <w:multiLevelType w:val="hybridMultilevel"/>
    <w:tmpl w:val="AB04472A"/>
    <w:lvl w:ilvl="0" w:tplc="AB5A4D76">
      <w:start w:val="1"/>
      <w:numFmt w:val="lowerLetter"/>
      <w:lvlText w:val="%1)"/>
      <w:lvlJc w:val="left"/>
      <w:pPr>
        <w:ind w:left="502" w:hanging="360"/>
      </w:pPr>
      <w:rPr>
        <w:rFonts w:asciiTheme="minorHAnsi" w:eastAsia="Times New Roman" w:hAnsiTheme="minorHAnsi" w:cs="Times New Roman" w:hint="default"/>
        <w:b w:val="0"/>
        <w:bCs w:val="0"/>
        <w:i/>
        <w:iCs w:val="0"/>
        <w:strike w:val="0"/>
        <w:dstrike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5B31BAE"/>
    <w:multiLevelType w:val="hybridMultilevel"/>
    <w:tmpl w:val="C6844DAC"/>
    <w:lvl w:ilvl="0" w:tplc="1A2C6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84E05"/>
    <w:multiLevelType w:val="hybridMultilevel"/>
    <w:tmpl w:val="E3ACE910"/>
    <w:lvl w:ilvl="0" w:tplc="A162DB3C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  <w:b/>
        <w:color w:val="00206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E57C8D"/>
    <w:multiLevelType w:val="hybridMultilevel"/>
    <w:tmpl w:val="208ADA06"/>
    <w:lvl w:ilvl="0" w:tplc="5DE6B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B6E65"/>
    <w:multiLevelType w:val="hybridMultilevel"/>
    <w:tmpl w:val="CC2E748E"/>
    <w:lvl w:ilvl="0" w:tplc="5DE6B9C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sz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C3A793B"/>
    <w:multiLevelType w:val="hybridMultilevel"/>
    <w:tmpl w:val="2FD8E86C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F638AC"/>
    <w:multiLevelType w:val="hybridMultilevel"/>
    <w:tmpl w:val="9DFEC7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86A08"/>
    <w:multiLevelType w:val="hybridMultilevel"/>
    <w:tmpl w:val="E7EE210E"/>
    <w:lvl w:ilvl="0" w:tplc="8A185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30C81"/>
    <w:multiLevelType w:val="hybridMultilevel"/>
    <w:tmpl w:val="D8C6ABB2"/>
    <w:lvl w:ilvl="0" w:tplc="5EF2CD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B2216"/>
    <w:multiLevelType w:val="hybridMultilevel"/>
    <w:tmpl w:val="C4C2B792"/>
    <w:lvl w:ilvl="0" w:tplc="5EF2CD32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8180F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611FC2"/>
    <w:multiLevelType w:val="hybridMultilevel"/>
    <w:tmpl w:val="0054E106"/>
    <w:lvl w:ilvl="0" w:tplc="48180F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psvar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558ED33D6F46A0826E7B793821CB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48BED-9429-44FE-89F5-F9747C08EC8D}"/>
      </w:docPartPr>
      <w:docPartBody>
        <w:p>
          <w:pPr>
            <w:pStyle w:val="C8558ED33D6F46A0826E7B793821CB39"/>
          </w:pPr>
          <w:r>
            <w:rPr>
              <w:color w:val="7F7F7F" w:themeColor="background1" w:themeShade="7F"/>
            </w:rPr>
            <w:t>[Zadajte názov spoločnosti]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608127A2A5542E587DA2BAB3A09164B">
    <w:name w:val="2608127A2A5542E587DA2BAB3A09164B"/>
  </w:style>
  <w:style w:type="paragraph" w:customStyle="1" w:styleId="C8558ED33D6F46A0826E7B793821CB39">
    <w:name w:val="C8558ED33D6F46A0826E7B793821CB39"/>
  </w:style>
  <w:style w:type="paragraph" w:customStyle="1" w:styleId="A3CB221592EC4FF7AC75FE32D8454E3F">
    <w:name w:val="A3CB221592EC4FF7AC75FE32D8454E3F"/>
  </w:style>
  <w:style w:type="paragraph" w:customStyle="1" w:styleId="86CBD96CDD004AF59016B36412CF3D94">
    <w:name w:val="86CBD96CDD004AF59016B36412CF3D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D0F6-D390-40E5-86FE-DF902927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Bližšie informácie poskytne príslušný úrad práce, sociálnych vecí a rodiny.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Sláviková Alena</dc:creator>
  <cp:lastModifiedBy>Filkászová Lucia</cp:lastModifiedBy>
  <cp:revision>6</cp:revision>
  <cp:lastPrinted>2015-08-28T11:46:00Z</cp:lastPrinted>
  <dcterms:created xsi:type="dcterms:W3CDTF">2018-07-20T09:32:00Z</dcterms:created>
  <dcterms:modified xsi:type="dcterms:W3CDTF">2018-10-04T08:33:00Z</dcterms:modified>
</cp:coreProperties>
</file>