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6"/>
        <w:gridCol w:w="262"/>
        <w:gridCol w:w="1254"/>
        <w:gridCol w:w="384"/>
        <w:gridCol w:w="976"/>
        <w:gridCol w:w="494"/>
        <w:gridCol w:w="678"/>
        <w:gridCol w:w="621"/>
        <w:gridCol w:w="861"/>
        <w:gridCol w:w="740"/>
        <w:gridCol w:w="622"/>
        <w:gridCol w:w="15"/>
      </w:tblGrid>
      <w:tr w:rsidR="000C144F" w:rsidRPr="00DF7B51" w:rsidTr="000C7473">
        <w:trPr>
          <w:trHeight w:val="261"/>
          <w:jc w:val="center"/>
        </w:trPr>
        <w:tc>
          <w:tcPr>
            <w:tcW w:w="9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4F" w:rsidRPr="00DF7B51" w:rsidRDefault="00C93CD7" w:rsidP="00A3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B51">
              <w:rPr>
                <w:rFonts w:ascii="Times New Roman" w:hAnsi="Times New Roman" w:cs="Times New Roman"/>
              </w:rPr>
              <w:br w:type="page"/>
            </w:r>
            <w:r w:rsidR="000C144F" w:rsidRPr="00DF7B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Kalkulácia predpokladaných náklado</w:t>
            </w:r>
            <w:r w:rsidR="00A34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 na zriadenie chránenej dielne/ </w:t>
            </w:r>
            <w:r w:rsidR="000C144F" w:rsidRPr="00DF7B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chráneného pracoviska</w:t>
            </w:r>
            <w:r w:rsidR="00A34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(CHD/CHP)</w:t>
            </w:r>
          </w:p>
        </w:tc>
      </w:tr>
      <w:tr w:rsidR="000C144F" w:rsidRPr="00DF7B51" w:rsidTr="000C7473">
        <w:trPr>
          <w:trHeight w:val="322"/>
          <w:jc w:val="center"/>
        </w:trPr>
        <w:tc>
          <w:tcPr>
            <w:tcW w:w="9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4F" w:rsidRPr="00DF7B51" w:rsidRDefault="000C144F" w:rsidP="00FF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B51">
              <w:rPr>
                <w:rFonts w:ascii="Times New Roman" w:eastAsia="Times New Roman" w:hAnsi="Times New Roman" w:cs="Times New Roman"/>
                <w:sz w:val="20"/>
                <w:szCs w:val="20"/>
              </w:rPr>
              <w:t>(podľa podnikateľského zámeru, ktorý so žiadosťou o príspevok predložil zamestnávateľ)</w:t>
            </w:r>
          </w:p>
          <w:p w:rsidR="000C7473" w:rsidRPr="00DF7B51" w:rsidRDefault="000C7473" w:rsidP="00FF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44F" w:rsidRPr="00DF7B51" w:rsidTr="00FB38C9">
        <w:tblPrEx>
          <w:tblLook w:val="0600" w:firstRow="0" w:lastRow="0" w:firstColumn="0" w:lastColumn="0" w:noHBand="1" w:noVBand="1"/>
        </w:tblPrEx>
        <w:trPr>
          <w:gridAfter w:val="1"/>
          <w:wAfter w:w="15" w:type="dxa"/>
          <w:trHeight w:val="528"/>
          <w:jc w:val="center"/>
        </w:trPr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4F" w:rsidRPr="00D75039" w:rsidRDefault="003561CD" w:rsidP="00FB3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</w:t>
            </w:r>
            <w:r w:rsidR="000C144F" w:rsidRPr="00D7503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amestnávateľ, obchodné meno</w:t>
            </w:r>
          </w:p>
        </w:tc>
        <w:tc>
          <w:tcPr>
            <w:tcW w:w="1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44F" w:rsidRPr="00D75039" w:rsidRDefault="000C144F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4F" w:rsidRPr="00D75039" w:rsidRDefault="000C144F" w:rsidP="00DA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IČO:</w:t>
            </w: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44F" w:rsidRPr="00D75039" w:rsidRDefault="000C144F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C144F" w:rsidRPr="00DF7B51" w:rsidTr="00FB38C9">
        <w:tblPrEx>
          <w:tblLook w:val="0600" w:firstRow="0" w:lastRow="0" w:firstColumn="0" w:lastColumn="0" w:noHBand="1" w:noVBand="1"/>
        </w:tblPrEx>
        <w:trPr>
          <w:gridAfter w:val="1"/>
          <w:wAfter w:w="15" w:type="dxa"/>
          <w:trHeight w:val="574"/>
          <w:jc w:val="center"/>
        </w:trPr>
        <w:tc>
          <w:tcPr>
            <w:tcW w:w="2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4F" w:rsidRPr="00D75039" w:rsidRDefault="000C144F" w:rsidP="00FB3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Adresa sídla resp. organizačnej zložky: obec, ulica a číslo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44F" w:rsidRPr="00D75039" w:rsidRDefault="000C144F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44F" w:rsidRPr="00D75039" w:rsidRDefault="000C144F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4F" w:rsidRPr="00D75039" w:rsidRDefault="000C144F" w:rsidP="00DA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PSČ: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032D8" w:rsidRPr="00DF7B51" w:rsidTr="00FB38C9">
        <w:tblPrEx>
          <w:tblLook w:val="0600" w:firstRow="0" w:lastRow="0" w:firstColumn="0" w:lastColumn="0" w:noHBand="1" w:noVBand="1"/>
        </w:tblPrEx>
        <w:trPr>
          <w:gridAfter w:val="1"/>
          <w:wAfter w:w="15" w:type="dxa"/>
          <w:trHeight w:val="418"/>
          <w:jc w:val="center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2D8" w:rsidRPr="00D75039" w:rsidRDefault="007032D8" w:rsidP="00FB38C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0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Adresa </w:t>
            </w:r>
            <w:r w:rsidR="00A3492D" w:rsidRPr="00D75039">
              <w:rPr>
                <w:rFonts w:ascii="Times New Roman" w:hAnsi="Times New Roman" w:cs="Times New Roman"/>
                <w:b/>
                <w:sz w:val="18"/>
                <w:szCs w:val="18"/>
              </w:rPr>
              <w:t>CHD/CHP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32D8" w:rsidRPr="00D75039" w:rsidRDefault="007032D8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32D8" w:rsidRPr="00D75039" w:rsidRDefault="007032D8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32D8" w:rsidRPr="00D75039" w:rsidRDefault="007032D8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32D8" w:rsidRPr="00D75039" w:rsidRDefault="007032D8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32D8" w:rsidRPr="00D75039" w:rsidRDefault="007032D8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032D8" w:rsidRPr="00DF7B51" w:rsidTr="00FB38C9">
        <w:tblPrEx>
          <w:tblLook w:val="0600" w:firstRow="0" w:lastRow="0" w:firstColumn="0" w:lastColumn="0" w:noHBand="1" w:noVBand="1"/>
        </w:tblPrEx>
        <w:trPr>
          <w:gridAfter w:val="1"/>
          <w:wAfter w:w="15" w:type="dxa"/>
          <w:trHeight w:val="503"/>
          <w:jc w:val="center"/>
        </w:trPr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2D8" w:rsidRPr="00D75039" w:rsidRDefault="007032D8" w:rsidP="00FB38C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0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Predmet činnosti </w:t>
            </w:r>
            <w:r w:rsidR="00A3492D" w:rsidRPr="00D75039">
              <w:rPr>
                <w:rFonts w:ascii="Times New Roman" w:hAnsi="Times New Roman" w:cs="Times New Roman"/>
                <w:b/>
                <w:sz w:val="18"/>
                <w:szCs w:val="18"/>
              </w:rPr>
              <w:t>CHD/CHP</w:t>
            </w:r>
          </w:p>
        </w:tc>
        <w:tc>
          <w:tcPr>
            <w:tcW w:w="151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2D8" w:rsidRPr="00D75039" w:rsidRDefault="007032D8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2D8" w:rsidRPr="00D75039" w:rsidRDefault="007032D8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2D8" w:rsidRPr="00D75039" w:rsidRDefault="007032D8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2D8" w:rsidRPr="00D75039" w:rsidRDefault="007032D8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2D8" w:rsidRPr="00D75039" w:rsidRDefault="007032D8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032D8" w:rsidRPr="00DF7B51" w:rsidTr="00FB38C9">
        <w:tblPrEx>
          <w:tblLook w:val="0600" w:firstRow="0" w:lastRow="0" w:firstColumn="0" w:lastColumn="0" w:noHBand="1" w:noVBand="1"/>
        </w:tblPrEx>
        <w:trPr>
          <w:gridAfter w:val="1"/>
          <w:wAfter w:w="15" w:type="dxa"/>
          <w:trHeight w:val="310"/>
          <w:jc w:val="center"/>
        </w:trPr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2D8" w:rsidRPr="00D75039" w:rsidRDefault="007032D8" w:rsidP="00FB38C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039">
              <w:rPr>
                <w:rFonts w:ascii="Times New Roman" w:hAnsi="Times New Roman" w:cs="Times New Roman"/>
                <w:b/>
                <w:sz w:val="18"/>
                <w:szCs w:val="18"/>
              </w:rPr>
              <w:t>Druh schémy</w:t>
            </w:r>
          </w:p>
        </w:tc>
        <w:tc>
          <w:tcPr>
            <w:tcW w:w="1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32D8" w:rsidRPr="00D75039" w:rsidRDefault="007032D8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32D8" w:rsidRPr="00D75039" w:rsidRDefault="007032D8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32D8" w:rsidRPr="00D75039" w:rsidRDefault="007032D8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32D8" w:rsidRPr="00D75039" w:rsidRDefault="007032D8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2D8" w:rsidRPr="00D75039" w:rsidRDefault="007032D8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C144F" w:rsidRPr="00DF7B51" w:rsidTr="00FB38C9">
        <w:tblPrEx>
          <w:tblLook w:val="0600" w:firstRow="0" w:lastRow="0" w:firstColumn="0" w:lastColumn="0" w:noHBand="1" w:noVBand="1"/>
        </w:tblPrEx>
        <w:trPr>
          <w:gridAfter w:val="1"/>
          <w:wAfter w:w="15" w:type="dxa"/>
          <w:trHeight w:val="574"/>
          <w:jc w:val="center"/>
        </w:trPr>
        <w:tc>
          <w:tcPr>
            <w:tcW w:w="2686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4F" w:rsidRPr="00D75039" w:rsidRDefault="000C144F" w:rsidP="00FB3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Typ výdavku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Skupina výdavkov 1)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Jednotka 2)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Počet jednotiek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Jednotková cena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Výdavky spolu</w:t>
            </w:r>
          </w:p>
        </w:tc>
      </w:tr>
      <w:tr w:rsidR="000C144F" w:rsidRPr="00DF7B51" w:rsidTr="00FB38C9">
        <w:tblPrEx>
          <w:tblLook w:val="0600" w:firstRow="0" w:lastRow="0" w:firstColumn="0" w:lastColumn="0" w:noHBand="1" w:noVBand="1"/>
        </w:tblPrEx>
        <w:trPr>
          <w:gridAfter w:val="1"/>
          <w:wAfter w:w="15" w:type="dxa"/>
          <w:trHeight w:val="342"/>
          <w:jc w:val="center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4F" w:rsidRPr="00D75039" w:rsidRDefault="000C144F" w:rsidP="00FB3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4F" w:rsidRPr="00D75039" w:rsidRDefault="000C144F" w:rsidP="008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4F" w:rsidRPr="00D75039" w:rsidRDefault="000C144F" w:rsidP="008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4F" w:rsidRPr="00D75039" w:rsidRDefault="000C144F" w:rsidP="008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144F" w:rsidRPr="00D75039" w:rsidRDefault="000C144F" w:rsidP="008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4F" w:rsidRPr="00D75039" w:rsidRDefault="000C144F" w:rsidP="008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5=3x4</w:t>
            </w:r>
          </w:p>
        </w:tc>
      </w:tr>
      <w:tr w:rsidR="000C144F" w:rsidRPr="00DF7B51" w:rsidTr="00FB38C9">
        <w:tblPrEx>
          <w:tblLook w:val="0600" w:firstRow="0" w:lastRow="0" w:firstColumn="0" w:lastColumn="0" w:noHBand="1" w:noVBand="1"/>
        </w:tblPrEx>
        <w:trPr>
          <w:gridAfter w:val="1"/>
          <w:wAfter w:w="15" w:type="dxa"/>
          <w:trHeight w:val="528"/>
          <w:jc w:val="center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4F" w:rsidRPr="00D75039" w:rsidRDefault="000C144F" w:rsidP="00FB3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Predpokladané náklady na zriadenie CHD/CHP 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x</w:t>
            </w:r>
          </w:p>
        </w:tc>
      </w:tr>
      <w:tr w:rsidR="000C144F" w:rsidRPr="00DF7B51" w:rsidTr="0007675D">
        <w:tblPrEx>
          <w:tblLook w:val="0600" w:firstRow="0" w:lastRow="0" w:firstColumn="0" w:lastColumn="0" w:noHBand="1" w:noVBand="1"/>
        </w:tblPrEx>
        <w:trPr>
          <w:gridAfter w:val="1"/>
          <w:wAfter w:w="15" w:type="dxa"/>
          <w:trHeight w:val="357"/>
          <w:jc w:val="center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4F" w:rsidRPr="00D75039" w:rsidRDefault="000C144F" w:rsidP="00DA7C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C144F" w:rsidRPr="00DF7B51" w:rsidTr="0007675D">
        <w:tblPrEx>
          <w:tblLook w:val="0600" w:firstRow="0" w:lastRow="0" w:firstColumn="0" w:lastColumn="0" w:noHBand="1" w:noVBand="1"/>
        </w:tblPrEx>
        <w:trPr>
          <w:gridAfter w:val="1"/>
          <w:wAfter w:w="15" w:type="dxa"/>
          <w:trHeight w:val="342"/>
          <w:jc w:val="center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4F" w:rsidRPr="00D75039" w:rsidRDefault="000C144F" w:rsidP="00DA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C144F" w:rsidRPr="00DF7B51" w:rsidTr="0007675D">
        <w:tblPrEx>
          <w:tblLook w:val="0600" w:firstRow="0" w:lastRow="0" w:firstColumn="0" w:lastColumn="0" w:noHBand="1" w:noVBand="1"/>
        </w:tblPrEx>
        <w:trPr>
          <w:gridAfter w:val="1"/>
          <w:wAfter w:w="15" w:type="dxa"/>
          <w:trHeight w:val="326"/>
          <w:jc w:val="center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4F" w:rsidRPr="00D75039" w:rsidRDefault="000C144F" w:rsidP="00DA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C144F" w:rsidRPr="00DF7B51" w:rsidTr="0007675D">
        <w:tblPrEx>
          <w:tblLook w:val="0600" w:firstRow="0" w:lastRow="0" w:firstColumn="0" w:lastColumn="0" w:noHBand="1" w:noVBand="1"/>
        </w:tblPrEx>
        <w:trPr>
          <w:gridAfter w:val="1"/>
          <w:wAfter w:w="15" w:type="dxa"/>
          <w:trHeight w:val="357"/>
          <w:jc w:val="center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4F" w:rsidRPr="00D75039" w:rsidRDefault="000C144F" w:rsidP="00DA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C144F" w:rsidRPr="00DF7B51" w:rsidTr="0007675D">
        <w:tblPrEx>
          <w:tblLook w:val="0600" w:firstRow="0" w:lastRow="0" w:firstColumn="0" w:lastColumn="0" w:noHBand="1" w:noVBand="1"/>
        </w:tblPrEx>
        <w:trPr>
          <w:gridAfter w:val="1"/>
          <w:wAfter w:w="15" w:type="dxa"/>
          <w:trHeight w:val="372"/>
          <w:jc w:val="center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4F" w:rsidRPr="00D75039" w:rsidRDefault="000C144F" w:rsidP="00DA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144F" w:rsidRPr="00DF7B51" w:rsidTr="0007675D">
        <w:tblPrEx>
          <w:tblLook w:val="0600" w:firstRow="0" w:lastRow="0" w:firstColumn="0" w:lastColumn="0" w:noHBand="1" w:noVBand="1"/>
        </w:tblPrEx>
        <w:trPr>
          <w:gridAfter w:val="1"/>
          <w:wAfter w:w="15" w:type="dxa"/>
          <w:trHeight w:val="435"/>
          <w:jc w:val="center"/>
        </w:trPr>
        <w:tc>
          <w:tcPr>
            <w:tcW w:w="2686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4F" w:rsidRPr="00D75039" w:rsidRDefault="000C144F" w:rsidP="00DA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Spolu</w:t>
            </w:r>
          </w:p>
        </w:tc>
        <w:tc>
          <w:tcPr>
            <w:tcW w:w="151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36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17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D7503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48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44F" w:rsidRPr="00D75039" w:rsidRDefault="000C144F" w:rsidP="00DA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145FEC" w:rsidRPr="00DF7B51" w:rsidTr="000C7473">
        <w:tblPrEx>
          <w:tblLook w:val="0600" w:firstRow="0" w:lastRow="0" w:firstColumn="0" w:lastColumn="0" w:noHBand="1" w:noVBand="1"/>
        </w:tblPrEx>
        <w:trPr>
          <w:gridAfter w:val="2"/>
          <w:wAfter w:w="637" w:type="dxa"/>
          <w:trHeight w:val="215"/>
          <w:jc w:val="center"/>
        </w:trPr>
        <w:tc>
          <w:tcPr>
            <w:tcW w:w="89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FEC" w:rsidRPr="00DA7C7B" w:rsidRDefault="00145FEC" w:rsidP="0016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C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1) skupina výdavkov podľa oprávnených výdavkov Operačného programu </w:t>
            </w:r>
            <w:r w:rsidR="00160284">
              <w:rPr>
                <w:rFonts w:ascii="Times New Roman" w:eastAsia="Times New Roman" w:hAnsi="Times New Roman" w:cs="Times New Roman"/>
                <w:sz w:val="16"/>
                <w:szCs w:val="16"/>
              </w:rPr>
              <w:t>Slovensko</w:t>
            </w:r>
          </w:p>
        </w:tc>
      </w:tr>
      <w:tr w:rsidR="00145FEC" w:rsidRPr="00DF7B51" w:rsidTr="000C7473">
        <w:tblPrEx>
          <w:tblLook w:val="0600" w:firstRow="0" w:lastRow="0" w:firstColumn="0" w:lastColumn="0" w:noHBand="1" w:noVBand="1"/>
        </w:tblPrEx>
        <w:trPr>
          <w:gridAfter w:val="2"/>
          <w:wAfter w:w="637" w:type="dxa"/>
          <w:trHeight w:val="74"/>
          <w:jc w:val="center"/>
        </w:trPr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FEC" w:rsidRPr="00DA7C7B" w:rsidRDefault="00145FEC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7C7B">
              <w:rPr>
                <w:rFonts w:ascii="Times New Roman" w:eastAsia="Times New Roman" w:hAnsi="Times New Roman" w:cs="Times New Roman"/>
                <w:sz w:val="16"/>
                <w:szCs w:val="16"/>
              </w:rPr>
              <w:t>2) jednotka - napr. ks, m2, m, a pod.</w:t>
            </w:r>
          </w:p>
          <w:p w:rsidR="000C7473" w:rsidRPr="00DA7C7B" w:rsidRDefault="000C7473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FEC" w:rsidRPr="00DA7C7B" w:rsidRDefault="00145FEC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FEC" w:rsidRPr="00DA7C7B" w:rsidRDefault="00145FEC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FEC" w:rsidRPr="00DA7C7B" w:rsidRDefault="00145FEC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FEC" w:rsidRPr="00DA7C7B" w:rsidRDefault="00145FEC" w:rsidP="0090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C7473" w:rsidRDefault="000C144F" w:rsidP="003561C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F7B51">
        <w:rPr>
          <w:rFonts w:ascii="Times New Roman" w:hAnsi="Times New Roman" w:cs="Times New Roman"/>
          <w:b/>
          <w:sz w:val="16"/>
          <w:szCs w:val="16"/>
        </w:rPr>
        <w:t>Poučenie</w:t>
      </w:r>
    </w:p>
    <w:p w:rsidR="00DA7C7B" w:rsidRPr="00DF7B51" w:rsidRDefault="00DA7C7B" w:rsidP="003561C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C7473" w:rsidRPr="00DF7B51" w:rsidRDefault="000C144F" w:rsidP="003561C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  <w:r w:rsidRPr="00DF7B51">
        <w:rPr>
          <w:rFonts w:ascii="Times New Roman" w:hAnsi="Times New Roman" w:cs="Times New Roman"/>
          <w:sz w:val="16"/>
          <w:szCs w:val="16"/>
        </w:rPr>
        <w:t>V zmysle § 56 zákona č. 5/2004 Z</w:t>
      </w:r>
      <w:r w:rsidR="006C6B7D">
        <w:rPr>
          <w:rFonts w:ascii="Times New Roman" w:hAnsi="Times New Roman" w:cs="Times New Roman"/>
          <w:sz w:val="16"/>
          <w:szCs w:val="16"/>
        </w:rPr>
        <w:t xml:space="preserve"> </w:t>
      </w:r>
      <w:r w:rsidRPr="00DF7B51">
        <w:rPr>
          <w:rFonts w:ascii="Times New Roman" w:hAnsi="Times New Roman" w:cs="Times New Roman"/>
          <w:sz w:val="16"/>
          <w:szCs w:val="16"/>
        </w:rPr>
        <w:t xml:space="preserve">.z. o službách zamestnanosti a o zmene a doplnení niektorých zákonov v znení neskorších predpisov, sa </w:t>
      </w:r>
      <w:r w:rsidRPr="005D65B4">
        <w:rPr>
          <w:rFonts w:ascii="Times New Roman" w:hAnsi="Times New Roman" w:cs="Times New Roman"/>
          <w:b/>
          <w:sz w:val="16"/>
          <w:szCs w:val="16"/>
        </w:rPr>
        <w:t>príspevok poskytuje</w:t>
      </w:r>
      <w:r w:rsidRPr="00DF7B51">
        <w:rPr>
          <w:rFonts w:ascii="Times New Roman" w:hAnsi="Times New Roman" w:cs="Times New Roman"/>
          <w:sz w:val="16"/>
          <w:szCs w:val="16"/>
        </w:rPr>
        <w:t xml:space="preserve"> na úhradu časti nákladov na zriadenie pracovného miesta pre občana so zdravotným postihnutím</w:t>
      </w:r>
      <w:r w:rsidR="001B4875">
        <w:rPr>
          <w:rFonts w:ascii="Times New Roman" w:hAnsi="Times New Roman" w:cs="Times New Roman"/>
          <w:sz w:val="16"/>
          <w:szCs w:val="16"/>
        </w:rPr>
        <w:t xml:space="preserve"> so sťaženým prístupom na trh práce</w:t>
      </w:r>
      <w:r w:rsidRPr="00DF7B51">
        <w:rPr>
          <w:rFonts w:ascii="Times New Roman" w:hAnsi="Times New Roman" w:cs="Times New Roman"/>
          <w:sz w:val="16"/>
          <w:szCs w:val="16"/>
        </w:rPr>
        <w:t xml:space="preserve"> v chránenej dielni alebo na chránenom pracovisku. Za náklady na zriadenie pracovného miesta podľa prvej vety sa považujú náklady, ktoré sú nevyhnutné na zabezpečenie vykonávania pracovnej činnosti občana so zdravotným postihnutím</w:t>
      </w:r>
      <w:r w:rsidR="001B4875">
        <w:rPr>
          <w:rFonts w:ascii="Times New Roman" w:hAnsi="Times New Roman" w:cs="Times New Roman"/>
          <w:sz w:val="16"/>
          <w:szCs w:val="16"/>
        </w:rPr>
        <w:t xml:space="preserve"> so sťaženým prístupom na trh práce</w:t>
      </w:r>
      <w:r w:rsidRPr="00DF7B51">
        <w:rPr>
          <w:rFonts w:ascii="Times New Roman" w:hAnsi="Times New Roman" w:cs="Times New Roman"/>
          <w:sz w:val="16"/>
          <w:szCs w:val="16"/>
        </w:rPr>
        <w:t xml:space="preserve"> a súvisia so zriadením tohto pracovného miesta. Príspevok </w:t>
      </w:r>
      <w:r w:rsidRPr="005D65B4">
        <w:rPr>
          <w:rFonts w:ascii="Times New Roman" w:hAnsi="Times New Roman" w:cs="Times New Roman"/>
          <w:b/>
          <w:sz w:val="16"/>
          <w:szCs w:val="16"/>
        </w:rPr>
        <w:t>sa neposkytuje</w:t>
      </w:r>
      <w:r w:rsidRPr="00DF7B51">
        <w:rPr>
          <w:rFonts w:ascii="Times New Roman" w:hAnsi="Times New Roman" w:cs="Times New Roman"/>
          <w:sz w:val="16"/>
          <w:szCs w:val="16"/>
        </w:rPr>
        <w:t xml:space="preserve"> na úhradu časti mzdy a preddavku na poistné na povinné verejné zdravotné poistenie, poistného na sociálne poistenie a povinných príspevkov na starobné dôchodkové sporenie platených zamestnávateľov za zamestnanca, ktorý je občanom so zdravotným postihnutím</w:t>
      </w:r>
      <w:r w:rsidR="001B4875">
        <w:rPr>
          <w:rFonts w:ascii="Times New Roman" w:hAnsi="Times New Roman" w:cs="Times New Roman"/>
          <w:sz w:val="16"/>
          <w:szCs w:val="16"/>
        </w:rPr>
        <w:t xml:space="preserve"> so sťaženým prístupom na trh práce</w:t>
      </w:r>
      <w:r w:rsidRPr="00DF7B51">
        <w:rPr>
          <w:rFonts w:ascii="Times New Roman" w:hAnsi="Times New Roman" w:cs="Times New Roman"/>
          <w:sz w:val="16"/>
          <w:szCs w:val="16"/>
        </w:rPr>
        <w:t xml:space="preserve"> a ktorý bol prijatý na zriadené pracovné miesto v chránenej dielni</w:t>
      </w:r>
      <w:r w:rsidR="000C7473" w:rsidRPr="00DF7B51">
        <w:rPr>
          <w:rFonts w:ascii="Times New Roman" w:hAnsi="Times New Roman" w:cs="Times New Roman"/>
          <w:sz w:val="16"/>
          <w:szCs w:val="16"/>
        </w:rPr>
        <w:t xml:space="preserve"> alebo na chránenom pracovis</w:t>
      </w:r>
      <w:r w:rsidR="005D2F9A" w:rsidRPr="00DF7B51">
        <w:rPr>
          <w:rFonts w:ascii="Times New Roman" w:hAnsi="Times New Roman" w:cs="Times New Roman"/>
          <w:sz w:val="16"/>
          <w:szCs w:val="16"/>
        </w:rPr>
        <w:t>ku.</w:t>
      </w:r>
    </w:p>
    <w:p w:rsidR="005D2F9A" w:rsidRPr="00DF7B51" w:rsidRDefault="005D2F9A" w:rsidP="003561C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0C144F" w:rsidRPr="00DF7B51" w:rsidRDefault="000C144F" w:rsidP="003561C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  <w:r w:rsidRPr="00DF7B51">
        <w:rPr>
          <w:rFonts w:ascii="Times New Roman" w:hAnsi="Times New Roman" w:cs="Times New Roman"/>
          <w:sz w:val="16"/>
          <w:szCs w:val="16"/>
        </w:rPr>
        <w:t xml:space="preserve">Za oprávnené náklady sa považujú náklad, ktoré sú nevyhnutné, sú riadne odôvodnené, preukázané účtovnými dokladmi, sú vynaložené v súlade s platnými právnymi predpismi a výlučne súvisia s podporou zamestnávania občanov so zdravotným postihnutím, sú primerané, </w:t>
      </w:r>
      <w:proofErr w:type="spellStart"/>
      <w:r w:rsidRPr="00DF7B51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DF7B51">
        <w:rPr>
          <w:rFonts w:ascii="Times New Roman" w:hAnsi="Times New Roman" w:cs="Times New Roman"/>
          <w:sz w:val="16"/>
          <w:szCs w:val="16"/>
        </w:rPr>
        <w:t>. zodpovedajú obvyklým cenám v danom mieste a čase, spĺňajú podmienky hospodárnosti, efektívnosti, účelnosti a účinnosti použitia a  navzájom sa neprekrývajú.</w:t>
      </w:r>
    </w:p>
    <w:p w:rsidR="005D2F9A" w:rsidRPr="00DF7B51" w:rsidRDefault="005D2F9A" w:rsidP="003561C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0C144F" w:rsidRPr="00125C64" w:rsidRDefault="000C144F" w:rsidP="003561C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  <w:r w:rsidRPr="00DF7B51">
        <w:rPr>
          <w:rFonts w:ascii="Times New Roman" w:hAnsi="Times New Roman" w:cs="Times New Roman"/>
          <w:sz w:val="16"/>
          <w:szCs w:val="16"/>
        </w:rPr>
        <w:t xml:space="preserve">Pri nákupe </w:t>
      </w:r>
      <w:bookmarkStart w:id="0" w:name="_GoBack"/>
      <w:r w:rsidRPr="00125C64">
        <w:rPr>
          <w:rFonts w:ascii="Times New Roman" w:hAnsi="Times New Roman" w:cs="Times New Roman"/>
          <w:sz w:val="16"/>
          <w:szCs w:val="16"/>
        </w:rPr>
        <w:t>nového zariadenia/vybavenia sú oprávnenými nákladmi len náklady na nákup zariadenia/vybavenia vo forme bežných nákladov (</w:t>
      </w:r>
      <w:proofErr w:type="spellStart"/>
      <w:r w:rsidRPr="00125C64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125C64">
        <w:rPr>
          <w:rFonts w:ascii="Times New Roman" w:hAnsi="Times New Roman" w:cs="Times New Roman"/>
          <w:sz w:val="16"/>
          <w:szCs w:val="16"/>
        </w:rPr>
        <w:t xml:space="preserve">. nákup hmotného majetku do 1 700 EUR a nákup nehmotného majetku do 2 400). Súčasne platí podmienka, že tento majetok nebol nadobudnutý z akýchkoľvek predchádzajúcich príspevkov z prostriedkov ESF. </w:t>
      </w:r>
    </w:p>
    <w:p w:rsidR="00A05060" w:rsidRPr="00125C64" w:rsidRDefault="00A05060" w:rsidP="003561C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</w:p>
    <w:bookmarkEnd w:id="0"/>
    <w:p w:rsidR="00DA7C7B" w:rsidRDefault="00DA7C7B" w:rsidP="003561C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971B6A" w:rsidRDefault="00971B6A" w:rsidP="003561C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DA7C7B" w:rsidRPr="00DF7B51" w:rsidRDefault="00DA7C7B" w:rsidP="003561C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DA7C7B" w:rsidRDefault="00DA7C7B" w:rsidP="003561CD">
      <w:pPr>
        <w:spacing w:after="0" w:line="240" w:lineRule="auto"/>
        <w:ind w:left="-284" w:right="-284"/>
        <w:rPr>
          <w:rFonts w:ascii="Times New Roman" w:hAnsi="Times New Roman" w:cs="Times New Roman"/>
          <w:sz w:val="20"/>
          <w:szCs w:val="20"/>
        </w:rPr>
      </w:pPr>
    </w:p>
    <w:p w:rsidR="000C144F" w:rsidRPr="00DA7C7B" w:rsidRDefault="000C144F" w:rsidP="003561CD">
      <w:pPr>
        <w:spacing w:after="0" w:line="240" w:lineRule="auto"/>
        <w:ind w:left="-284" w:right="-284"/>
        <w:rPr>
          <w:rFonts w:ascii="Times New Roman" w:hAnsi="Times New Roman" w:cs="Times New Roman"/>
          <w:sz w:val="16"/>
          <w:szCs w:val="16"/>
        </w:rPr>
      </w:pPr>
      <w:r w:rsidRPr="00DA7C7B">
        <w:rPr>
          <w:rFonts w:ascii="Times New Roman" w:hAnsi="Times New Roman" w:cs="Times New Roman"/>
          <w:sz w:val="16"/>
          <w:szCs w:val="16"/>
        </w:rPr>
        <w:t>...................................................</w:t>
      </w:r>
      <w:r w:rsidRPr="00DA7C7B">
        <w:rPr>
          <w:rFonts w:ascii="Times New Roman" w:hAnsi="Times New Roman" w:cs="Times New Roman"/>
          <w:sz w:val="16"/>
          <w:szCs w:val="16"/>
        </w:rPr>
        <w:tab/>
      </w:r>
      <w:r w:rsidRPr="00DA7C7B">
        <w:rPr>
          <w:rFonts w:ascii="Times New Roman" w:hAnsi="Times New Roman" w:cs="Times New Roman"/>
          <w:sz w:val="16"/>
          <w:szCs w:val="16"/>
        </w:rPr>
        <w:tab/>
      </w:r>
      <w:r w:rsidRPr="00DA7C7B">
        <w:rPr>
          <w:rFonts w:ascii="Times New Roman" w:hAnsi="Times New Roman" w:cs="Times New Roman"/>
          <w:sz w:val="16"/>
          <w:szCs w:val="16"/>
        </w:rPr>
        <w:tab/>
      </w:r>
      <w:r w:rsidRPr="00DA7C7B">
        <w:rPr>
          <w:rFonts w:ascii="Times New Roman" w:hAnsi="Times New Roman" w:cs="Times New Roman"/>
          <w:sz w:val="16"/>
          <w:szCs w:val="16"/>
        </w:rPr>
        <w:tab/>
      </w:r>
      <w:r w:rsidRPr="00DA7C7B">
        <w:rPr>
          <w:rFonts w:ascii="Times New Roman" w:hAnsi="Times New Roman" w:cs="Times New Roman"/>
          <w:sz w:val="16"/>
          <w:szCs w:val="16"/>
        </w:rPr>
        <w:tab/>
        <w:t>......................................................</w:t>
      </w:r>
    </w:p>
    <w:p w:rsidR="00DA7C7B" w:rsidRDefault="000C7473" w:rsidP="00DA7C7B">
      <w:pPr>
        <w:spacing w:after="0" w:line="240" w:lineRule="auto"/>
        <w:ind w:left="-284" w:right="-284"/>
        <w:rPr>
          <w:rFonts w:ascii="Times New Roman" w:hAnsi="Times New Roman" w:cs="Times New Roman"/>
          <w:sz w:val="16"/>
          <w:szCs w:val="16"/>
        </w:rPr>
      </w:pPr>
      <w:r w:rsidRPr="00DA7C7B">
        <w:rPr>
          <w:rFonts w:ascii="Times New Roman" w:hAnsi="Times New Roman" w:cs="Times New Roman"/>
          <w:sz w:val="16"/>
          <w:szCs w:val="16"/>
        </w:rPr>
        <w:t>Miesto a dátum:</w:t>
      </w:r>
      <w:r w:rsidRPr="00DA7C7B">
        <w:rPr>
          <w:rFonts w:ascii="Times New Roman" w:hAnsi="Times New Roman" w:cs="Times New Roman"/>
          <w:sz w:val="16"/>
          <w:szCs w:val="16"/>
        </w:rPr>
        <w:tab/>
      </w:r>
      <w:r w:rsidRPr="00DA7C7B">
        <w:rPr>
          <w:rFonts w:ascii="Times New Roman" w:hAnsi="Times New Roman" w:cs="Times New Roman"/>
          <w:sz w:val="16"/>
          <w:szCs w:val="16"/>
        </w:rPr>
        <w:tab/>
      </w:r>
      <w:r w:rsidRPr="00DA7C7B">
        <w:rPr>
          <w:rFonts w:ascii="Times New Roman" w:hAnsi="Times New Roman" w:cs="Times New Roman"/>
          <w:sz w:val="16"/>
          <w:szCs w:val="16"/>
        </w:rPr>
        <w:tab/>
      </w:r>
      <w:r w:rsidRPr="00DA7C7B">
        <w:rPr>
          <w:rFonts w:ascii="Times New Roman" w:hAnsi="Times New Roman" w:cs="Times New Roman"/>
          <w:sz w:val="16"/>
          <w:szCs w:val="16"/>
        </w:rPr>
        <w:tab/>
      </w:r>
      <w:r w:rsidRPr="00DA7C7B">
        <w:rPr>
          <w:rFonts w:ascii="Times New Roman" w:hAnsi="Times New Roman" w:cs="Times New Roman"/>
          <w:sz w:val="16"/>
          <w:szCs w:val="16"/>
        </w:rPr>
        <w:tab/>
      </w:r>
      <w:r w:rsidRPr="00DA7C7B">
        <w:rPr>
          <w:rFonts w:ascii="Times New Roman" w:hAnsi="Times New Roman" w:cs="Times New Roman"/>
          <w:sz w:val="16"/>
          <w:szCs w:val="16"/>
        </w:rPr>
        <w:tab/>
        <w:t>zamestnávateľ</w:t>
      </w:r>
    </w:p>
    <w:p w:rsidR="000C7473" w:rsidRDefault="000C7473" w:rsidP="00DA7C7B">
      <w:pPr>
        <w:spacing w:after="0" w:line="240" w:lineRule="auto"/>
        <w:ind w:left="3964" w:right="-284" w:firstLine="992"/>
        <w:rPr>
          <w:rFonts w:ascii="Times New Roman" w:hAnsi="Times New Roman" w:cs="Times New Roman"/>
          <w:sz w:val="16"/>
          <w:szCs w:val="16"/>
        </w:rPr>
      </w:pPr>
      <w:r w:rsidRPr="00DA7C7B">
        <w:rPr>
          <w:rFonts w:ascii="Times New Roman" w:hAnsi="Times New Roman" w:cs="Times New Roman"/>
          <w:sz w:val="16"/>
          <w:szCs w:val="16"/>
        </w:rPr>
        <w:t>(</w:t>
      </w:r>
      <w:r w:rsidR="003561CD" w:rsidRPr="00DA7C7B">
        <w:rPr>
          <w:rFonts w:ascii="Times New Roman" w:hAnsi="Times New Roman" w:cs="Times New Roman"/>
          <w:sz w:val="16"/>
          <w:szCs w:val="16"/>
        </w:rPr>
        <w:t>podpis a odtlačok pečiatky</w:t>
      </w:r>
      <w:r w:rsidRPr="00DA7C7B">
        <w:rPr>
          <w:rFonts w:ascii="Times New Roman" w:hAnsi="Times New Roman" w:cs="Times New Roman"/>
          <w:sz w:val="16"/>
          <w:szCs w:val="16"/>
        </w:rPr>
        <w:t>)</w:t>
      </w:r>
    </w:p>
    <w:p w:rsidR="00DA7C7B" w:rsidRDefault="00DA7C7B" w:rsidP="00DA7C7B">
      <w:pPr>
        <w:spacing w:after="0" w:line="240" w:lineRule="auto"/>
        <w:ind w:left="3964" w:right="-284" w:firstLine="992"/>
        <w:rPr>
          <w:rFonts w:ascii="Times New Roman" w:hAnsi="Times New Roman" w:cs="Times New Roman"/>
          <w:sz w:val="16"/>
          <w:szCs w:val="16"/>
        </w:rPr>
      </w:pPr>
    </w:p>
    <w:p w:rsidR="00DA7C7B" w:rsidRDefault="00DA7C7B" w:rsidP="00DA7C7B">
      <w:pPr>
        <w:spacing w:after="0" w:line="240" w:lineRule="auto"/>
        <w:ind w:left="3964" w:right="-284" w:firstLine="992"/>
        <w:rPr>
          <w:rFonts w:ascii="Times New Roman" w:hAnsi="Times New Roman" w:cs="Times New Roman"/>
          <w:sz w:val="16"/>
          <w:szCs w:val="16"/>
        </w:rPr>
      </w:pPr>
    </w:p>
    <w:p w:rsidR="00971B6A" w:rsidRDefault="00971B6A" w:rsidP="00DA7C7B">
      <w:pPr>
        <w:spacing w:after="0" w:line="240" w:lineRule="auto"/>
        <w:ind w:left="3964" w:right="-284" w:firstLine="992"/>
        <w:rPr>
          <w:rFonts w:ascii="Times New Roman" w:hAnsi="Times New Roman" w:cs="Times New Roman"/>
          <w:sz w:val="16"/>
          <w:szCs w:val="16"/>
        </w:rPr>
      </w:pPr>
    </w:p>
    <w:p w:rsidR="00DA7C7B" w:rsidRDefault="00DA7C7B" w:rsidP="00DA7C7B">
      <w:pPr>
        <w:spacing w:after="0" w:line="240" w:lineRule="auto"/>
        <w:ind w:left="3964" w:right="-284" w:firstLine="992"/>
        <w:rPr>
          <w:rFonts w:ascii="Times New Roman" w:hAnsi="Times New Roman" w:cs="Times New Roman"/>
          <w:sz w:val="16"/>
          <w:szCs w:val="16"/>
        </w:rPr>
      </w:pPr>
    </w:p>
    <w:p w:rsidR="000C144F" w:rsidRPr="00DA7C7B" w:rsidRDefault="000C144F" w:rsidP="003561C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  <w:r w:rsidRPr="00DA7C7B">
        <w:rPr>
          <w:rFonts w:ascii="Times New Roman" w:hAnsi="Times New Roman" w:cs="Times New Roman"/>
          <w:sz w:val="16"/>
          <w:szCs w:val="16"/>
        </w:rPr>
        <w:t>....................................................</w:t>
      </w:r>
      <w:r w:rsidRPr="00DA7C7B">
        <w:rPr>
          <w:rFonts w:ascii="Times New Roman" w:hAnsi="Times New Roman" w:cs="Times New Roman"/>
          <w:sz w:val="16"/>
          <w:szCs w:val="16"/>
        </w:rPr>
        <w:tab/>
      </w:r>
      <w:r w:rsidRPr="00DA7C7B">
        <w:rPr>
          <w:rFonts w:ascii="Times New Roman" w:hAnsi="Times New Roman" w:cs="Times New Roman"/>
          <w:sz w:val="16"/>
          <w:szCs w:val="16"/>
        </w:rPr>
        <w:tab/>
      </w:r>
      <w:r w:rsidRPr="00DA7C7B">
        <w:rPr>
          <w:rFonts w:ascii="Times New Roman" w:hAnsi="Times New Roman" w:cs="Times New Roman"/>
          <w:sz w:val="16"/>
          <w:szCs w:val="16"/>
        </w:rPr>
        <w:tab/>
      </w:r>
      <w:r w:rsidR="00145FEC" w:rsidRPr="00DA7C7B">
        <w:rPr>
          <w:rFonts w:ascii="Times New Roman" w:hAnsi="Times New Roman" w:cs="Times New Roman"/>
          <w:sz w:val="16"/>
          <w:szCs w:val="16"/>
        </w:rPr>
        <w:tab/>
      </w:r>
      <w:r w:rsidR="00145FEC" w:rsidRPr="00DA7C7B">
        <w:rPr>
          <w:rFonts w:ascii="Times New Roman" w:hAnsi="Times New Roman" w:cs="Times New Roman"/>
          <w:sz w:val="16"/>
          <w:szCs w:val="16"/>
        </w:rPr>
        <w:tab/>
        <w:t>........................................................</w:t>
      </w:r>
      <w:r w:rsidRPr="00DA7C7B">
        <w:rPr>
          <w:rFonts w:ascii="Times New Roman" w:hAnsi="Times New Roman" w:cs="Times New Roman"/>
          <w:sz w:val="16"/>
          <w:szCs w:val="16"/>
        </w:rPr>
        <w:tab/>
      </w:r>
    </w:p>
    <w:p w:rsidR="000C144F" w:rsidRPr="00DA7C7B" w:rsidRDefault="003561CD" w:rsidP="003561C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  <w:r w:rsidRPr="00DA7C7B">
        <w:rPr>
          <w:rFonts w:ascii="Times New Roman" w:hAnsi="Times New Roman" w:cs="Times New Roman"/>
          <w:sz w:val="16"/>
          <w:szCs w:val="16"/>
        </w:rPr>
        <w:t>Vypracoval zamestnanec</w:t>
      </w:r>
      <w:r w:rsidRPr="00DA7C7B">
        <w:rPr>
          <w:rFonts w:ascii="Times New Roman" w:hAnsi="Times New Roman" w:cs="Times New Roman"/>
          <w:sz w:val="16"/>
          <w:szCs w:val="16"/>
        </w:rPr>
        <w:tab/>
      </w:r>
      <w:r w:rsidRPr="00DA7C7B">
        <w:rPr>
          <w:rFonts w:ascii="Times New Roman" w:hAnsi="Times New Roman" w:cs="Times New Roman"/>
          <w:sz w:val="16"/>
          <w:szCs w:val="16"/>
        </w:rPr>
        <w:tab/>
      </w:r>
      <w:r w:rsidRPr="00DA7C7B">
        <w:rPr>
          <w:rFonts w:ascii="Times New Roman" w:hAnsi="Times New Roman" w:cs="Times New Roman"/>
          <w:sz w:val="16"/>
          <w:szCs w:val="16"/>
        </w:rPr>
        <w:tab/>
      </w:r>
      <w:r w:rsidRPr="00DA7C7B">
        <w:rPr>
          <w:rFonts w:ascii="Times New Roman" w:hAnsi="Times New Roman" w:cs="Times New Roman"/>
          <w:sz w:val="16"/>
          <w:szCs w:val="16"/>
        </w:rPr>
        <w:tab/>
      </w:r>
      <w:r w:rsidR="00A270A7" w:rsidRPr="00DA7C7B">
        <w:rPr>
          <w:rFonts w:ascii="Times New Roman" w:hAnsi="Times New Roman" w:cs="Times New Roman"/>
          <w:sz w:val="16"/>
          <w:szCs w:val="16"/>
        </w:rPr>
        <w:tab/>
      </w:r>
      <w:r w:rsidR="000C144F" w:rsidRPr="00DA7C7B">
        <w:rPr>
          <w:rFonts w:ascii="Times New Roman" w:hAnsi="Times New Roman" w:cs="Times New Roman"/>
          <w:sz w:val="16"/>
          <w:szCs w:val="16"/>
        </w:rPr>
        <w:tab/>
        <w:t>Overil vedúci vecne príslušného útvaru</w:t>
      </w:r>
    </w:p>
    <w:p w:rsidR="000C144F" w:rsidRPr="00DA7C7B" w:rsidRDefault="003561CD" w:rsidP="003561C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  <w:r w:rsidRPr="00DA7C7B">
        <w:rPr>
          <w:rFonts w:ascii="Times New Roman" w:hAnsi="Times New Roman" w:cs="Times New Roman"/>
          <w:sz w:val="16"/>
          <w:szCs w:val="16"/>
        </w:rPr>
        <w:t>vecne príslušného útvaru</w:t>
      </w:r>
      <w:r w:rsidRPr="00DA7C7B">
        <w:rPr>
          <w:rFonts w:ascii="Times New Roman" w:hAnsi="Times New Roman" w:cs="Times New Roman"/>
          <w:sz w:val="16"/>
          <w:szCs w:val="16"/>
        </w:rPr>
        <w:tab/>
      </w:r>
      <w:r w:rsidRPr="00DA7C7B">
        <w:rPr>
          <w:rFonts w:ascii="Times New Roman" w:hAnsi="Times New Roman" w:cs="Times New Roman"/>
          <w:sz w:val="16"/>
          <w:szCs w:val="16"/>
        </w:rPr>
        <w:tab/>
      </w:r>
      <w:r w:rsidRPr="00DA7C7B">
        <w:rPr>
          <w:rFonts w:ascii="Times New Roman" w:hAnsi="Times New Roman" w:cs="Times New Roman"/>
          <w:sz w:val="16"/>
          <w:szCs w:val="16"/>
        </w:rPr>
        <w:tab/>
      </w:r>
      <w:r w:rsidRPr="00DA7C7B">
        <w:rPr>
          <w:rFonts w:ascii="Times New Roman" w:hAnsi="Times New Roman" w:cs="Times New Roman"/>
          <w:sz w:val="16"/>
          <w:szCs w:val="16"/>
        </w:rPr>
        <w:tab/>
      </w:r>
      <w:r w:rsidR="000C144F" w:rsidRPr="00DA7C7B">
        <w:rPr>
          <w:rFonts w:ascii="Times New Roman" w:hAnsi="Times New Roman" w:cs="Times New Roman"/>
          <w:sz w:val="16"/>
          <w:szCs w:val="16"/>
        </w:rPr>
        <w:tab/>
      </w:r>
      <w:r w:rsidR="00A270A7" w:rsidRPr="00DA7C7B">
        <w:rPr>
          <w:rFonts w:ascii="Times New Roman" w:hAnsi="Times New Roman" w:cs="Times New Roman"/>
          <w:sz w:val="16"/>
          <w:szCs w:val="16"/>
        </w:rPr>
        <w:tab/>
      </w:r>
      <w:r w:rsidR="000C144F" w:rsidRPr="00DA7C7B">
        <w:rPr>
          <w:rFonts w:ascii="Times New Roman" w:hAnsi="Times New Roman" w:cs="Times New Roman"/>
          <w:sz w:val="16"/>
          <w:szCs w:val="16"/>
        </w:rPr>
        <w:t>(podpis</w:t>
      </w:r>
      <w:r w:rsidR="00145FEC" w:rsidRPr="00DA7C7B">
        <w:rPr>
          <w:rFonts w:ascii="Times New Roman" w:hAnsi="Times New Roman" w:cs="Times New Roman"/>
          <w:sz w:val="16"/>
          <w:szCs w:val="16"/>
        </w:rPr>
        <w:t xml:space="preserve"> a odtlačok pečiatky)</w:t>
      </w:r>
    </w:p>
    <w:sectPr w:rsidR="000C144F" w:rsidRPr="00DA7C7B" w:rsidSect="007B3F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85E" w:rsidRDefault="00EC485E" w:rsidP="00AE4BD6">
      <w:pPr>
        <w:spacing w:after="0" w:line="240" w:lineRule="auto"/>
      </w:pPr>
      <w:r>
        <w:separator/>
      </w:r>
    </w:p>
  </w:endnote>
  <w:endnote w:type="continuationSeparator" w:id="0">
    <w:p w:rsidR="00EC485E" w:rsidRDefault="00EC485E" w:rsidP="00AE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85E" w:rsidRDefault="00EC485E" w:rsidP="00AE4BD6">
      <w:pPr>
        <w:spacing w:after="0" w:line="240" w:lineRule="auto"/>
      </w:pPr>
      <w:r>
        <w:separator/>
      </w:r>
    </w:p>
  </w:footnote>
  <w:footnote w:type="continuationSeparator" w:id="0">
    <w:p w:rsidR="00EC485E" w:rsidRDefault="00EC485E" w:rsidP="00AE4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D6" w:rsidRPr="00AF1BF0" w:rsidRDefault="00AE4BD6">
    <w:pPr>
      <w:pStyle w:val="Hlavika"/>
      <w:rPr>
        <w:rFonts w:ascii="Times New Roman" w:hAnsi="Times New Roman" w:cs="Times New Roman"/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ED0"/>
    <w:multiLevelType w:val="hybridMultilevel"/>
    <w:tmpl w:val="20DAA9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16DE3"/>
    <w:multiLevelType w:val="hybridMultilevel"/>
    <w:tmpl w:val="67B4CC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4F"/>
    <w:rsid w:val="0001243C"/>
    <w:rsid w:val="000651A7"/>
    <w:rsid w:val="0007675D"/>
    <w:rsid w:val="000844CD"/>
    <w:rsid w:val="000C144F"/>
    <w:rsid w:val="000C7473"/>
    <w:rsid w:val="000E2F17"/>
    <w:rsid w:val="00125C64"/>
    <w:rsid w:val="00137390"/>
    <w:rsid w:val="001451A1"/>
    <w:rsid w:val="00145FEC"/>
    <w:rsid w:val="00160284"/>
    <w:rsid w:val="00190B32"/>
    <w:rsid w:val="001A5C1B"/>
    <w:rsid w:val="001B4875"/>
    <w:rsid w:val="001C2638"/>
    <w:rsid w:val="00282C0C"/>
    <w:rsid w:val="00283CFA"/>
    <w:rsid w:val="00317497"/>
    <w:rsid w:val="003561CD"/>
    <w:rsid w:val="003B3F55"/>
    <w:rsid w:val="00405982"/>
    <w:rsid w:val="004C2CAA"/>
    <w:rsid w:val="005012FB"/>
    <w:rsid w:val="00532894"/>
    <w:rsid w:val="005A25E3"/>
    <w:rsid w:val="005D2F9A"/>
    <w:rsid w:val="005D65B4"/>
    <w:rsid w:val="005F26A1"/>
    <w:rsid w:val="005F43E9"/>
    <w:rsid w:val="006B6D6D"/>
    <w:rsid w:val="006C6B7D"/>
    <w:rsid w:val="007032D8"/>
    <w:rsid w:val="007B3F85"/>
    <w:rsid w:val="008B5770"/>
    <w:rsid w:val="00900918"/>
    <w:rsid w:val="00917A24"/>
    <w:rsid w:val="00971B6A"/>
    <w:rsid w:val="009737C2"/>
    <w:rsid w:val="009A6F2B"/>
    <w:rsid w:val="00A05060"/>
    <w:rsid w:val="00A270A7"/>
    <w:rsid w:val="00A3492D"/>
    <w:rsid w:val="00A950AB"/>
    <w:rsid w:val="00AE4BD6"/>
    <w:rsid w:val="00AF1BF0"/>
    <w:rsid w:val="00B51436"/>
    <w:rsid w:val="00C93CD7"/>
    <w:rsid w:val="00D165B6"/>
    <w:rsid w:val="00D75039"/>
    <w:rsid w:val="00DA7C7B"/>
    <w:rsid w:val="00DF7B51"/>
    <w:rsid w:val="00EC485E"/>
    <w:rsid w:val="00F116B6"/>
    <w:rsid w:val="00FA6CDD"/>
    <w:rsid w:val="00FB38C9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6140B-568D-45CE-9DE9-C4742CB3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144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E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4BD6"/>
  </w:style>
  <w:style w:type="paragraph" w:styleId="Pta">
    <w:name w:val="footer"/>
    <w:basedOn w:val="Normlny"/>
    <w:link w:val="PtaChar"/>
    <w:uiPriority w:val="99"/>
    <w:unhideWhenUsed/>
    <w:rsid w:val="00AE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4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50B15-51FD-48BB-BA1A-786D934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 v Nových Zámkoch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Bečák René</cp:lastModifiedBy>
  <cp:revision>3</cp:revision>
  <dcterms:created xsi:type="dcterms:W3CDTF">2024-03-04T08:27:00Z</dcterms:created>
  <dcterms:modified xsi:type="dcterms:W3CDTF">2024-03-04T08:39:00Z</dcterms:modified>
</cp:coreProperties>
</file>