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F19" w:rsidRDefault="00CD0F19" w:rsidP="00CD0F19">
      <w:r>
        <w:rPr>
          <w:rFonts w:ascii="Arial" w:hAnsi="Arial"/>
          <w:i/>
        </w:rPr>
        <w:t>Graf č. 1</w:t>
      </w:r>
    </w:p>
    <w:p w:rsidR="00CD0F19" w:rsidRDefault="00ED347A" w:rsidP="00CD0F19">
      <w:pPr>
        <w:ind w:right="-426"/>
      </w:pPr>
      <w:r>
        <w:rPr>
          <w:noProof/>
        </w:rPr>
        <w:drawing>
          <wp:inline distT="0" distB="0" distL="0" distR="0">
            <wp:extent cx="7052568" cy="3981450"/>
            <wp:effectExtent l="0" t="0" r="15240" b="19050"/>
            <wp:docPr id="27" name="Objekt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C1876" w:rsidRDefault="001C1876" w:rsidP="001C1876">
      <w:pPr>
        <w:ind w:right="-426"/>
      </w:pPr>
      <w:r>
        <w:tab/>
      </w:r>
    </w:p>
    <w:p w:rsidR="00CD0F19" w:rsidRPr="001C1876" w:rsidRDefault="00CD0F19" w:rsidP="001C1876">
      <w:pPr>
        <w:ind w:right="-426"/>
      </w:pPr>
      <w:r>
        <w:rPr>
          <w:rFonts w:ascii="Arial" w:hAnsi="Arial"/>
          <w:i/>
        </w:rPr>
        <w:t>Graf č. 2</w:t>
      </w:r>
    </w:p>
    <w:p w:rsidR="00CD0F19" w:rsidRDefault="00ED347A" w:rsidP="00CD0F19">
      <w:pPr>
        <w:rPr>
          <w:rFonts w:ascii="Arial" w:hAnsi="Arial"/>
          <w:i/>
        </w:rPr>
      </w:pPr>
      <w:r>
        <w:rPr>
          <w:i/>
          <w:noProof/>
        </w:rPr>
        <w:drawing>
          <wp:inline distT="0" distB="0" distL="0" distR="0">
            <wp:extent cx="7048500" cy="4219575"/>
            <wp:effectExtent l="0" t="0" r="19050" b="9525"/>
            <wp:docPr id="2" name="Objek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D0F19" w:rsidRDefault="00CD0F19" w:rsidP="00CD0F19">
      <w:pPr>
        <w:rPr>
          <w:rFonts w:ascii="Arial" w:hAnsi="Arial"/>
          <w:i/>
        </w:rPr>
      </w:pPr>
      <w:r>
        <w:rPr>
          <w:rFonts w:ascii="Arial" w:hAnsi="Arial"/>
          <w:i/>
        </w:rPr>
        <w:lastRenderedPageBreak/>
        <w:t>Graf č. 3</w:t>
      </w:r>
    </w:p>
    <w:p w:rsidR="00CD0F19" w:rsidRDefault="00ED347A" w:rsidP="00CD0F19">
      <w:pPr>
        <w:rPr>
          <w:rFonts w:ascii="Arial" w:hAnsi="Arial"/>
          <w:i/>
        </w:rPr>
      </w:pPr>
      <w:r>
        <w:rPr>
          <w:noProof/>
        </w:rPr>
        <w:drawing>
          <wp:inline distT="0" distB="0" distL="0" distR="0">
            <wp:extent cx="6991350" cy="4886325"/>
            <wp:effectExtent l="0" t="0" r="19050" b="9525"/>
            <wp:docPr id="3" name="Objek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D0F19" w:rsidRDefault="00CD0F19" w:rsidP="00CD0F19">
      <w:pPr>
        <w:rPr>
          <w:rFonts w:ascii="Arial" w:hAnsi="Arial"/>
          <w:i/>
        </w:rPr>
      </w:pPr>
    </w:p>
    <w:p w:rsidR="00A56D93" w:rsidRDefault="00A56D93" w:rsidP="00CD0F19">
      <w:pPr>
        <w:rPr>
          <w:rFonts w:ascii="Arial" w:hAnsi="Arial"/>
          <w:i/>
        </w:rPr>
      </w:pPr>
      <w:r>
        <w:rPr>
          <w:rFonts w:ascii="Arial" w:hAnsi="Arial"/>
          <w:i/>
        </w:rPr>
        <w:t>Graf č.4</w:t>
      </w:r>
    </w:p>
    <w:p w:rsidR="00CD0F19" w:rsidRDefault="00ED347A" w:rsidP="00A56D93">
      <w:pPr>
        <w:jc w:val="center"/>
      </w:pPr>
      <w:r>
        <w:rPr>
          <w:noProof/>
        </w:rPr>
        <w:drawing>
          <wp:inline distT="0" distB="0" distL="0" distR="0" wp14:anchorId="62DBC770" wp14:editId="247EFEE9">
            <wp:extent cx="6667500" cy="3267075"/>
            <wp:effectExtent l="0" t="0" r="19050" b="9525"/>
            <wp:docPr id="4" name="Objek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D0F19" w:rsidRDefault="00CD0F19" w:rsidP="00CD0F19">
      <w:pPr>
        <w:jc w:val="center"/>
      </w:pPr>
    </w:p>
    <w:p w:rsidR="00CD0F19" w:rsidRDefault="00CD0F19" w:rsidP="00A56D93">
      <w:pPr>
        <w:rPr>
          <w:rFonts w:ascii="Arial" w:hAnsi="Arial"/>
          <w:i/>
        </w:rPr>
      </w:pPr>
      <w:r>
        <w:rPr>
          <w:rFonts w:ascii="Arial" w:hAnsi="Arial"/>
          <w:i/>
        </w:rPr>
        <w:t>Graf č. 5</w:t>
      </w:r>
    </w:p>
    <w:p w:rsidR="00CD0F19" w:rsidRDefault="00ED347A" w:rsidP="00CD0F19">
      <w:pPr>
        <w:rPr>
          <w:rFonts w:ascii="Arial" w:hAnsi="Arial"/>
          <w:i/>
        </w:rPr>
      </w:pPr>
      <w:r>
        <w:rPr>
          <w:noProof/>
        </w:rPr>
        <w:drawing>
          <wp:inline distT="0" distB="0" distL="0" distR="0">
            <wp:extent cx="6915150" cy="4192495"/>
            <wp:effectExtent l="0" t="0" r="19050" b="17780"/>
            <wp:docPr id="5" name="Objek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rPr>
          <w:rFonts w:ascii="Arial" w:hAnsi="Arial"/>
          <w:i/>
        </w:rPr>
      </w:pPr>
      <w:r>
        <w:rPr>
          <w:rFonts w:ascii="Arial" w:hAnsi="Arial"/>
          <w:i/>
        </w:rPr>
        <w:t xml:space="preserve">Graf č. 6 </w:t>
      </w:r>
    </w:p>
    <w:p w:rsidR="00CD0F19" w:rsidRDefault="00ED347A" w:rsidP="00CD0F19">
      <w:pPr>
        <w:rPr>
          <w:rFonts w:ascii="Arial" w:hAnsi="Arial"/>
          <w:i/>
        </w:rPr>
      </w:pPr>
      <w:r>
        <w:rPr>
          <w:noProof/>
        </w:rPr>
        <w:drawing>
          <wp:inline distT="0" distB="0" distL="0" distR="0">
            <wp:extent cx="6905625" cy="3800475"/>
            <wp:effectExtent l="0" t="0" r="9525" b="9525"/>
            <wp:docPr id="6" name="Objekt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rPr>
          <w:rFonts w:ascii="Arial" w:hAnsi="Arial"/>
          <w:i/>
        </w:rPr>
      </w:pPr>
      <w:r>
        <w:rPr>
          <w:rFonts w:ascii="Arial" w:hAnsi="Arial"/>
          <w:i/>
        </w:rPr>
        <w:t>Graf č. 7</w:t>
      </w:r>
    </w:p>
    <w:p w:rsidR="00CD0F19" w:rsidRDefault="00ED347A" w:rsidP="00CD0F19">
      <w:pPr>
        <w:rPr>
          <w:rFonts w:ascii="Arial" w:hAnsi="Arial"/>
          <w:i/>
        </w:rPr>
      </w:pPr>
      <w:r>
        <w:rPr>
          <w:noProof/>
        </w:rPr>
        <w:drawing>
          <wp:inline distT="0" distB="0" distL="0" distR="0">
            <wp:extent cx="6943725" cy="3829050"/>
            <wp:effectExtent l="0" t="0" r="9525" b="19050"/>
            <wp:docPr id="7" name="Objekt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rPr>
          <w:rFonts w:ascii="Arial" w:hAnsi="Arial"/>
          <w:i/>
        </w:rPr>
      </w:pPr>
      <w:r>
        <w:rPr>
          <w:rFonts w:ascii="Arial" w:hAnsi="Arial"/>
          <w:i/>
        </w:rPr>
        <w:t>Graf č. 8</w:t>
      </w:r>
    </w:p>
    <w:p w:rsidR="00CD0F19" w:rsidRDefault="00ED347A" w:rsidP="00CD0F19">
      <w:pPr>
        <w:rPr>
          <w:rFonts w:ascii="Arial" w:hAnsi="Arial"/>
          <w:i/>
        </w:rPr>
      </w:pPr>
      <w:r>
        <w:rPr>
          <w:noProof/>
        </w:rPr>
        <w:drawing>
          <wp:inline distT="0" distB="0" distL="0" distR="0">
            <wp:extent cx="6943725" cy="3705225"/>
            <wp:effectExtent l="0" t="0" r="9525" b="9525"/>
            <wp:docPr id="8" name="Objekt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/>
    <w:p w:rsidR="00CD0F19" w:rsidRDefault="00CD0F19" w:rsidP="00CD0F19"/>
    <w:p w:rsidR="00CD0F19" w:rsidRDefault="00CD0F19" w:rsidP="00CD0F19"/>
    <w:p w:rsidR="00CD0F19" w:rsidRDefault="00CD0F19" w:rsidP="00CD0F19">
      <w:pPr>
        <w:rPr>
          <w:rFonts w:ascii="Arial" w:hAnsi="Arial"/>
          <w:i/>
        </w:rPr>
      </w:pPr>
      <w:r>
        <w:rPr>
          <w:rFonts w:ascii="Arial" w:hAnsi="Arial"/>
          <w:i/>
        </w:rPr>
        <w:t xml:space="preserve">                                                                                                                                               Graf č. 9</w:t>
      </w:r>
    </w:p>
    <w:p w:rsidR="00CD0F19" w:rsidRDefault="00ED347A" w:rsidP="00CD0F19">
      <w:pPr>
        <w:rPr>
          <w:rFonts w:ascii="Arial" w:hAnsi="Arial"/>
          <w:i/>
        </w:rPr>
      </w:pPr>
      <w:r>
        <w:rPr>
          <w:noProof/>
        </w:rPr>
        <w:drawing>
          <wp:inline distT="0" distB="0" distL="0" distR="0">
            <wp:extent cx="6810375" cy="3571875"/>
            <wp:effectExtent l="0" t="0" r="9525" b="9525"/>
            <wp:docPr id="9" name="Objekt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rPr>
          <w:rFonts w:ascii="Arial" w:hAnsi="Arial"/>
          <w:i/>
        </w:rPr>
      </w:pPr>
      <w:r>
        <w:rPr>
          <w:rFonts w:ascii="Arial" w:hAnsi="Arial"/>
          <w:i/>
        </w:rPr>
        <w:t>Graf č. 10</w:t>
      </w:r>
    </w:p>
    <w:p w:rsidR="00CD0F19" w:rsidRPr="00992C78" w:rsidRDefault="00ED347A" w:rsidP="00CD0F19">
      <w:r>
        <w:rPr>
          <w:noProof/>
        </w:rPr>
        <w:drawing>
          <wp:inline distT="0" distB="0" distL="0" distR="0">
            <wp:extent cx="6724650" cy="3743325"/>
            <wp:effectExtent l="0" t="0" r="19050" b="9525"/>
            <wp:docPr id="30" name="Objekt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CD0F19" w:rsidRDefault="00CD0F19" w:rsidP="00CD0F19">
      <w:pPr>
        <w:rPr>
          <w:rFonts w:ascii="Arial" w:hAnsi="Arial"/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D0F19" w:rsidRDefault="00CD0F19" w:rsidP="00CD0F19"/>
    <w:p w:rsidR="00CD0F19" w:rsidRDefault="00CD0F19" w:rsidP="00CD0F19"/>
    <w:p w:rsidR="00CD0F19" w:rsidRDefault="00CD0F19" w:rsidP="00CD0F19"/>
    <w:p w:rsidR="00CD0F19" w:rsidRDefault="00CD0F19" w:rsidP="00CD0F19">
      <w:pPr>
        <w:rPr>
          <w:rFonts w:ascii="Arial" w:hAnsi="Arial"/>
          <w:i/>
        </w:rPr>
      </w:pPr>
      <w:r>
        <w:rPr>
          <w:rFonts w:ascii="Arial" w:hAnsi="Arial"/>
          <w:i/>
        </w:rPr>
        <w:t>Graf č. 11</w:t>
      </w:r>
    </w:p>
    <w:p w:rsidR="00CD0F19" w:rsidRDefault="00ED347A" w:rsidP="00CD0F19">
      <w:pPr>
        <w:rPr>
          <w:rFonts w:ascii="Arial" w:hAnsi="Arial"/>
          <w:i/>
        </w:rPr>
      </w:pPr>
      <w:r>
        <w:rPr>
          <w:noProof/>
        </w:rPr>
        <w:drawing>
          <wp:inline distT="0" distB="0" distL="0" distR="0">
            <wp:extent cx="6753225" cy="3762375"/>
            <wp:effectExtent l="0" t="0" r="9525" b="9525"/>
            <wp:docPr id="34" name="Objekt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rPr>
          <w:rFonts w:ascii="Arial" w:hAnsi="Arial"/>
          <w:i/>
        </w:rPr>
      </w:pPr>
      <w:r>
        <w:rPr>
          <w:rFonts w:ascii="Arial" w:hAnsi="Arial"/>
          <w:i/>
        </w:rPr>
        <w:t>Graf č. 12</w:t>
      </w:r>
    </w:p>
    <w:p w:rsidR="00CD0F19" w:rsidRPr="00992C78" w:rsidRDefault="00ED347A" w:rsidP="00CD0F19">
      <w:r>
        <w:rPr>
          <w:noProof/>
        </w:rPr>
        <w:drawing>
          <wp:inline distT="0" distB="0" distL="0" distR="0">
            <wp:extent cx="6753225" cy="3848100"/>
            <wp:effectExtent l="0" t="0" r="9525" b="19050"/>
            <wp:docPr id="38" name="Objekt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CD0F19" w:rsidRDefault="00CD0F19" w:rsidP="00CD0F19">
      <w:pPr>
        <w:rPr>
          <w:rFonts w:ascii="Arial" w:hAnsi="Arial"/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D0F19" w:rsidRDefault="00CD0F19" w:rsidP="00CD0F19"/>
    <w:p w:rsidR="00CD0F19" w:rsidRDefault="00CD0F19" w:rsidP="00CD0F19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D0F19" w:rsidRDefault="00CD0F19" w:rsidP="00CD0F19">
      <w:pPr>
        <w:jc w:val="both"/>
        <w:rPr>
          <w:rFonts w:ascii="Arial" w:hAnsi="Arial"/>
          <w:i/>
        </w:rPr>
      </w:pPr>
      <w:r>
        <w:rPr>
          <w:rFonts w:ascii="Arial" w:hAnsi="Arial"/>
          <w:i/>
        </w:rPr>
        <w:t>Graf č. 13</w:t>
      </w:r>
    </w:p>
    <w:p w:rsidR="00CD0F19" w:rsidRDefault="00ED347A" w:rsidP="00CD0F19">
      <w:pPr>
        <w:rPr>
          <w:rFonts w:ascii="Arial" w:hAnsi="Arial"/>
          <w:i/>
        </w:rPr>
      </w:pPr>
      <w:r>
        <w:rPr>
          <w:noProof/>
        </w:rPr>
        <w:drawing>
          <wp:inline distT="0" distB="0" distL="0" distR="0">
            <wp:extent cx="6877050" cy="3457575"/>
            <wp:effectExtent l="0" t="0" r="19050" b="9525"/>
            <wp:docPr id="43" name="Objekt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rPr>
          <w:rFonts w:ascii="Arial" w:hAnsi="Arial"/>
          <w:i/>
        </w:rPr>
      </w:pPr>
    </w:p>
    <w:p w:rsidR="00CD0F19" w:rsidRPr="007B697C" w:rsidRDefault="00CD0F19" w:rsidP="00CD0F19">
      <w:pPr>
        <w:ind w:left="7788"/>
        <w:rPr>
          <w:rFonts w:ascii="Arial" w:hAnsi="Arial"/>
          <w:i/>
        </w:rPr>
      </w:pPr>
      <w:r>
        <w:rPr>
          <w:rFonts w:ascii="Arial" w:hAnsi="Arial"/>
          <w:i/>
        </w:rPr>
        <w:t xml:space="preserve"> Graf č. 14</w:t>
      </w:r>
    </w:p>
    <w:p w:rsidR="00CD0F19" w:rsidRPr="00057868" w:rsidRDefault="00ED347A" w:rsidP="007B04C1">
      <w:pPr>
        <w:jc w:val="both"/>
        <w:rPr>
          <w:rFonts w:ascii="Arial" w:hAnsi="Arial"/>
        </w:rPr>
      </w:pPr>
      <w:r>
        <w:rPr>
          <w:noProof/>
        </w:rPr>
        <w:drawing>
          <wp:inline distT="0" distB="0" distL="0" distR="0" wp14:anchorId="45F126F4" wp14:editId="4F7035A2">
            <wp:extent cx="6877050" cy="3943350"/>
            <wp:effectExtent l="0" t="0" r="19050" b="19050"/>
            <wp:docPr id="47" name="Objekt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CD0F19" w:rsidRDefault="00CD0F19" w:rsidP="00CD0F19">
      <w:pPr>
        <w:jc w:val="both"/>
        <w:rPr>
          <w:rFonts w:ascii="Arial" w:hAnsi="Arial"/>
        </w:rPr>
      </w:pPr>
    </w:p>
    <w:p w:rsidR="00CD0F19" w:rsidRDefault="00CD0F19" w:rsidP="00CD0F19">
      <w:pPr>
        <w:jc w:val="both"/>
        <w:rPr>
          <w:rFonts w:ascii="Arial" w:hAnsi="Arial"/>
        </w:rPr>
      </w:pPr>
    </w:p>
    <w:p w:rsidR="00CD0F19" w:rsidRDefault="00CD0F19" w:rsidP="00CD0F19">
      <w:pPr>
        <w:jc w:val="both"/>
        <w:rPr>
          <w:rFonts w:ascii="Arial" w:hAnsi="Arial"/>
        </w:rPr>
      </w:pPr>
    </w:p>
    <w:p w:rsidR="00CD0F19" w:rsidRDefault="00CD0F19" w:rsidP="00CD0F19">
      <w:pPr>
        <w:jc w:val="both"/>
        <w:rPr>
          <w:rFonts w:ascii="Arial" w:hAnsi="Arial"/>
        </w:rPr>
      </w:pPr>
    </w:p>
    <w:p w:rsidR="00CD0F19" w:rsidRDefault="00CD0F19" w:rsidP="00CD0F19">
      <w:pPr>
        <w:jc w:val="both"/>
        <w:rPr>
          <w:rFonts w:ascii="Arial" w:hAnsi="Arial"/>
          <w:i/>
        </w:rPr>
      </w:pPr>
      <w:r>
        <w:rPr>
          <w:rFonts w:ascii="Arial" w:hAnsi="Arial"/>
          <w:i/>
        </w:rPr>
        <w:t>Graf. 15</w:t>
      </w:r>
    </w:p>
    <w:p w:rsidR="00CD0F19" w:rsidRDefault="00ED347A" w:rsidP="00CD0F19">
      <w:pPr>
        <w:rPr>
          <w:rFonts w:ascii="Arial" w:hAnsi="Arial"/>
          <w:i/>
        </w:rPr>
      </w:pPr>
      <w:r>
        <w:rPr>
          <w:noProof/>
        </w:rPr>
        <w:drawing>
          <wp:inline distT="0" distB="0" distL="0" distR="0">
            <wp:extent cx="6831455" cy="3571875"/>
            <wp:effectExtent l="0" t="0" r="26670" b="9525"/>
            <wp:docPr id="59" name="Objekt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rPr>
          <w:rFonts w:ascii="Arial" w:hAnsi="Arial"/>
          <w:i/>
        </w:rPr>
      </w:pPr>
    </w:p>
    <w:p w:rsidR="00CD0F19" w:rsidRDefault="00CD0F19" w:rsidP="00CD0F19">
      <w:pPr>
        <w:rPr>
          <w:rFonts w:ascii="Arial" w:hAnsi="Arial"/>
          <w:i/>
        </w:rPr>
      </w:pPr>
    </w:p>
    <w:p w:rsidR="00CD0F19" w:rsidRPr="007B697C" w:rsidRDefault="00CD0F19" w:rsidP="00CD0F19">
      <w:pPr>
        <w:ind w:left="7788"/>
        <w:rPr>
          <w:rFonts w:ascii="Arial" w:hAnsi="Arial"/>
          <w:i/>
        </w:rPr>
      </w:pPr>
      <w:r>
        <w:rPr>
          <w:rFonts w:ascii="Arial" w:hAnsi="Arial"/>
          <w:i/>
        </w:rPr>
        <w:t xml:space="preserve"> Graf č. 16</w:t>
      </w:r>
    </w:p>
    <w:p w:rsidR="00CD0F19" w:rsidRPr="00057868" w:rsidRDefault="00CD0F19" w:rsidP="00CD0F19">
      <w:pPr>
        <w:ind w:left="-284"/>
        <w:jc w:val="both"/>
        <w:rPr>
          <w:rFonts w:ascii="Arial" w:hAnsi="Arial"/>
        </w:rPr>
      </w:pPr>
    </w:p>
    <w:p w:rsidR="00CD0F19" w:rsidRDefault="00ED347A" w:rsidP="00CD0F19">
      <w:pPr>
        <w:jc w:val="both"/>
        <w:rPr>
          <w:rFonts w:ascii="Arial" w:hAnsi="Arial"/>
        </w:rPr>
      </w:pPr>
      <w:r>
        <w:rPr>
          <w:noProof/>
        </w:rPr>
        <w:drawing>
          <wp:inline distT="0" distB="0" distL="0" distR="0">
            <wp:extent cx="6829425" cy="3905250"/>
            <wp:effectExtent l="0" t="0" r="9525" b="19050"/>
            <wp:docPr id="65" name="Objekt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CD0F19" w:rsidRDefault="00CD0F19" w:rsidP="00CD0F19">
      <w:pPr>
        <w:jc w:val="both"/>
        <w:rPr>
          <w:rFonts w:ascii="Arial" w:hAnsi="Arial"/>
        </w:rPr>
      </w:pPr>
    </w:p>
    <w:p w:rsidR="00CD0F19" w:rsidRPr="00250C00" w:rsidRDefault="00CD0F19" w:rsidP="00CD0F19">
      <w:pPr>
        <w:rPr>
          <w:rFonts w:ascii="Arial" w:hAnsi="Arial"/>
          <w:i/>
        </w:rPr>
      </w:pPr>
      <w:r>
        <w:rPr>
          <w:rFonts w:ascii="Arial" w:hAnsi="Arial"/>
          <w:i/>
        </w:rPr>
        <w:t>Graf č. 17</w:t>
      </w:r>
    </w:p>
    <w:p w:rsidR="00CD0F19" w:rsidRDefault="00CD0F19" w:rsidP="00CD0F19">
      <w:pPr>
        <w:jc w:val="both"/>
        <w:rPr>
          <w:rFonts w:ascii="Arial" w:hAnsi="Arial"/>
        </w:rPr>
      </w:pPr>
    </w:p>
    <w:p w:rsidR="00CD0F19" w:rsidRDefault="00ED347A" w:rsidP="00CD0F19">
      <w:pPr>
        <w:jc w:val="both"/>
        <w:rPr>
          <w:rFonts w:ascii="Arial" w:hAnsi="Arial"/>
        </w:rPr>
      </w:pPr>
      <w:r>
        <w:rPr>
          <w:noProof/>
        </w:rPr>
        <w:drawing>
          <wp:inline distT="0" distB="0" distL="0" distR="0">
            <wp:extent cx="6524625" cy="3486150"/>
            <wp:effectExtent l="0" t="0" r="9525" b="19050"/>
            <wp:docPr id="70" name="Objekt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CD0F19" w:rsidRDefault="00CD0F19" w:rsidP="00CD0F19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CD0F19" w:rsidRDefault="00CD0F19" w:rsidP="00CD0F19">
      <w:pPr>
        <w:jc w:val="both"/>
        <w:rPr>
          <w:rFonts w:ascii="Arial" w:hAnsi="Arial"/>
        </w:rPr>
      </w:pPr>
    </w:p>
    <w:p w:rsidR="00CD0F19" w:rsidRPr="00A1031E" w:rsidRDefault="00CD0F19" w:rsidP="00CD0F19">
      <w:pPr>
        <w:rPr>
          <w:rFonts w:ascii="Arial" w:hAnsi="Arial"/>
          <w:i/>
        </w:rPr>
      </w:pPr>
      <w:r>
        <w:rPr>
          <w:rFonts w:ascii="Arial" w:hAnsi="Arial"/>
          <w:i/>
        </w:rPr>
        <w:t>Graf č. 18</w:t>
      </w:r>
    </w:p>
    <w:p w:rsidR="00CD0F19" w:rsidRDefault="00CD0F19" w:rsidP="00CD0F19">
      <w:pPr>
        <w:jc w:val="both"/>
        <w:rPr>
          <w:rFonts w:ascii="Arial" w:hAnsi="Arial"/>
        </w:rPr>
      </w:pPr>
    </w:p>
    <w:p w:rsidR="00CD0F19" w:rsidRDefault="00ED347A" w:rsidP="00CD0F19">
      <w:pPr>
        <w:ind w:right="1746"/>
        <w:jc w:val="both"/>
      </w:pPr>
      <w:r>
        <w:rPr>
          <w:noProof/>
        </w:rPr>
        <w:drawing>
          <wp:inline distT="0" distB="0" distL="0" distR="0">
            <wp:extent cx="6524625" cy="3609975"/>
            <wp:effectExtent l="0" t="0" r="9525" b="9525"/>
            <wp:docPr id="74" name="Objekt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CD0F19" w:rsidRDefault="00CD0F19" w:rsidP="00CD0F19">
      <w:pPr>
        <w:ind w:right="1746"/>
        <w:jc w:val="both"/>
      </w:pPr>
    </w:p>
    <w:p w:rsidR="00CD0F19" w:rsidRDefault="00CD0F19" w:rsidP="00CD0F19">
      <w:pPr>
        <w:ind w:right="1746"/>
        <w:jc w:val="both"/>
      </w:pPr>
    </w:p>
    <w:p w:rsidR="00CD0F19" w:rsidRDefault="00CD0F19" w:rsidP="00CD0F19">
      <w:pPr>
        <w:ind w:right="1746"/>
        <w:jc w:val="both"/>
      </w:pPr>
    </w:p>
    <w:p w:rsidR="00CD0F19" w:rsidRDefault="00CD0F19" w:rsidP="00CD0F19">
      <w:pPr>
        <w:ind w:right="1746"/>
        <w:jc w:val="both"/>
      </w:pPr>
    </w:p>
    <w:p w:rsidR="00CD0F19" w:rsidRPr="00D9051E" w:rsidRDefault="00CD0F19" w:rsidP="007B04C1">
      <w:pPr>
        <w:ind w:right="1746"/>
        <w:rPr>
          <w:rFonts w:ascii="Arial" w:hAnsi="Arial"/>
        </w:rPr>
      </w:pPr>
      <w:r w:rsidRPr="00A1031E">
        <w:rPr>
          <w:rFonts w:ascii="Arial" w:hAnsi="Arial" w:cs="Arial"/>
          <w:i/>
        </w:rPr>
        <w:lastRenderedPageBreak/>
        <w:t>Graf č. 19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ED347A">
        <w:rPr>
          <w:noProof/>
        </w:rPr>
        <w:drawing>
          <wp:inline distT="0" distB="0" distL="0" distR="0">
            <wp:extent cx="6629400" cy="3724275"/>
            <wp:effectExtent l="0" t="0" r="19050" b="9525"/>
            <wp:docPr id="80" name="Objekt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CD0F19" w:rsidRDefault="00CD0F19" w:rsidP="00CD0F19">
      <w:pPr>
        <w:jc w:val="both"/>
        <w:rPr>
          <w:rFonts w:ascii="Arial" w:hAnsi="Arial"/>
          <w:i/>
        </w:rPr>
      </w:pPr>
    </w:p>
    <w:p w:rsidR="00CD0F19" w:rsidRDefault="00CD0F19" w:rsidP="00CD0F19">
      <w:pPr>
        <w:jc w:val="both"/>
        <w:rPr>
          <w:rFonts w:ascii="Arial" w:hAnsi="Arial"/>
          <w:i/>
        </w:rPr>
      </w:pPr>
    </w:p>
    <w:p w:rsidR="00CD0F19" w:rsidRDefault="00CD0F19" w:rsidP="00CD0F19">
      <w:r>
        <w:rPr>
          <w:rFonts w:ascii="Arial" w:hAnsi="Arial"/>
          <w:i/>
        </w:rPr>
        <w:t>Graf č. 20</w:t>
      </w:r>
      <w:r>
        <w:rPr>
          <w:rFonts w:ascii="Arial" w:hAnsi="Arial"/>
          <w:i/>
        </w:rPr>
        <w:tab/>
      </w:r>
      <w:r>
        <w:rPr>
          <w:rFonts w:ascii="Arial" w:hAnsi="Arial"/>
          <w:i/>
        </w:rPr>
        <w:tab/>
      </w:r>
      <w:r>
        <w:rPr>
          <w:rFonts w:ascii="Arial" w:hAnsi="Arial"/>
          <w:i/>
        </w:rPr>
        <w:tab/>
      </w:r>
      <w:r>
        <w:rPr>
          <w:rFonts w:ascii="Arial" w:hAnsi="Arial"/>
          <w:i/>
        </w:rPr>
        <w:tab/>
      </w:r>
      <w:r>
        <w:rPr>
          <w:rFonts w:ascii="Arial" w:hAnsi="Arial"/>
          <w:i/>
        </w:rPr>
        <w:tab/>
      </w:r>
      <w:r>
        <w:rPr>
          <w:rFonts w:ascii="Arial" w:hAnsi="Arial"/>
          <w:i/>
        </w:rPr>
        <w:tab/>
      </w:r>
      <w:r>
        <w:rPr>
          <w:rFonts w:ascii="Arial" w:hAnsi="Arial"/>
          <w:i/>
        </w:rPr>
        <w:tab/>
      </w:r>
      <w:r w:rsidR="00ED347A">
        <w:rPr>
          <w:noProof/>
        </w:rPr>
        <w:drawing>
          <wp:inline distT="0" distB="0" distL="0" distR="0">
            <wp:extent cx="6629400" cy="3448050"/>
            <wp:effectExtent l="0" t="0" r="19050" b="19050"/>
            <wp:docPr id="85" name="Objekt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CD0F19" w:rsidRDefault="00CD0F19" w:rsidP="00CD0F19">
      <w:pPr>
        <w:jc w:val="both"/>
      </w:pPr>
    </w:p>
    <w:p w:rsidR="00CD0F19" w:rsidRDefault="00CD0F19" w:rsidP="00CD0F19">
      <w:pPr>
        <w:jc w:val="both"/>
      </w:pPr>
    </w:p>
    <w:p w:rsidR="00C82879" w:rsidRDefault="00CD0F19" w:rsidP="00CD0F19">
      <w:pPr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                                                                                                                                        </w:t>
      </w:r>
    </w:p>
    <w:p w:rsidR="00C82879" w:rsidRDefault="00C82879" w:rsidP="00CD0F19">
      <w:pPr>
        <w:jc w:val="both"/>
        <w:rPr>
          <w:rFonts w:ascii="Arial" w:hAnsi="Arial"/>
          <w:i/>
        </w:rPr>
      </w:pPr>
    </w:p>
    <w:p w:rsidR="00CD0F19" w:rsidRDefault="00CD0F19" w:rsidP="00CD0F19">
      <w:pPr>
        <w:jc w:val="both"/>
        <w:rPr>
          <w:rFonts w:ascii="Arial" w:hAnsi="Arial"/>
          <w:i/>
        </w:rPr>
      </w:pPr>
      <w:r>
        <w:rPr>
          <w:rFonts w:ascii="Arial" w:hAnsi="Arial"/>
          <w:i/>
        </w:rPr>
        <w:lastRenderedPageBreak/>
        <w:t xml:space="preserve">Graf č.21                                                                                                                                                </w:t>
      </w:r>
    </w:p>
    <w:p w:rsidR="00CD0F19" w:rsidRDefault="00ED347A" w:rsidP="00CD0F19">
      <w:pPr>
        <w:jc w:val="both"/>
      </w:pPr>
      <w:r>
        <w:rPr>
          <w:noProof/>
        </w:rPr>
        <w:drawing>
          <wp:inline distT="0" distB="0" distL="0" distR="0">
            <wp:extent cx="6819900" cy="4076700"/>
            <wp:effectExtent l="0" t="0" r="19050" b="19050"/>
            <wp:docPr id="92" name="Objekt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BB03DE" w:rsidRDefault="00BB03DE" w:rsidP="00CD0F19">
      <w:pPr>
        <w:jc w:val="both"/>
      </w:pPr>
    </w:p>
    <w:p w:rsidR="00CD0F19" w:rsidRDefault="00CD0F19" w:rsidP="00AF5396">
      <w:r>
        <w:rPr>
          <w:rFonts w:ascii="Arial" w:hAnsi="Arial"/>
          <w:i/>
        </w:rPr>
        <w:t xml:space="preserve">Graf č.22                                                                                               </w:t>
      </w:r>
      <w:r w:rsidR="00ED347A">
        <w:rPr>
          <w:noProof/>
        </w:rPr>
        <w:drawing>
          <wp:inline distT="0" distB="0" distL="0" distR="0">
            <wp:extent cx="6819900" cy="4114800"/>
            <wp:effectExtent l="0" t="0" r="19050" b="19050"/>
            <wp:docPr id="99" name="Objekt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CD0F19" w:rsidRDefault="00CD0F19" w:rsidP="00CD0F19">
      <w:pPr>
        <w:jc w:val="both"/>
        <w:rPr>
          <w:rFonts w:ascii="Arial" w:hAnsi="Arial"/>
          <w:i/>
        </w:rPr>
      </w:pPr>
    </w:p>
    <w:p w:rsidR="00CD0F19" w:rsidRDefault="00CD0F19" w:rsidP="00CD0F19">
      <w:pPr>
        <w:jc w:val="both"/>
        <w:rPr>
          <w:rFonts w:ascii="Arial" w:hAnsi="Arial"/>
          <w:i/>
        </w:rPr>
      </w:pPr>
      <w:r>
        <w:rPr>
          <w:rFonts w:ascii="Arial" w:hAnsi="Arial"/>
          <w:i/>
        </w:rPr>
        <w:t>Graf č. 23</w:t>
      </w:r>
    </w:p>
    <w:p w:rsidR="00CD0F19" w:rsidRPr="006914CE" w:rsidRDefault="00ED347A" w:rsidP="00CD0F19">
      <w:pPr>
        <w:jc w:val="both"/>
        <w:rPr>
          <w:rFonts w:ascii="Arial" w:hAnsi="Arial"/>
        </w:rPr>
      </w:pPr>
      <w:r>
        <w:rPr>
          <w:noProof/>
        </w:rPr>
        <w:drawing>
          <wp:inline distT="0" distB="0" distL="0" distR="0">
            <wp:extent cx="6562725" cy="3876675"/>
            <wp:effectExtent l="0" t="0" r="9525" b="9525"/>
            <wp:docPr id="104" name="Objekt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CD0F19" w:rsidRDefault="00CD0F19" w:rsidP="00CD0F19">
      <w:pPr>
        <w:jc w:val="both"/>
      </w:pPr>
    </w:p>
    <w:p w:rsidR="00CD0F19" w:rsidRDefault="00CD0F19" w:rsidP="00CD0F19">
      <w:pPr>
        <w:ind w:right="1206"/>
        <w:jc w:val="both"/>
      </w:pPr>
      <w:bookmarkStart w:id="0" w:name="_GoBack"/>
      <w:bookmarkEnd w:id="0"/>
    </w:p>
    <w:p w:rsidR="00CD0F19" w:rsidRDefault="00AF5396" w:rsidP="00CD0F19">
      <w:pPr>
        <w:jc w:val="both"/>
        <w:rPr>
          <w:rFonts w:ascii="Arial" w:hAnsi="Arial"/>
          <w:i/>
        </w:rPr>
      </w:pPr>
      <w:r>
        <w:rPr>
          <w:rFonts w:ascii="Arial" w:hAnsi="Arial"/>
          <w:i/>
        </w:rPr>
        <w:t>Graf č. 24</w:t>
      </w:r>
    </w:p>
    <w:p w:rsidR="00CD0F19" w:rsidRDefault="00ED347A" w:rsidP="00CD0F19">
      <w:pPr>
        <w:jc w:val="both"/>
      </w:pPr>
      <w:r>
        <w:rPr>
          <w:noProof/>
        </w:rPr>
        <w:drawing>
          <wp:inline distT="0" distB="0" distL="0" distR="0">
            <wp:extent cx="6562725" cy="3886200"/>
            <wp:effectExtent l="0" t="0" r="9525" b="19050"/>
            <wp:docPr id="110" name="Objekt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sectPr w:rsidR="00CD0F19" w:rsidSect="001C1876">
      <w:headerReference w:type="default" r:id="rId32"/>
      <w:footerReference w:type="even" r:id="rId33"/>
      <w:footerReference w:type="default" r:id="rId34"/>
      <w:pgSz w:w="11906" w:h="16838"/>
      <w:pgMar w:top="2092" w:right="282" w:bottom="993" w:left="567" w:header="851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7AF" w:rsidRDefault="003067AF">
      <w:r>
        <w:separator/>
      </w:r>
    </w:p>
  </w:endnote>
  <w:endnote w:type="continuationSeparator" w:id="0">
    <w:p w:rsidR="003067AF" w:rsidRDefault="00306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7AF" w:rsidRDefault="003067AF" w:rsidP="00CD0F19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3067AF" w:rsidRDefault="003067AF" w:rsidP="00CD0F19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7AF" w:rsidRDefault="003067AF" w:rsidP="00CD0F19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DC1D3E">
      <w:rPr>
        <w:rStyle w:val="slostrany"/>
        <w:noProof/>
      </w:rPr>
      <w:t>12</w:t>
    </w:r>
    <w:r>
      <w:rPr>
        <w:rStyle w:val="slostrany"/>
      </w:rPr>
      <w:fldChar w:fldCharType="end"/>
    </w:r>
    <w:r>
      <w:rPr>
        <w:rStyle w:val="slostrany"/>
      </w:rPr>
      <w:t>/12</w:t>
    </w:r>
  </w:p>
  <w:p w:rsidR="003067AF" w:rsidRDefault="003067AF" w:rsidP="00CD0F19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7AF" w:rsidRDefault="003067AF">
      <w:r>
        <w:separator/>
      </w:r>
    </w:p>
  </w:footnote>
  <w:footnote w:type="continuationSeparator" w:id="0">
    <w:p w:rsidR="003067AF" w:rsidRDefault="003067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7AF" w:rsidRDefault="003067AF">
    <w:pPr>
      <w:pStyle w:val="Hlavika"/>
    </w:pPr>
    <w:r>
      <w:rPr>
        <w:noProof/>
      </w:rPr>
      <w:drawing>
        <wp:anchor distT="0" distB="0" distL="114300" distR="114300" simplePos="0" relativeHeight="251657728" behindDoc="0" locked="0" layoutInCell="1" allowOverlap="1" wp14:anchorId="26D0C881" wp14:editId="32A8C88B">
          <wp:simplePos x="0" y="0"/>
          <wp:positionH relativeFrom="column">
            <wp:posOffset>2826385</wp:posOffset>
          </wp:positionH>
          <wp:positionV relativeFrom="paragraph">
            <wp:posOffset>-104140</wp:posOffset>
          </wp:positionV>
          <wp:extent cx="577850" cy="685800"/>
          <wp:effectExtent l="19050" t="0" r="0" b="0"/>
          <wp:wrapNone/>
          <wp:docPr id="1" name="Obrázok 1" descr="sk_zna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k_zna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850" cy="685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</w:p>
  <w:p w:rsidR="003067AF" w:rsidRDefault="003067AF">
    <w:pPr>
      <w:pStyle w:val="Hlavika"/>
    </w:pPr>
  </w:p>
  <w:p w:rsidR="003067AF" w:rsidRDefault="003067AF">
    <w:pPr>
      <w:pStyle w:val="Hlavika"/>
    </w:pPr>
  </w:p>
  <w:p w:rsidR="003067AF" w:rsidRDefault="003067AF">
    <w:pPr>
      <w:pStyle w:val="Hlavika"/>
    </w:pPr>
  </w:p>
  <w:p w:rsidR="003067AF" w:rsidRPr="008E7272" w:rsidRDefault="003067AF" w:rsidP="00CD0F19">
    <w:pPr>
      <w:pStyle w:val="Hlavika"/>
      <w:jc w:val="center"/>
      <w:rPr>
        <w:rFonts w:ascii="Arial Black" w:hAnsi="Arial Black"/>
        <w:b/>
        <w:i/>
        <w:color w:val="000080"/>
        <w:sz w:val="16"/>
        <w:szCs w:val="16"/>
      </w:rPr>
    </w:pPr>
    <w:r w:rsidRPr="008E7272">
      <w:rPr>
        <w:rFonts w:ascii="Arial Black" w:hAnsi="Arial Black"/>
        <w:b/>
        <w:i/>
        <w:color w:val="000080"/>
        <w:sz w:val="16"/>
        <w:szCs w:val="16"/>
      </w:rPr>
      <w:t>Ústredie práce</w:t>
    </w:r>
    <w:r>
      <w:rPr>
        <w:rFonts w:ascii="Arial Black" w:hAnsi="Arial Black"/>
        <w:b/>
        <w:i/>
        <w:color w:val="000080"/>
        <w:sz w:val="16"/>
        <w:szCs w:val="16"/>
      </w:rPr>
      <w:t>,</w:t>
    </w:r>
    <w:r w:rsidRPr="008E7272">
      <w:rPr>
        <w:rFonts w:ascii="Arial Black" w:hAnsi="Arial Black"/>
        <w:b/>
        <w:i/>
        <w:color w:val="000080"/>
        <w:sz w:val="16"/>
        <w:szCs w:val="16"/>
      </w:rPr>
      <w:t xml:space="preserve"> sociálnych vecí a rodiny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F19"/>
    <w:rsid w:val="000002AC"/>
    <w:rsid w:val="00021C79"/>
    <w:rsid w:val="00021CB3"/>
    <w:rsid w:val="00065114"/>
    <w:rsid w:val="0007458C"/>
    <w:rsid w:val="0008341F"/>
    <w:rsid w:val="00085928"/>
    <w:rsid w:val="000873C5"/>
    <w:rsid w:val="00093982"/>
    <w:rsid w:val="000D7D60"/>
    <w:rsid w:val="000E266B"/>
    <w:rsid w:val="001037DC"/>
    <w:rsid w:val="00111856"/>
    <w:rsid w:val="00116582"/>
    <w:rsid w:val="00184804"/>
    <w:rsid w:val="001C1311"/>
    <w:rsid w:val="001C1876"/>
    <w:rsid w:val="001E5FCD"/>
    <w:rsid w:val="00220D37"/>
    <w:rsid w:val="00273878"/>
    <w:rsid w:val="002C23F9"/>
    <w:rsid w:val="002C41CF"/>
    <w:rsid w:val="002D1C8E"/>
    <w:rsid w:val="002E175D"/>
    <w:rsid w:val="0030024A"/>
    <w:rsid w:val="00304926"/>
    <w:rsid w:val="003067AF"/>
    <w:rsid w:val="00317C9D"/>
    <w:rsid w:val="0032105A"/>
    <w:rsid w:val="00332FFA"/>
    <w:rsid w:val="00397DB7"/>
    <w:rsid w:val="003A7CF4"/>
    <w:rsid w:val="003B3958"/>
    <w:rsid w:val="003F1A0B"/>
    <w:rsid w:val="00407DA7"/>
    <w:rsid w:val="00425F39"/>
    <w:rsid w:val="00485A0B"/>
    <w:rsid w:val="004862DD"/>
    <w:rsid w:val="004A051B"/>
    <w:rsid w:val="004B3CC6"/>
    <w:rsid w:val="004D5D6A"/>
    <w:rsid w:val="0050066C"/>
    <w:rsid w:val="005179DF"/>
    <w:rsid w:val="00520B64"/>
    <w:rsid w:val="00530D10"/>
    <w:rsid w:val="005532A8"/>
    <w:rsid w:val="005624C2"/>
    <w:rsid w:val="0057524B"/>
    <w:rsid w:val="00577614"/>
    <w:rsid w:val="005B3A48"/>
    <w:rsid w:val="005C7E78"/>
    <w:rsid w:val="005F6905"/>
    <w:rsid w:val="006024D0"/>
    <w:rsid w:val="0062291B"/>
    <w:rsid w:val="00660842"/>
    <w:rsid w:val="00670F98"/>
    <w:rsid w:val="006759FE"/>
    <w:rsid w:val="00692F5B"/>
    <w:rsid w:val="006B0045"/>
    <w:rsid w:val="006C3B35"/>
    <w:rsid w:val="006D1FD4"/>
    <w:rsid w:val="00726324"/>
    <w:rsid w:val="007309D6"/>
    <w:rsid w:val="00746BC5"/>
    <w:rsid w:val="0076392A"/>
    <w:rsid w:val="00786330"/>
    <w:rsid w:val="007B04C1"/>
    <w:rsid w:val="007C2125"/>
    <w:rsid w:val="007D0690"/>
    <w:rsid w:val="007D502B"/>
    <w:rsid w:val="007F2622"/>
    <w:rsid w:val="008144C8"/>
    <w:rsid w:val="00827837"/>
    <w:rsid w:val="0085416B"/>
    <w:rsid w:val="008720F0"/>
    <w:rsid w:val="00882BBF"/>
    <w:rsid w:val="00885B1F"/>
    <w:rsid w:val="00895065"/>
    <w:rsid w:val="008A2989"/>
    <w:rsid w:val="0092791A"/>
    <w:rsid w:val="00932CE1"/>
    <w:rsid w:val="009672C8"/>
    <w:rsid w:val="00973809"/>
    <w:rsid w:val="009856CF"/>
    <w:rsid w:val="009C66B6"/>
    <w:rsid w:val="009D6E80"/>
    <w:rsid w:val="009E4C32"/>
    <w:rsid w:val="009F54EA"/>
    <w:rsid w:val="009F66BE"/>
    <w:rsid w:val="00A012F9"/>
    <w:rsid w:val="00A064B6"/>
    <w:rsid w:val="00A226CD"/>
    <w:rsid w:val="00A331C0"/>
    <w:rsid w:val="00A35C99"/>
    <w:rsid w:val="00A56CD7"/>
    <w:rsid w:val="00A56D93"/>
    <w:rsid w:val="00A57F46"/>
    <w:rsid w:val="00A816EE"/>
    <w:rsid w:val="00A838A8"/>
    <w:rsid w:val="00AC4690"/>
    <w:rsid w:val="00AF5396"/>
    <w:rsid w:val="00B014E0"/>
    <w:rsid w:val="00B05733"/>
    <w:rsid w:val="00B12EE7"/>
    <w:rsid w:val="00B1552D"/>
    <w:rsid w:val="00B17C0D"/>
    <w:rsid w:val="00B34755"/>
    <w:rsid w:val="00B56B64"/>
    <w:rsid w:val="00B6742D"/>
    <w:rsid w:val="00B864EF"/>
    <w:rsid w:val="00B866B0"/>
    <w:rsid w:val="00BA1B01"/>
    <w:rsid w:val="00BA504D"/>
    <w:rsid w:val="00BB03DE"/>
    <w:rsid w:val="00BB2F80"/>
    <w:rsid w:val="00BD61B3"/>
    <w:rsid w:val="00BF4606"/>
    <w:rsid w:val="00C30332"/>
    <w:rsid w:val="00C70091"/>
    <w:rsid w:val="00C77BC7"/>
    <w:rsid w:val="00C82879"/>
    <w:rsid w:val="00C96666"/>
    <w:rsid w:val="00CA261D"/>
    <w:rsid w:val="00CA3EEF"/>
    <w:rsid w:val="00CC7960"/>
    <w:rsid w:val="00CD0F19"/>
    <w:rsid w:val="00D34169"/>
    <w:rsid w:val="00D378DB"/>
    <w:rsid w:val="00D73CC0"/>
    <w:rsid w:val="00D75B74"/>
    <w:rsid w:val="00D81F19"/>
    <w:rsid w:val="00D877D1"/>
    <w:rsid w:val="00DA3B29"/>
    <w:rsid w:val="00DC1D3E"/>
    <w:rsid w:val="00DE74BE"/>
    <w:rsid w:val="00E1440F"/>
    <w:rsid w:val="00E34753"/>
    <w:rsid w:val="00E53155"/>
    <w:rsid w:val="00E61068"/>
    <w:rsid w:val="00E765DA"/>
    <w:rsid w:val="00E765DF"/>
    <w:rsid w:val="00EB200D"/>
    <w:rsid w:val="00EB35F7"/>
    <w:rsid w:val="00ED347A"/>
    <w:rsid w:val="00F2394D"/>
    <w:rsid w:val="00F3069B"/>
    <w:rsid w:val="00F37FA6"/>
    <w:rsid w:val="00F520CF"/>
    <w:rsid w:val="00F643E1"/>
    <w:rsid w:val="00F83BAF"/>
    <w:rsid w:val="00F90367"/>
    <w:rsid w:val="00FE2EB6"/>
    <w:rsid w:val="00FF35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D0F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rsid w:val="00CD0F19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CD0F1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D0F19"/>
  </w:style>
  <w:style w:type="paragraph" w:styleId="Textbubliny">
    <w:name w:val="Balloon Text"/>
    <w:basedOn w:val="Normlny"/>
    <w:link w:val="TextbublinyChar"/>
    <w:rsid w:val="00ED347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ED34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D0F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rsid w:val="00CD0F19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CD0F1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D0F19"/>
  </w:style>
  <w:style w:type="paragraph" w:styleId="Textbubliny">
    <w:name w:val="Balloon Text"/>
    <w:basedOn w:val="Normlny"/>
    <w:link w:val="TextbublinyChar"/>
    <w:rsid w:val="00ED347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ED34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50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chart" Target="charts/chart19.xml"/><Relationship Id="rId3" Type="http://schemas.microsoft.com/office/2007/relationships/stylesWithEffects" Target="stylesWithEffects.xml"/><Relationship Id="rId21" Type="http://schemas.openxmlformats.org/officeDocument/2006/relationships/chart" Target="charts/chart14.xml"/><Relationship Id="rId34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8.xml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29" Type="http://schemas.openxmlformats.org/officeDocument/2006/relationships/chart" Target="charts/chart2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chart" Target="charts/chart21.xml"/><Relationship Id="rId36" Type="http://schemas.openxmlformats.org/officeDocument/2006/relationships/theme" Target="theme/theme1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31" Type="http://schemas.openxmlformats.org/officeDocument/2006/relationships/chart" Target="charts/chart24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chart" Target="charts/chart20.xml"/><Relationship Id="rId30" Type="http://schemas.openxmlformats.org/officeDocument/2006/relationships/chart" Target="charts/chart23.xml"/><Relationship Id="rId35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19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2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20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21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22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23.xlsx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24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>
              <a:defRPr/>
            </a:pPr>
            <a:r>
              <a:rPr lang="sk-SK" sz="1600"/>
              <a:t>Vývoj  počtu poberateľov dávky v hmotnej núdzi </a:t>
            </a:r>
          </a:p>
          <a:p>
            <a:pPr algn="ctr">
              <a:defRPr/>
            </a:pPr>
            <a:r>
              <a:rPr lang="sk-SK" sz="1600"/>
              <a:t>a príspevkov k dávke</a:t>
            </a:r>
          </a:p>
        </c:rich>
      </c:tx>
      <c:layout>
        <c:manualLayout>
          <c:xMode val="edge"/>
          <c:yMode val="edge"/>
          <c:x val="0.22033096926713949"/>
          <c:y val="5.8903441089964341E-4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06122448979592"/>
          <c:y val="0.16321839080459793"/>
          <c:w val="0.81224489795918453"/>
          <c:h val="0.6344827586206897"/>
        </c:manualLayout>
      </c:layout>
      <c:lineChart>
        <c:grouping val="standard"/>
        <c:varyColors val="0"/>
        <c:ser>
          <c:idx val="2"/>
          <c:order val="0"/>
          <c:tx>
            <c:strRef>
              <c:f>Sheet1!$A$2</c:f>
              <c:strCache>
                <c:ptCount val="1"/>
                <c:pt idx="0">
                  <c:v>rok 2011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Sheet1!$B$2:$M$2</c:f>
              <c:numCache>
                <c:formatCode>#,##0</c:formatCode>
                <c:ptCount val="12"/>
                <c:pt idx="0">
                  <c:v>189903</c:v>
                </c:pt>
                <c:pt idx="1">
                  <c:v>186676</c:v>
                </c:pt>
                <c:pt idx="2">
                  <c:v>188831</c:v>
                </c:pt>
                <c:pt idx="3">
                  <c:v>190013</c:v>
                </c:pt>
                <c:pt idx="4">
                  <c:v>188637</c:v>
                </c:pt>
                <c:pt idx="5">
                  <c:v>187223</c:v>
                </c:pt>
              </c:numCache>
            </c:numRef>
          </c:val>
          <c:smooth val="0"/>
        </c:ser>
        <c:ser>
          <c:idx val="3"/>
          <c:order val="1"/>
          <c:tx>
            <c:strRef>
              <c:f>Sheet1!$A$3</c:f>
              <c:strCache>
                <c:ptCount val="1"/>
                <c:pt idx="0">
                  <c:v>rok 2007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Sheet1!$B$3:$M$3</c:f>
              <c:numCache>
                <c:formatCode>#,##0</c:formatCode>
                <c:ptCount val="12"/>
                <c:pt idx="0">
                  <c:v>211099</c:v>
                </c:pt>
                <c:pt idx="1">
                  <c:v>210888</c:v>
                </c:pt>
                <c:pt idx="2">
                  <c:v>210683</c:v>
                </c:pt>
                <c:pt idx="3">
                  <c:v>209150</c:v>
                </c:pt>
                <c:pt idx="4">
                  <c:v>205167</c:v>
                </c:pt>
                <c:pt idx="5">
                  <c:v>201706</c:v>
                </c:pt>
                <c:pt idx="6">
                  <c:v>197739</c:v>
                </c:pt>
                <c:pt idx="7" formatCode="General">
                  <c:v>184013</c:v>
                </c:pt>
                <c:pt idx="8" formatCode="General">
                  <c:v>186176</c:v>
                </c:pt>
                <c:pt idx="9" formatCode="General">
                  <c:v>184114</c:v>
                </c:pt>
                <c:pt idx="10" formatCode="General">
                  <c:v>183262</c:v>
                </c:pt>
                <c:pt idx="11" formatCode="General">
                  <c:v>182479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rok 2008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Sheet1!$B$4:$M$4</c:f>
              <c:numCache>
                <c:formatCode>#,##0</c:formatCode>
                <c:ptCount val="12"/>
                <c:pt idx="0">
                  <c:v>180055</c:v>
                </c:pt>
                <c:pt idx="1">
                  <c:v>179984</c:v>
                </c:pt>
                <c:pt idx="2">
                  <c:v>178993</c:v>
                </c:pt>
                <c:pt idx="3" formatCode="General">
                  <c:v>176834</c:v>
                </c:pt>
                <c:pt idx="4" formatCode="General">
                  <c:v>174125</c:v>
                </c:pt>
                <c:pt idx="5" formatCode="General">
                  <c:v>170079</c:v>
                </c:pt>
                <c:pt idx="6" formatCode="General">
                  <c:v>166273</c:v>
                </c:pt>
                <c:pt idx="7" formatCode="General">
                  <c:v>151339</c:v>
                </c:pt>
                <c:pt idx="8" formatCode="General">
                  <c:v>152615</c:v>
                </c:pt>
                <c:pt idx="9" formatCode="General">
                  <c:v>152163</c:v>
                </c:pt>
                <c:pt idx="10" formatCode="General">
                  <c:v>152578</c:v>
                </c:pt>
                <c:pt idx="11" formatCode="General">
                  <c:v>153516</c:v>
                </c:pt>
              </c:numCache>
            </c:numRef>
          </c:val>
          <c:smooth val="0"/>
        </c:ser>
        <c:ser>
          <c:idx val="1"/>
          <c:order val="3"/>
          <c:tx>
            <c:strRef>
              <c:f>Sheet1!$A$5</c:f>
              <c:strCache>
                <c:ptCount val="1"/>
                <c:pt idx="0">
                  <c:v>rok 2009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Sheet1!$B$5:$M$5</c:f>
              <c:numCache>
                <c:formatCode>General</c:formatCode>
                <c:ptCount val="12"/>
                <c:pt idx="0">
                  <c:v>157246</c:v>
                </c:pt>
                <c:pt idx="1">
                  <c:v>144945</c:v>
                </c:pt>
                <c:pt idx="2">
                  <c:v>153874</c:v>
                </c:pt>
                <c:pt idx="3">
                  <c:v>159323</c:v>
                </c:pt>
                <c:pt idx="4">
                  <c:v>161961</c:v>
                </c:pt>
                <c:pt idx="5">
                  <c:v>164144</c:v>
                </c:pt>
                <c:pt idx="6">
                  <c:v>166640</c:v>
                </c:pt>
                <c:pt idx="7">
                  <c:v>169000</c:v>
                </c:pt>
                <c:pt idx="8">
                  <c:v>171605</c:v>
                </c:pt>
                <c:pt idx="9">
                  <c:v>172423</c:v>
                </c:pt>
                <c:pt idx="10">
                  <c:v>175410</c:v>
                </c:pt>
                <c:pt idx="11">
                  <c:v>179910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rok 2010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Sheet1!$B$6:$M$6</c:f>
              <c:numCache>
                <c:formatCode>#,##0</c:formatCode>
                <c:ptCount val="12"/>
                <c:pt idx="0">
                  <c:v>181990</c:v>
                </c:pt>
                <c:pt idx="1">
                  <c:v>183328</c:v>
                </c:pt>
                <c:pt idx="2">
                  <c:v>189628</c:v>
                </c:pt>
                <c:pt idx="3">
                  <c:v>192642</c:v>
                </c:pt>
                <c:pt idx="4" formatCode="General">
                  <c:v>192629</c:v>
                </c:pt>
                <c:pt idx="5">
                  <c:v>191638</c:v>
                </c:pt>
                <c:pt idx="6">
                  <c:v>190920</c:v>
                </c:pt>
                <c:pt idx="7">
                  <c:v>190570</c:v>
                </c:pt>
                <c:pt idx="8">
                  <c:v>191181</c:v>
                </c:pt>
                <c:pt idx="9">
                  <c:v>190762</c:v>
                </c:pt>
                <c:pt idx="10">
                  <c:v>190153</c:v>
                </c:pt>
                <c:pt idx="11">
                  <c:v>190391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1787392"/>
        <c:axId val="128320256"/>
      </c:lineChart>
      <c:catAx>
        <c:axId val="1117873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2700000" vert="horz"/>
          <a:lstStyle/>
          <a:p>
            <a:pPr>
              <a:defRPr/>
            </a:pPr>
            <a:endParaRPr lang="sk-SK"/>
          </a:p>
        </c:txPr>
        <c:crossAx val="128320256"/>
        <c:crossesAt val="140000"/>
        <c:auto val="1"/>
        <c:lblAlgn val="ctr"/>
        <c:lblOffset val="100"/>
        <c:tickLblSkip val="1"/>
        <c:tickMarkSkip val="1"/>
        <c:noMultiLvlLbl val="0"/>
      </c:catAx>
      <c:valAx>
        <c:axId val="128320256"/>
        <c:scaling>
          <c:orientation val="minMax"/>
          <c:min val="140000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11787392"/>
        <c:crosses val="autoZero"/>
        <c:crossBetween val="between"/>
        <c:majorUnit val="10000"/>
      </c:valAx>
    </c:plotArea>
    <c:legend>
      <c:legendPos val="b"/>
      <c:layout>
        <c:manualLayout>
          <c:xMode val="edge"/>
          <c:yMode val="edge"/>
          <c:x val="0.17668763851844288"/>
          <c:y val="0.94231925554760199"/>
          <c:w val="0.64697424984039154"/>
          <c:h val="5.7680744452397993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title>
      <c:tx>
        <c:rich>
          <a:bodyPr/>
          <a:lstStyle/>
          <a:p>
            <a:pPr>
              <a:defRPr sz="1600"/>
            </a:pPr>
            <a:r>
              <a:rPr lang="sk-SK" sz="1600"/>
              <a:t>Vývoj  čerpania finančných prostriedkov na resocializačný príspevok  v €</a:t>
            </a:r>
          </a:p>
        </c:rich>
      </c:tx>
      <c:layout/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Resocializačný príspevok</c:v>
                </c:pt>
              </c:strCache>
            </c:strRef>
          </c:tx>
          <c:cat>
            <c:strRef>
              <c:f>Sheet1!$N$1:$AQ$1</c:f>
              <c:strCache>
                <c:ptCount val="30"/>
                <c:pt idx="0">
                  <c:v>I.09</c:v>
                </c:pt>
                <c:pt idx="1">
                  <c:v>II.09</c:v>
                </c:pt>
                <c:pt idx="2">
                  <c:v>III.09</c:v>
                </c:pt>
                <c:pt idx="3">
                  <c:v>IV.09</c:v>
                </c:pt>
                <c:pt idx="4">
                  <c:v>V.09</c:v>
                </c:pt>
                <c:pt idx="5">
                  <c:v>VI.09</c:v>
                </c:pt>
                <c:pt idx="6">
                  <c:v>VII.09</c:v>
                </c:pt>
                <c:pt idx="7">
                  <c:v>VIII.09</c:v>
                </c:pt>
                <c:pt idx="8">
                  <c:v>IX.09</c:v>
                </c:pt>
                <c:pt idx="9">
                  <c:v>X.09</c:v>
                </c:pt>
                <c:pt idx="10">
                  <c:v>XI.09</c:v>
                </c:pt>
                <c:pt idx="11">
                  <c:v>XII.09</c:v>
                </c:pt>
                <c:pt idx="12">
                  <c:v>I.10</c:v>
                </c:pt>
                <c:pt idx="13">
                  <c:v>II.10</c:v>
                </c:pt>
                <c:pt idx="14">
                  <c:v>III.10</c:v>
                </c:pt>
                <c:pt idx="15">
                  <c:v>IV.10</c:v>
                </c:pt>
                <c:pt idx="16">
                  <c:v>V.10</c:v>
                </c:pt>
                <c:pt idx="17">
                  <c:v>VI.10</c:v>
                </c:pt>
                <c:pt idx="18">
                  <c:v>VII.10</c:v>
                </c:pt>
                <c:pt idx="19">
                  <c:v>VIII.10</c:v>
                </c:pt>
                <c:pt idx="20">
                  <c:v>IX.10</c:v>
                </c:pt>
                <c:pt idx="21">
                  <c:v>X.10</c:v>
                </c:pt>
                <c:pt idx="22">
                  <c:v>XI.10</c:v>
                </c:pt>
                <c:pt idx="23">
                  <c:v>XII.10</c:v>
                </c:pt>
                <c:pt idx="24">
                  <c:v>I.11</c:v>
                </c:pt>
                <c:pt idx="25">
                  <c:v>II.11</c:v>
                </c:pt>
                <c:pt idx="26">
                  <c:v>III.11</c:v>
                </c:pt>
                <c:pt idx="27">
                  <c:v>IV.11</c:v>
                </c:pt>
                <c:pt idx="28">
                  <c:v>V.11</c:v>
                </c:pt>
                <c:pt idx="29">
                  <c:v>VI.11</c:v>
                </c:pt>
              </c:strCache>
            </c:strRef>
          </c:cat>
          <c:val>
            <c:numRef>
              <c:f>Sheet1!$N$2:$AQ$2</c:f>
              <c:numCache>
                <c:formatCode>General</c:formatCode>
                <c:ptCount val="30"/>
                <c:pt idx="0">
                  <c:v>9072</c:v>
                </c:pt>
                <c:pt idx="1">
                  <c:v>9023</c:v>
                </c:pt>
                <c:pt idx="2">
                  <c:v>10480</c:v>
                </c:pt>
                <c:pt idx="3">
                  <c:v>7891</c:v>
                </c:pt>
                <c:pt idx="4">
                  <c:v>10118</c:v>
                </c:pt>
                <c:pt idx="5">
                  <c:v>11688</c:v>
                </c:pt>
                <c:pt idx="6">
                  <c:v>9373</c:v>
                </c:pt>
                <c:pt idx="7">
                  <c:v>9327</c:v>
                </c:pt>
                <c:pt idx="8">
                  <c:v>9790</c:v>
                </c:pt>
                <c:pt idx="9">
                  <c:v>10091</c:v>
                </c:pt>
                <c:pt idx="10">
                  <c:v>9720</c:v>
                </c:pt>
                <c:pt idx="11">
                  <c:v>9827</c:v>
                </c:pt>
                <c:pt idx="12" formatCode="#,##0">
                  <c:v>10189</c:v>
                </c:pt>
                <c:pt idx="13" formatCode="#,##0">
                  <c:v>9191</c:v>
                </c:pt>
                <c:pt idx="14" formatCode="#,##0">
                  <c:v>11756</c:v>
                </c:pt>
                <c:pt idx="15">
                  <c:v>11365</c:v>
                </c:pt>
                <c:pt idx="16">
                  <c:v>11250</c:v>
                </c:pt>
                <c:pt idx="17" formatCode="#,##0">
                  <c:v>12361</c:v>
                </c:pt>
                <c:pt idx="18" formatCode="#,##0">
                  <c:v>11247</c:v>
                </c:pt>
                <c:pt idx="19" formatCode="#,##0">
                  <c:v>11074</c:v>
                </c:pt>
                <c:pt idx="20" formatCode="#,##0">
                  <c:v>13145</c:v>
                </c:pt>
                <c:pt idx="21" formatCode="#,##0">
                  <c:v>12148</c:v>
                </c:pt>
                <c:pt idx="22" formatCode="#,##0">
                  <c:v>11698</c:v>
                </c:pt>
                <c:pt idx="23" formatCode="#,##0">
                  <c:v>13966.6</c:v>
                </c:pt>
                <c:pt idx="24" formatCode="#,##0">
                  <c:v>10144</c:v>
                </c:pt>
                <c:pt idx="25" formatCode="#,##0">
                  <c:v>10858</c:v>
                </c:pt>
                <c:pt idx="26" formatCode="#,##0">
                  <c:v>14724</c:v>
                </c:pt>
                <c:pt idx="27" formatCode="#,##0">
                  <c:v>13032</c:v>
                </c:pt>
                <c:pt idx="28" formatCode="#,##0">
                  <c:v>14163</c:v>
                </c:pt>
                <c:pt idx="29" formatCode="#,##0">
                  <c:v>12534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9494016"/>
        <c:axId val="129504000"/>
      </c:lineChart>
      <c:catAx>
        <c:axId val="1294940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5400000" vert="horz"/>
          <a:lstStyle/>
          <a:p>
            <a:pPr>
              <a:defRPr/>
            </a:pPr>
            <a:endParaRPr lang="sk-SK"/>
          </a:p>
        </c:txPr>
        <c:crossAx val="129504000"/>
        <c:crossesAt val="0"/>
        <c:auto val="1"/>
        <c:lblAlgn val="ctr"/>
        <c:lblOffset val="100"/>
        <c:tickLblSkip val="2"/>
        <c:tickMarkSkip val="1"/>
        <c:noMultiLvlLbl val="0"/>
      </c:catAx>
      <c:valAx>
        <c:axId val="129504000"/>
        <c:scaling>
          <c:orientation val="minMax"/>
          <c:max val="20000"/>
          <c:min val="0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29494016"/>
        <c:crosses val="autoZero"/>
        <c:crossBetween val="between"/>
        <c:majorUnit val="2000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sk-SK"/>
              <a:t>Vývoj  počtu poberateľov náhradného výživného</a:t>
            </a:r>
          </a:p>
        </c:rich>
      </c:tx>
      <c:layout/>
      <c:overlay val="0"/>
    </c:title>
    <c:autoTitleDeleted val="0"/>
    <c:plotArea>
      <c:layout/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rok 2011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Sheet1!$B$2:$M$2</c:f>
              <c:numCache>
                <c:formatCode>#,##0</c:formatCode>
                <c:ptCount val="12"/>
                <c:pt idx="0">
                  <c:v>8410</c:v>
                </c:pt>
                <c:pt idx="1">
                  <c:v>8516</c:v>
                </c:pt>
                <c:pt idx="2">
                  <c:v>8595</c:v>
                </c:pt>
                <c:pt idx="3">
                  <c:v>8569</c:v>
                </c:pt>
                <c:pt idx="4">
                  <c:v>8574</c:v>
                </c:pt>
                <c:pt idx="5">
                  <c:v>8685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rok 2007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Sheet1!$B$3:$M$3</c:f>
              <c:numCache>
                <c:formatCode>#,##0</c:formatCode>
                <c:ptCount val="12"/>
                <c:pt idx="0">
                  <c:v>3851</c:v>
                </c:pt>
                <c:pt idx="1">
                  <c:v>3845</c:v>
                </c:pt>
                <c:pt idx="2">
                  <c:v>3853</c:v>
                </c:pt>
                <c:pt idx="3">
                  <c:v>3962</c:v>
                </c:pt>
                <c:pt idx="4">
                  <c:v>3996</c:v>
                </c:pt>
                <c:pt idx="5">
                  <c:v>4113</c:v>
                </c:pt>
                <c:pt idx="6">
                  <c:v>4156</c:v>
                </c:pt>
                <c:pt idx="7" formatCode="General">
                  <c:v>4119</c:v>
                </c:pt>
                <c:pt idx="8" formatCode="General">
                  <c:v>4219</c:v>
                </c:pt>
                <c:pt idx="9" formatCode="General">
                  <c:v>4104</c:v>
                </c:pt>
                <c:pt idx="10" formatCode="General">
                  <c:v>4161</c:v>
                </c:pt>
                <c:pt idx="11" formatCode="General">
                  <c:v>4205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rok 2008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Sheet1!$B$4:$M$4</c:f>
              <c:numCache>
                <c:formatCode>#,##0</c:formatCode>
                <c:ptCount val="12"/>
                <c:pt idx="0">
                  <c:v>4205</c:v>
                </c:pt>
                <c:pt idx="1">
                  <c:v>4211</c:v>
                </c:pt>
                <c:pt idx="2">
                  <c:v>4207</c:v>
                </c:pt>
                <c:pt idx="3" formatCode="General">
                  <c:v>4278</c:v>
                </c:pt>
                <c:pt idx="4" formatCode="General">
                  <c:v>4310</c:v>
                </c:pt>
                <c:pt idx="5" formatCode="General">
                  <c:v>4332</c:v>
                </c:pt>
                <c:pt idx="6" formatCode="General">
                  <c:v>4396</c:v>
                </c:pt>
                <c:pt idx="7">
                  <c:v>4526</c:v>
                </c:pt>
                <c:pt idx="8">
                  <c:v>4623</c:v>
                </c:pt>
                <c:pt idx="9">
                  <c:v>4695</c:v>
                </c:pt>
                <c:pt idx="10">
                  <c:v>4783</c:v>
                </c:pt>
                <c:pt idx="11">
                  <c:v>5071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rok 2009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Sheet1!$B$5:$M$5</c:f>
              <c:numCache>
                <c:formatCode>General</c:formatCode>
                <c:ptCount val="12"/>
                <c:pt idx="0">
                  <c:v>5165</c:v>
                </c:pt>
                <c:pt idx="1">
                  <c:v>5321</c:v>
                </c:pt>
                <c:pt idx="2">
                  <c:v>5449</c:v>
                </c:pt>
                <c:pt idx="3">
                  <c:v>5525</c:v>
                </c:pt>
                <c:pt idx="4">
                  <c:v>5580</c:v>
                </c:pt>
                <c:pt idx="5">
                  <c:v>5864</c:v>
                </c:pt>
                <c:pt idx="6">
                  <c:v>6105</c:v>
                </c:pt>
                <c:pt idx="7">
                  <c:v>6193</c:v>
                </c:pt>
                <c:pt idx="8">
                  <c:v>6351</c:v>
                </c:pt>
                <c:pt idx="9">
                  <c:v>6338</c:v>
                </c:pt>
                <c:pt idx="10">
                  <c:v>6549</c:v>
                </c:pt>
                <c:pt idx="11">
                  <c:v>6855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rok 2010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Sheet1!$B$6:$M$6</c:f>
              <c:numCache>
                <c:formatCode>#,##0</c:formatCode>
                <c:ptCount val="12"/>
                <c:pt idx="0">
                  <c:v>6980</c:v>
                </c:pt>
                <c:pt idx="1">
                  <c:v>7193</c:v>
                </c:pt>
                <c:pt idx="2">
                  <c:v>7377</c:v>
                </c:pt>
                <c:pt idx="3" formatCode="General">
                  <c:v>7484</c:v>
                </c:pt>
                <c:pt idx="4" formatCode="General">
                  <c:v>7704</c:v>
                </c:pt>
                <c:pt idx="5">
                  <c:v>7888</c:v>
                </c:pt>
                <c:pt idx="6">
                  <c:v>8025</c:v>
                </c:pt>
                <c:pt idx="7">
                  <c:v>7976</c:v>
                </c:pt>
                <c:pt idx="8">
                  <c:v>8126</c:v>
                </c:pt>
                <c:pt idx="9">
                  <c:v>7997</c:v>
                </c:pt>
                <c:pt idx="10">
                  <c:v>8141</c:v>
                </c:pt>
                <c:pt idx="11">
                  <c:v>8377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9543552"/>
        <c:axId val="129545344"/>
      </c:lineChart>
      <c:catAx>
        <c:axId val="1295435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29545344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129545344"/>
        <c:scaling>
          <c:orientation val="minMax"/>
          <c:min val="3000"/>
        </c:scaling>
        <c:delete val="0"/>
        <c:axPos val="l"/>
        <c:majorGridlines/>
        <c:numFmt formatCode="#,##0" sourceLinked="1"/>
        <c:majorTickMark val="none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29543552"/>
        <c:crosses val="autoZero"/>
        <c:crossBetween val="between"/>
        <c:majorUnit val="500"/>
        <c:minorUnit val="20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sk-SK"/>
              <a:t>Vývoj  čerpania finančných prostriedkov na náhradné výživné v €</a:t>
            </a:r>
          </a:p>
        </c:rich>
      </c:tx>
      <c:layout/>
      <c:overlay val="0"/>
    </c:title>
    <c:autoTitleDeleted val="0"/>
    <c:plotArea>
      <c:layout/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rok 2011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Sheet1!$B$2:$M$2</c:f>
              <c:numCache>
                <c:formatCode>#,##0</c:formatCode>
                <c:ptCount val="12"/>
                <c:pt idx="0">
                  <c:v>550937</c:v>
                </c:pt>
                <c:pt idx="1">
                  <c:v>563507</c:v>
                </c:pt>
                <c:pt idx="2">
                  <c:v>572414</c:v>
                </c:pt>
                <c:pt idx="3">
                  <c:v>568145</c:v>
                </c:pt>
                <c:pt idx="4">
                  <c:v>572263</c:v>
                </c:pt>
                <c:pt idx="5">
                  <c:v>579174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rok 2007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Sheet1!$B$3:$M$3</c:f>
              <c:numCache>
                <c:formatCode>#,##0</c:formatCode>
                <c:ptCount val="12"/>
                <c:pt idx="1">
                  <c:v>227677</c:v>
                </c:pt>
                <c:pt idx="2">
                  <c:v>236407</c:v>
                </c:pt>
                <c:pt idx="3">
                  <c:v>247295</c:v>
                </c:pt>
                <c:pt idx="4">
                  <c:v>244739</c:v>
                </c:pt>
                <c:pt idx="5">
                  <c:v>258016</c:v>
                </c:pt>
                <c:pt idx="6">
                  <c:v>253502</c:v>
                </c:pt>
                <c:pt idx="7">
                  <c:v>259610</c:v>
                </c:pt>
                <c:pt idx="8">
                  <c:v>268074</c:v>
                </c:pt>
                <c:pt idx="9">
                  <c:v>247560</c:v>
                </c:pt>
                <c:pt idx="10">
                  <c:v>263261</c:v>
                </c:pt>
                <c:pt idx="11">
                  <c:v>281318</c:v>
                </c:pt>
              </c:numCache>
            </c:numRef>
          </c:val>
          <c:smooth val="0"/>
        </c:ser>
        <c:ser>
          <c:idx val="3"/>
          <c:order val="2"/>
          <c:tx>
            <c:strRef>
              <c:f>Sheet1!$A$4</c:f>
              <c:strCache>
                <c:ptCount val="1"/>
                <c:pt idx="0">
                  <c:v>rok 2008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Sheet1!$B$4:$M$4</c:f>
              <c:numCache>
                <c:formatCode>#,##0</c:formatCode>
                <c:ptCount val="12"/>
                <c:pt idx="0">
                  <c:v>273883</c:v>
                </c:pt>
                <c:pt idx="1">
                  <c:v>264788</c:v>
                </c:pt>
                <c:pt idx="2">
                  <c:v>258713</c:v>
                </c:pt>
                <c:pt idx="3">
                  <c:v>279725</c:v>
                </c:pt>
                <c:pt idx="4">
                  <c:v>284505</c:v>
                </c:pt>
                <c:pt idx="5">
                  <c:v>278231</c:v>
                </c:pt>
                <c:pt idx="6">
                  <c:v>306313</c:v>
                </c:pt>
                <c:pt idx="7">
                  <c:v>320985</c:v>
                </c:pt>
                <c:pt idx="8">
                  <c:v>304056</c:v>
                </c:pt>
                <c:pt idx="9">
                  <c:v>328719</c:v>
                </c:pt>
                <c:pt idx="10">
                  <c:v>339441</c:v>
                </c:pt>
                <c:pt idx="11">
                  <c:v>348337</c:v>
                </c:pt>
              </c:numCache>
            </c:numRef>
          </c:val>
          <c:smooth val="0"/>
        </c:ser>
        <c:ser>
          <c:idx val="0"/>
          <c:order val="3"/>
          <c:tx>
            <c:strRef>
              <c:f>Sheet1!$A$5</c:f>
              <c:strCache>
                <c:ptCount val="1"/>
                <c:pt idx="0">
                  <c:v>rok 2009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Sheet1!$B$5:$M$5</c:f>
              <c:numCache>
                <c:formatCode>#,##0</c:formatCode>
                <c:ptCount val="12"/>
                <c:pt idx="0">
                  <c:v>297325</c:v>
                </c:pt>
                <c:pt idx="1">
                  <c:v>314212</c:v>
                </c:pt>
                <c:pt idx="2">
                  <c:v>318530</c:v>
                </c:pt>
                <c:pt idx="3">
                  <c:v>329457</c:v>
                </c:pt>
                <c:pt idx="4">
                  <c:v>334968</c:v>
                </c:pt>
                <c:pt idx="5" formatCode="General">
                  <c:v>352903</c:v>
                </c:pt>
                <c:pt idx="6" formatCode="General">
                  <c:v>368589</c:v>
                </c:pt>
                <c:pt idx="7" formatCode="General">
                  <c:v>378106</c:v>
                </c:pt>
                <c:pt idx="8" formatCode="General">
                  <c:v>385516</c:v>
                </c:pt>
                <c:pt idx="9" formatCode="General">
                  <c:v>390532</c:v>
                </c:pt>
                <c:pt idx="10" formatCode="General">
                  <c:v>401400</c:v>
                </c:pt>
                <c:pt idx="11" formatCode="General">
                  <c:v>421429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rok 2010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Sheet1!$B$6:$M$6</c:f>
              <c:numCache>
                <c:formatCode>#,##0</c:formatCode>
                <c:ptCount val="12"/>
                <c:pt idx="0">
                  <c:v>432261</c:v>
                </c:pt>
                <c:pt idx="1">
                  <c:v>451212</c:v>
                </c:pt>
                <c:pt idx="2">
                  <c:v>464199</c:v>
                </c:pt>
                <c:pt idx="3" formatCode="General">
                  <c:v>478629</c:v>
                </c:pt>
                <c:pt idx="4" formatCode="General">
                  <c:v>495257</c:v>
                </c:pt>
                <c:pt idx="5">
                  <c:v>509788</c:v>
                </c:pt>
                <c:pt idx="6">
                  <c:v>517448</c:v>
                </c:pt>
                <c:pt idx="7">
                  <c:v>515003</c:v>
                </c:pt>
                <c:pt idx="8">
                  <c:v>525141</c:v>
                </c:pt>
                <c:pt idx="9">
                  <c:v>516365</c:v>
                </c:pt>
                <c:pt idx="10">
                  <c:v>532209</c:v>
                </c:pt>
                <c:pt idx="11">
                  <c:v>549518.28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2093824"/>
        <c:axId val="152095360"/>
      </c:lineChart>
      <c:catAx>
        <c:axId val="1520938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52095360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152095360"/>
        <c:scaling>
          <c:orientation val="minMax"/>
          <c:min val="130000"/>
        </c:scaling>
        <c:delete val="0"/>
        <c:axPos val="l"/>
        <c:majorGridlines/>
        <c:numFmt formatCode="#,##0" sourceLinked="1"/>
        <c:majorTickMark val="none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52093824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600"/>
            </a:pPr>
            <a:r>
              <a:rPr lang="sk-SK" sz="1600"/>
              <a:t>Vývoj  počtu poberateľov prídavku na dieťa</a:t>
            </a:r>
          </a:p>
        </c:rich>
      </c:tx>
      <c:layout/>
      <c:overlay val="0"/>
    </c:title>
    <c:autoTitleDeleted val="0"/>
    <c:plotArea>
      <c:layout/>
      <c:lineChart>
        <c:grouping val="standard"/>
        <c:varyColors val="0"/>
        <c:ser>
          <c:idx val="2"/>
          <c:order val="0"/>
          <c:tx>
            <c:strRef>
              <c:f>Sheet1!$A$2</c:f>
              <c:strCache>
                <c:ptCount val="1"/>
                <c:pt idx="0">
                  <c:v>rok 2011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Sheet1!$B$2:$M$2</c:f>
              <c:numCache>
                <c:formatCode>#,##0</c:formatCode>
                <c:ptCount val="12"/>
                <c:pt idx="0">
                  <c:v>701469</c:v>
                </c:pt>
                <c:pt idx="1">
                  <c:v>703988</c:v>
                </c:pt>
                <c:pt idx="2">
                  <c:v>705097</c:v>
                </c:pt>
                <c:pt idx="3">
                  <c:v>705928</c:v>
                </c:pt>
                <c:pt idx="4">
                  <c:v>706964</c:v>
                </c:pt>
                <c:pt idx="5">
                  <c:v>708195</c:v>
                </c:pt>
              </c:numCache>
            </c:numRef>
          </c:val>
          <c:smooth val="0"/>
        </c:ser>
        <c:ser>
          <c:idx val="3"/>
          <c:order val="1"/>
          <c:tx>
            <c:strRef>
              <c:f>Sheet1!$A$3</c:f>
              <c:strCache>
                <c:ptCount val="1"/>
                <c:pt idx="0">
                  <c:v>rok 2007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Sheet1!$B$3:$M$3</c:f>
              <c:numCache>
                <c:formatCode>#,##0</c:formatCode>
                <c:ptCount val="12"/>
                <c:pt idx="0">
                  <c:v>735736</c:v>
                </c:pt>
                <c:pt idx="1">
                  <c:v>738085</c:v>
                </c:pt>
                <c:pt idx="2">
                  <c:v>739205</c:v>
                </c:pt>
                <c:pt idx="3">
                  <c:v>740453</c:v>
                </c:pt>
                <c:pt idx="4">
                  <c:v>740610</c:v>
                </c:pt>
                <c:pt idx="5">
                  <c:v>742703</c:v>
                </c:pt>
                <c:pt idx="6">
                  <c:v>736870</c:v>
                </c:pt>
                <c:pt idx="7">
                  <c:v>731831</c:v>
                </c:pt>
                <c:pt idx="8" formatCode="General">
                  <c:v>734917</c:v>
                </c:pt>
                <c:pt idx="9" formatCode="General">
                  <c:v>685656</c:v>
                </c:pt>
                <c:pt idx="10" formatCode="General">
                  <c:v>707084</c:v>
                </c:pt>
                <c:pt idx="11" formatCode="General">
                  <c:v>714221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rok 2008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Sheet1!$B$4:$M$4</c:f>
              <c:numCache>
                <c:formatCode>#,##0</c:formatCode>
                <c:ptCount val="12"/>
                <c:pt idx="0">
                  <c:v>719602</c:v>
                </c:pt>
                <c:pt idx="1">
                  <c:v>723102</c:v>
                </c:pt>
                <c:pt idx="2">
                  <c:v>724071</c:v>
                </c:pt>
                <c:pt idx="3" formatCode="General">
                  <c:v>725171</c:v>
                </c:pt>
                <c:pt idx="4" formatCode="General">
                  <c:v>726885</c:v>
                </c:pt>
                <c:pt idx="5" formatCode="General">
                  <c:v>728304</c:v>
                </c:pt>
                <c:pt idx="6" formatCode="General">
                  <c:v>721881</c:v>
                </c:pt>
                <c:pt idx="7" formatCode="General">
                  <c:v>716985</c:v>
                </c:pt>
                <c:pt idx="8" formatCode="General">
                  <c:v>718013</c:v>
                </c:pt>
                <c:pt idx="9" formatCode="General">
                  <c:v>676998</c:v>
                </c:pt>
                <c:pt idx="10" formatCode="General">
                  <c:v>698818</c:v>
                </c:pt>
                <c:pt idx="11" formatCode="General">
                  <c:v>707371</c:v>
                </c:pt>
              </c:numCache>
            </c:numRef>
          </c:val>
          <c:smooth val="0"/>
        </c:ser>
        <c:ser>
          <c:idx val="1"/>
          <c:order val="3"/>
          <c:tx>
            <c:strRef>
              <c:f>Sheet1!$A$5</c:f>
              <c:strCache>
                <c:ptCount val="1"/>
                <c:pt idx="0">
                  <c:v>rok 2009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Sheet1!$B$5:$M$5</c:f>
              <c:numCache>
                <c:formatCode>#,##0</c:formatCode>
                <c:ptCount val="12"/>
                <c:pt idx="0">
                  <c:v>714639</c:v>
                </c:pt>
                <c:pt idx="1">
                  <c:v>717822</c:v>
                </c:pt>
                <c:pt idx="2">
                  <c:v>719609</c:v>
                </c:pt>
                <c:pt idx="3" formatCode="General">
                  <c:v>720879</c:v>
                </c:pt>
                <c:pt idx="4" formatCode="General">
                  <c:v>722485</c:v>
                </c:pt>
                <c:pt idx="5" formatCode="General">
                  <c:v>724300</c:v>
                </c:pt>
                <c:pt idx="6" formatCode="General">
                  <c:v>719604</c:v>
                </c:pt>
                <c:pt idx="7" formatCode="General">
                  <c:v>712820</c:v>
                </c:pt>
                <c:pt idx="8" formatCode="General">
                  <c:v>715051</c:v>
                </c:pt>
                <c:pt idx="9" formatCode="General">
                  <c:v>680887</c:v>
                </c:pt>
                <c:pt idx="10" formatCode="General">
                  <c:v>699634</c:v>
                </c:pt>
                <c:pt idx="11" formatCode="General">
                  <c:v>706705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rok 2010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Sheet1!$B$6:$M$6</c:f>
              <c:numCache>
                <c:formatCode>#,##0</c:formatCode>
                <c:ptCount val="12"/>
                <c:pt idx="0">
                  <c:v>709730</c:v>
                </c:pt>
                <c:pt idx="1">
                  <c:v>712647</c:v>
                </c:pt>
                <c:pt idx="2">
                  <c:v>714170</c:v>
                </c:pt>
                <c:pt idx="3" formatCode="General">
                  <c:v>714954</c:v>
                </c:pt>
                <c:pt idx="4" formatCode="General">
                  <c:v>716314</c:v>
                </c:pt>
                <c:pt idx="5">
                  <c:v>717697</c:v>
                </c:pt>
                <c:pt idx="6">
                  <c:v>713206</c:v>
                </c:pt>
                <c:pt idx="7">
                  <c:v>705696</c:v>
                </c:pt>
                <c:pt idx="8">
                  <c:v>707658</c:v>
                </c:pt>
                <c:pt idx="9">
                  <c:v>673654</c:v>
                </c:pt>
                <c:pt idx="10">
                  <c:v>691888</c:v>
                </c:pt>
                <c:pt idx="11">
                  <c:v>698327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0474240"/>
        <c:axId val="140475776"/>
      </c:lineChart>
      <c:catAx>
        <c:axId val="1404742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40475776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140475776"/>
        <c:scaling>
          <c:orientation val="minMax"/>
          <c:max val="760000"/>
          <c:min val="670000"/>
        </c:scaling>
        <c:delete val="0"/>
        <c:axPos val="l"/>
        <c:majorGridlines/>
        <c:numFmt formatCode="#,##0" sourceLinked="1"/>
        <c:majorTickMark val="none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40474240"/>
        <c:crosses val="autoZero"/>
        <c:crossBetween val="between"/>
        <c:majorUnit val="10000"/>
        <c:minorUnit val="1200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600"/>
            </a:pPr>
            <a:r>
              <a:rPr lang="sk-SK" sz="1600"/>
              <a:t>Vývoj  čerpania finančných prostriedkov na prídavok na dieťa </a:t>
            </a:r>
          </a:p>
          <a:p>
            <a:pPr>
              <a:defRPr sz="1600"/>
            </a:pPr>
            <a:r>
              <a:rPr lang="sk-SK" sz="1600"/>
              <a:t>v €</a:t>
            </a:r>
          </a:p>
        </c:rich>
      </c:tx>
      <c:layout/>
      <c:overlay val="0"/>
    </c:title>
    <c:autoTitleDeleted val="0"/>
    <c:plotArea>
      <c:layout/>
      <c:lineChart>
        <c:grouping val="standard"/>
        <c:varyColors val="0"/>
        <c:ser>
          <c:idx val="2"/>
          <c:order val="0"/>
          <c:tx>
            <c:strRef>
              <c:f>Sheet1!$A$2</c:f>
              <c:strCache>
                <c:ptCount val="1"/>
                <c:pt idx="0">
                  <c:v>rok 2011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Sheet1!$B$2:$M$2</c:f>
              <c:numCache>
                <c:formatCode>#,##0</c:formatCode>
                <c:ptCount val="12"/>
                <c:pt idx="0">
                  <c:v>25971943</c:v>
                </c:pt>
                <c:pt idx="1">
                  <c:v>26109553</c:v>
                </c:pt>
                <c:pt idx="2">
                  <c:v>26155864</c:v>
                </c:pt>
                <c:pt idx="3">
                  <c:v>26190682</c:v>
                </c:pt>
                <c:pt idx="4">
                  <c:v>26244306</c:v>
                </c:pt>
                <c:pt idx="5">
                  <c:v>26308199</c:v>
                </c:pt>
              </c:numCache>
            </c:numRef>
          </c:val>
          <c:smooth val="0"/>
        </c:ser>
        <c:ser>
          <c:idx val="3"/>
          <c:order val="1"/>
          <c:tx>
            <c:strRef>
              <c:f>Sheet1!$A$3</c:f>
              <c:strCache>
                <c:ptCount val="1"/>
                <c:pt idx="0">
                  <c:v>rok 2007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Sheet1!$B$3:$M$3</c:f>
              <c:numCache>
                <c:formatCode>#,##0</c:formatCode>
                <c:ptCount val="12"/>
                <c:pt idx="0">
                  <c:v>23112129</c:v>
                </c:pt>
                <c:pt idx="1">
                  <c:v>23162053</c:v>
                </c:pt>
                <c:pt idx="2">
                  <c:v>23114851</c:v>
                </c:pt>
                <c:pt idx="3">
                  <c:v>23121888</c:v>
                </c:pt>
                <c:pt idx="4">
                  <c:v>23075450</c:v>
                </c:pt>
                <c:pt idx="5">
                  <c:v>23178484</c:v>
                </c:pt>
                <c:pt idx="6">
                  <c:v>22950508</c:v>
                </c:pt>
                <c:pt idx="7">
                  <c:v>22828321</c:v>
                </c:pt>
                <c:pt idx="8">
                  <c:v>22983204</c:v>
                </c:pt>
                <c:pt idx="9">
                  <c:v>21300272</c:v>
                </c:pt>
                <c:pt idx="10">
                  <c:v>22544247</c:v>
                </c:pt>
                <c:pt idx="11">
                  <c:v>22615946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rok 2008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Sheet1!$B$4:$M$4</c:f>
              <c:numCache>
                <c:formatCode>#,##0</c:formatCode>
                <c:ptCount val="12"/>
                <c:pt idx="0">
                  <c:v>22524729</c:v>
                </c:pt>
                <c:pt idx="1">
                  <c:v>22610071</c:v>
                </c:pt>
                <c:pt idx="2">
                  <c:v>22556297</c:v>
                </c:pt>
                <c:pt idx="3">
                  <c:v>22542754</c:v>
                </c:pt>
                <c:pt idx="4">
                  <c:v>22531169</c:v>
                </c:pt>
                <c:pt idx="5">
                  <c:v>22574022</c:v>
                </c:pt>
                <c:pt idx="6">
                  <c:v>22354246</c:v>
                </c:pt>
                <c:pt idx="7">
                  <c:v>22227976</c:v>
                </c:pt>
                <c:pt idx="8">
                  <c:v>22243876</c:v>
                </c:pt>
                <c:pt idx="9">
                  <c:v>21085873</c:v>
                </c:pt>
                <c:pt idx="10">
                  <c:v>22196508</c:v>
                </c:pt>
                <c:pt idx="11">
                  <c:v>22244672</c:v>
                </c:pt>
              </c:numCache>
            </c:numRef>
          </c:val>
          <c:smooth val="0"/>
        </c:ser>
        <c:ser>
          <c:idx val="1"/>
          <c:order val="3"/>
          <c:tx>
            <c:strRef>
              <c:f>Sheet1!$A$5</c:f>
              <c:strCache>
                <c:ptCount val="1"/>
                <c:pt idx="0">
                  <c:v>rok 2009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Sheet1!$B$5:$M$5</c:f>
              <c:numCache>
                <c:formatCode>General</c:formatCode>
                <c:ptCount val="12"/>
                <c:pt idx="0">
                  <c:v>21723167</c:v>
                </c:pt>
                <c:pt idx="1">
                  <c:v>25886080</c:v>
                </c:pt>
                <c:pt idx="2">
                  <c:v>25954489</c:v>
                </c:pt>
                <c:pt idx="3">
                  <c:v>26000512</c:v>
                </c:pt>
                <c:pt idx="4">
                  <c:v>26069647</c:v>
                </c:pt>
                <c:pt idx="5">
                  <c:v>26149091</c:v>
                </c:pt>
                <c:pt idx="6">
                  <c:v>25978477</c:v>
                </c:pt>
                <c:pt idx="7">
                  <c:v>25730239</c:v>
                </c:pt>
                <c:pt idx="8">
                  <c:v>25820322</c:v>
                </c:pt>
                <c:pt idx="9">
                  <c:v>24354341</c:v>
                </c:pt>
                <c:pt idx="10">
                  <c:v>25085930</c:v>
                </c:pt>
                <c:pt idx="11">
                  <c:v>25362547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rok 2010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Sheet1!$B$6:$M$6</c:f>
              <c:numCache>
                <c:formatCode>#,##0</c:formatCode>
                <c:ptCount val="12"/>
                <c:pt idx="0">
                  <c:v>25486135</c:v>
                </c:pt>
                <c:pt idx="1">
                  <c:v>26500870</c:v>
                </c:pt>
                <c:pt idx="2">
                  <c:v>26565893</c:v>
                </c:pt>
                <c:pt idx="3" formatCode="General">
                  <c:v>26595788</c:v>
                </c:pt>
                <c:pt idx="4" formatCode="General">
                  <c:v>26660567</c:v>
                </c:pt>
                <c:pt idx="5">
                  <c:v>26726794</c:v>
                </c:pt>
                <c:pt idx="6">
                  <c:v>26557475</c:v>
                </c:pt>
                <c:pt idx="7">
                  <c:v>26271030</c:v>
                </c:pt>
                <c:pt idx="8">
                  <c:v>26355356</c:v>
                </c:pt>
                <c:pt idx="9">
                  <c:v>24842654</c:v>
                </c:pt>
                <c:pt idx="10">
                  <c:v>25569149</c:v>
                </c:pt>
                <c:pt idx="11">
                  <c:v>25835813.359999999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0659328"/>
        <c:axId val="140669312"/>
      </c:lineChart>
      <c:catAx>
        <c:axId val="1406593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40669312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140669312"/>
        <c:scaling>
          <c:orientation val="minMax"/>
          <c:min val="20000000"/>
        </c:scaling>
        <c:delete val="0"/>
        <c:axPos val="l"/>
        <c:majorGridlines/>
        <c:numFmt formatCode="#,##0" sourceLinked="1"/>
        <c:majorTickMark val="none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40659328"/>
        <c:crosses val="autoZero"/>
        <c:crossBetween val="between"/>
        <c:minorUnit val="12000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600"/>
            </a:pPr>
            <a:r>
              <a:rPr lang="sk-SK" sz="1600"/>
              <a:t>Vývoj  počtu poberateľov rodičovského príspevku</a:t>
            </a:r>
          </a:p>
        </c:rich>
      </c:tx>
      <c:layout/>
      <c:overlay val="0"/>
    </c:title>
    <c:autoTitleDeleted val="0"/>
    <c:plotArea>
      <c:layout/>
      <c:lineChart>
        <c:grouping val="standard"/>
        <c:varyColors val="0"/>
        <c:ser>
          <c:idx val="2"/>
          <c:order val="0"/>
          <c:tx>
            <c:strRef>
              <c:f>Sheet1!$A$2</c:f>
              <c:strCache>
                <c:ptCount val="1"/>
                <c:pt idx="0">
                  <c:v>rok 2011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Sheet1!$B$2:$M$2</c:f>
              <c:numCache>
                <c:formatCode>#,##0</c:formatCode>
                <c:ptCount val="12"/>
                <c:pt idx="0">
                  <c:v>138356</c:v>
                </c:pt>
                <c:pt idx="1">
                  <c:v>142846</c:v>
                </c:pt>
                <c:pt idx="2">
                  <c:v>142305</c:v>
                </c:pt>
                <c:pt idx="3">
                  <c:v>142546</c:v>
                </c:pt>
                <c:pt idx="4">
                  <c:v>142273</c:v>
                </c:pt>
                <c:pt idx="5">
                  <c:v>142298</c:v>
                </c:pt>
              </c:numCache>
            </c:numRef>
          </c:val>
          <c:smooth val="0"/>
        </c:ser>
        <c:ser>
          <c:idx val="3"/>
          <c:order val="1"/>
          <c:tx>
            <c:strRef>
              <c:f>Sheet1!$A$3</c:f>
              <c:strCache>
                <c:ptCount val="1"/>
                <c:pt idx="0">
                  <c:v>rok 2007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Sheet1!$B$3:$M$3</c:f>
              <c:numCache>
                <c:formatCode>#,##0</c:formatCode>
                <c:ptCount val="12"/>
                <c:pt idx="0">
                  <c:v>135111</c:v>
                </c:pt>
                <c:pt idx="1">
                  <c:v>136018</c:v>
                </c:pt>
                <c:pt idx="2">
                  <c:v>135796</c:v>
                </c:pt>
                <c:pt idx="3">
                  <c:v>135969</c:v>
                </c:pt>
                <c:pt idx="4">
                  <c:v>135729</c:v>
                </c:pt>
                <c:pt idx="5">
                  <c:v>135523</c:v>
                </c:pt>
                <c:pt idx="6">
                  <c:v>135195</c:v>
                </c:pt>
                <c:pt idx="7">
                  <c:v>135117</c:v>
                </c:pt>
                <c:pt idx="8" formatCode="General">
                  <c:v>135137</c:v>
                </c:pt>
                <c:pt idx="9" formatCode="General">
                  <c:v>134688</c:v>
                </c:pt>
                <c:pt idx="10" formatCode="General">
                  <c:v>133156</c:v>
                </c:pt>
                <c:pt idx="11" formatCode="General">
                  <c:v>133556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rok 2008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Sheet1!$B$4:$M$4</c:f>
              <c:numCache>
                <c:formatCode>#,##0</c:formatCode>
                <c:ptCount val="12"/>
                <c:pt idx="0">
                  <c:v>133780</c:v>
                </c:pt>
                <c:pt idx="1">
                  <c:v>134667</c:v>
                </c:pt>
                <c:pt idx="2">
                  <c:v>134594</c:v>
                </c:pt>
                <c:pt idx="3" formatCode="General">
                  <c:v>134756</c:v>
                </c:pt>
                <c:pt idx="4" formatCode="General">
                  <c:v>134306</c:v>
                </c:pt>
                <c:pt idx="5" formatCode="General">
                  <c:v>134377</c:v>
                </c:pt>
                <c:pt idx="6" formatCode="General">
                  <c:v>134300</c:v>
                </c:pt>
                <c:pt idx="7" formatCode="General">
                  <c:v>134338</c:v>
                </c:pt>
                <c:pt idx="8" formatCode="General">
                  <c:v>134057</c:v>
                </c:pt>
                <c:pt idx="9" formatCode="General">
                  <c:v>134026</c:v>
                </c:pt>
                <c:pt idx="10" formatCode="General">
                  <c:v>132450</c:v>
                </c:pt>
                <c:pt idx="11" formatCode="General">
                  <c:v>132948</c:v>
                </c:pt>
              </c:numCache>
            </c:numRef>
          </c:val>
          <c:smooth val="0"/>
        </c:ser>
        <c:ser>
          <c:idx val="1"/>
          <c:order val="3"/>
          <c:tx>
            <c:strRef>
              <c:f>Sheet1!$A$5</c:f>
              <c:strCache>
                <c:ptCount val="1"/>
                <c:pt idx="0">
                  <c:v>rok 2009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Sheet1!$B$5:$M$5</c:f>
              <c:numCache>
                <c:formatCode>#,##0</c:formatCode>
                <c:ptCount val="12"/>
                <c:pt idx="0">
                  <c:v>133669</c:v>
                </c:pt>
                <c:pt idx="1">
                  <c:v>134835</c:v>
                </c:pt>
                <c:pt idx="2">
                  <c:v>135203</c:v>
                </c:pt>
                <c:pt idx="3" formatCode="General">
                  <c:v>135101</c:v>
                </c:pt>
                <c:pt idx="4" formatCode="General">
                  <c:v>135561</c:v>
                </c:pt>
                <c:pt idx="5" formatCode="General">
                  <c:v>135974</c:v>
                </c:pt>
                <c:pt idx="6" formatCode="General">
                  <c:v>136024</c:v>
                </c:pt>
                <c:pt idx="7" formatCode="General">
                  <c:v>136233</c:v>
                </c:pt>
                <c:pt idx="8" formatCode="General">
                  <c:v>136127</c:v>
                </c:pt>
                <c:pt idx="9" formatCode="General">
                  <c:v>136352</c:v>
                </c:pt>
                <c:pt idx="10" formatCode="General">
                  <c:v>134223</c:v>
                </c:pt>
                <c:pt idx="11" formatCode="General">
                  <c:v>135190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rok 2010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Sheet1!$B$6:$M$6</c:f>
              <c:numCache>
                <c:formatCode>#,##0</c:formatCode>
                <c:ptCount val="12"/>
                <c:pt idx="0">
                  <c:v>135725</c:v>
                </c:pt>
                <c:pt idx="1">
                  <c:v>137546</c:v>
                </c:pt>
                <c:pt idx="2">
                  <c:v>138258</c:v>
                </c:pt>
                <c:pt idx="3" formatCode="General">
                  <c:v>139487</c:v>
                </c:pt>
                <c:pt idx="4" formatCode="General">
                  <c:v>139856</c:v>
                </c:pt>
                <c:pt idx="5">
                  <c:v>140311</c:v>
                </c:pt>
                <c:pt idx="6">
                  <c:v>140419</c:v>
                </c:pt>
                <c:pt idx="7">
                  <c:v>140589</c:v>
                </c:pt>
                <c:pt idx="8">
                  <c:v>140448</c:v>
                </c:pt>
                <c:pt idx="9">
                  <c:v>139607</c:v>
                </c:pt>
                <c:pt idx="10">
                  <c:v>136361</c:v>
                </c:pt>
                <c:pt idx="11">
                  <c:v>137351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0701056"/>
        <c:axId val="140706944"/>
      </c:lineChart>
      <c:catAx>
        <c:axId val="1407010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40706944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140706944"/>
        <c:scaling>
          <c:orientation val="minMax"/>
          <c:min val="132000"/>
        </c:scaling>
        <c:delete val="0"/>
        <c:axPos val="l"/>
        <c:majorGridlines/>
        <c:numFmt formatCode="#,##0" sourceLinked="1"/>
        <c:majorTickMark val="none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40701056"/>
        <c:crosses val="autoZero"/>
        <c:crossBetween val="between"/>
        <c:majorUnit val="1000"/>
        <c:minorUnit val="100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sk-SK"/>
              <a:t>Čerpanie finančných prostriedkov na rodičovský príspevok  v €</a:t>
            </a:r>
          </a:p>
        </c:rich>
      </c:tx>
      <c:layout/>
      <c:overlay val="0"/>
    </c:title>
    <c:autoTitleDeleted val="0"/>
    <c:plotArea>
      <c:layout/>
      <c:lineChart>
        <c:grouping val="standard"/>
        <c:varyColors val="0"/>
        <c:ser>
          <c:idx val="2"/>
          <c:order val="0"/>
          <c:tx>
            <c:strRef>
              <c:f>Sheet1!$A$2</c:f>
              <c:strCache>
                <c:ptCount val="1"/>
                <c:pt idx="0">
                  <c:v>rok 2011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Sheet1!$B$2:$M$2</c:f>
              <c:numCache>
                <c:formatCode>#,##0.00</c:formatCode>
                <c:ptCount val="12"/>
                <c:pt idx="0" formatCode="#,##0">
                  <c:v>26992481</c:v>
                </c:pt>
                <c:pt idx="1">
                  <c:v>29329277.350000001</c:v>
                </c:pt>
                <c:pt idx="2" formatCode="#,##0">
                  <c:v>29102309</c:v>
                </c:pt>
                <c:pt idx="3" formatCode="#,##0">
                  <c:v>29027960</c:v>
                </c:pt>
                <c:pt idx="4" formatCode="#,##0">
                  <c:v>28897615</c:v>
                </c:pt>
                <c:pt idx="5" formatCode="#,##0">
                  <c:v>28811798</c:v>
                </c:pt>
              </c:numCache>
            </c:numRef>
          </c:val>
          <c:smooth val="0"/>
        </c:ser>
        <c:ser>
          <c:idx val="3"/>
          <c:order val="1"/>
          <c:tx>
            <c:strRef>
              <c:f>Sheet1!$A$3</c:f>
              <c:strCache>
                <c:ptCount val="1"/>
                <c:pt idx="0">
                  <c:v>rok 2007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Sheet1!$B$3:$M$3</c:f>
              <c:numCache>
                <c:formatCode>#,##0</c:formatCode>
                <c:ptCount val="12"/>
                <c:pt idx="0">
                  <c:v>20187413</c:v>
                </c:pt>
                <c:pt idx="1">
                  <c:v>20455852</c:v>
                </c:pt>
                <c:pt idx="2">
                  <c:v>20366428</c:v>
                </c:pt>
                <c:pt idx="3">
                  <c:v>20386377</c:v>
                </c:pt>
                <c:pt idx="4">
                  <c:v>20325367</c:v>
                </c:pt>
                <c:pt idx="5">
                  <c:v>20314579</c:v>
                </c:pt>
                <c:pt idx="6">
                  <c:v>20224856</c:v>
                </c:pt>
                <c:pt idx="7">
                  <c:v>20276472</c:v>
                </c:pt>
                <c:pt idx="8">
                  <c:v>20243909</c:v>
                </c:pt>
                <c:pt idx="9">
                  <c:v>20742614</c:v>
                </c:pt>
                <c:pt idx="10">
                  <c:v>20554737</c:v>
                </c:pt>
                <c:pt idx="11">
                  <c:v>20525891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rok 2008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Sheet1!$B$4:$M$4</c:f>
              <c:numCache>
                <c:formatCode>#,##0</c:formatCode>
                <c:ptCount val="12"/>
                <c:pt idx="0">
                  <c:v>20525891</c:v>
                </c:pt>
                <c:pt idx="1">
                  <c:v>20852486</c:v>
                </c:pt>
                <c:pt idx="2">
                  <c:v>20743245</c:v>
                </c:pt>
                <c:pt idx="3">
                  <c:v>20746531</c:v>
                </c:pt>
                <c:pt idx="4">
                  <c:v>20649937</c:v>
                </c:pt>
                <c:pt idx="5">
                  <c:v>20683928</c:v>
                </c:pt>
                <c:pt idx="6">
                  <c:v>20692658</c:v>
                </c:pt>
                <c:pt idx="7">
                  <c:v>20697404</c:v>
                </c:pt>
                <c:pt idx="8">
                  <c:v>20646551</c:v>
                </c:pt>
                <c:pt idx="9">
                  <c:v>21650534</c:v>
                </c:pt>
                <c:pt idx="10">
                  <c:v>21457611</c:v>
                </c:pt>
                <c:pt idx="11">
                  <c:v>21521974</c:v>
                </c:pt>
              </c:numCache>
            </c:numRef>
          </c:val>
          <c:smooth val="0"/>
        </c:ser>
        <c:ser>
          <c:idx val="1"/>
          <c:order val="3"/>
          <c:tx>
            <c:strRef>
              <c:f>Sheet1!$A$5</c:f>
              <c:strCache>
                <c:ptCount val="1"/>
                <c:pt idx="0">
                  <c:v>rok 2009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Sheet1!$B$5:$M$5</c:f>
              <c:numCache>
                <c:formatCode>General</c:formatCode>
                <c:ptCount val="12"/>
                <c:pt idx="0">
                  <c:v>21116970</c:v>
                </c:pt>
                <c:pt idx="1">
                  <c:v>21301802</c:v>
                </c:pt>
                <c:pt idx="2">
                  <c:v>21364954</c:v>
                </c:pt>
                <c:pt idx="3">
                  <c:v>21453347</c:v>
                </c:pt>
                <c:pt idx="4">
                  <c:v>21431120</c:v>
                </c:pt>
                <c:pt idx="5">
                  <c:v>21502501</c:v>
                </c:pt>
                <c:pt idx="6">
                  <c:v>21519952</c:v>
                </c:pt>
                <c:pt idx="7">
                  <c:v>21544725</c:v>
                </c:pt>
                <c:pt idx="8">
                  <c:v>21539669</c:v>
                </c:pt>
                <c:pt idx="9">
                  <c:v>22324483</c:v>
                </c:pt>
                <c:pt idx="10">
                  <c:v>21976515</c:v>
                </c:pt>
                <c:pt idx="11">
                  <c:v>22130396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rok 2010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Sheet1!$B$6:$M$6</c:f>
              <c:numCache>
                <c:formatCode>#,##0</c:formatCode>
                <c:ptCount val="12"/>
                <c:pt idx="0">
                  <c:v>22225550</c:v>
                </c:pt>
                <c:pt idx="1">
                  <c:v>25354281</c:v>
                </c:pt>
                <c:pt idx="2">
                  <c:v>26356480</c:v>
                </c:pt>
                <c:pt idx="3" formatCode="General">
                  <c:v>26825017</c:v>
                </c:pt>
                <c:pt idx="4" formatCode="General">
                  <c:v>27001942.07</c:v>
                </c:pt>
                <c:pt idx="5">
                  <c:v>27133844</c:v>
                </c:pt>
                <c:pt idx="6">
                  <c:v>27192687</c:v>
                </c:pt>
                <c:pt idx="7">
                  <c:v>27238703</c:v>
                </c:pt>
                <c:pt idx="8">
                  <c:v>27228302</c:v>
                </c:pt>
                <c:pt idx="9">
                  <c:v>27074065</c:v>
                </c:pt>
                <c:pt idx="10">
                  <c:v>26525875</c:v>
                </c:pt>
                <c:pt idx="11">
                  <c:v>26736203.050000001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0730752"/>
        <c:axId val="140732288"/>
      </c:lineChart>
      <c:catAx>
        <c:axId val="1407307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40732288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140732288"/>
        <c:scaling>
          <c:orientation val="minMax"/>
          <c:min val="18000000"/>
        </c:scaling>
        <c:delete val="0"/>
        <c:axPos val="l"/>
        <c:majorGridlines/>
        <c:numFmt formatCode="#,##0" sourceLinked="1"/>
        <c:majorTickMark val="none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40730752"/>
        <c:crosses val="autoZero"/>
        <c:crossBetween val="between"/>
        <c:majorUnit val="1000000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title>
      <c:tx>
        <c:rich>
          <a:bodyPr/>
          <a:lstStyle/>
          <a:p>
            <a:pPr>
              <a:defRPr sz="1600"/>
            </a:pPr>
            <a:r>
              <a:rPr lang="sk-SK" sz="1600"/>
              <a:t>Vývoj  počtu poberateľov príspevku na starostlivosť o dieťa  
</a:t>
            </a:r>
          </a:p>
        </c:rich>
      </c:tx>
      <c:layout/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Príspevok na starostlivosť</c:v>
                </c:pt>
              </c:strCache>
            </c:strRef>
          </c:tx>
          <c:cat>
            <c:strRef>
              <c:f>Sheet1!$B$1:$AE$1</c:f>
              <c:strCache>
                <c:ptCount val="30"/>
                <c:pt idx="0">
                  <c:v>I.09</c:v>
                </c:pt>
                <c:pt idx="1">
                  <c:v>II.09</c:v>
                </c:pt>
                <c:pt idx="2">
                  <c:v>III.09</c:v>
                </c:pt>
                <c:pt idx="3">
                  <c:v>IV.09</c:v>
                </c:pt>
                <c:pt idx="4">
                  <c:v>V.09</c:v>
                </c:pt>
                <c:pt idx="5">
                  <c:v>VI.09</c:v>
                </c:pt>
                <c:pt idx="6">
                  <c:v>VII.09</c:v>
                </c:pt>
                <c:pt idx="7">
                  <c:v>VIII.09</c:v>
                </c:pt>
                <c:pt idx="8">
                  <c:v>IX.09</c:v>
                </c:pt>
                <c:pt idx="9">
                  <c:v>X.09</c:v>
                </c:pt>
                <c:pt idx="10">
                  <c:v>XI.09</c:v>
                </c:pt>
                <c:pt idx="11">
                  <c:v>XII.09</c:v>
                </c:pt>
                <c:pt idx="12">
                  <c:v>I.10</c:v>
                </c:pt>
                <c:pt idx="13">
                  <c:v>II.10</c:v>
                </c:pt>
                <c:pt idx="14">
                  <c:v>III.10</c:v>
                </c:pt>
                <c:pt idx="15">
                  <c:v>IV.10</c:v>
                </c:pt>
                <c:pt idx="16">
                  <c:v>V.10</c:v>
                </c:pt>
                <c:pt idx="17">
                  <c:v>VI.10</c:v>
                </c:pt>
                <c:pt idx="18">
                  <c:v>VII.10</c:v>
                </c:pt>
                <c:pt idx="19">
                  <c:v>VIII.10</c:v>
                </c:pt>
                <c:pt idx="20">
                  <c:v>IX.10</c:v>
                </c:pt>
                <c:pt idx="21">
                  <c:v>X.10</c:v>
                </c:pt>
                <c:pt idx="22">
                  <c:v>XI.10</c:v>
                </c:pt>
                <c:pt idx="23">
                  <c:v>XII.10</c:v>
                </c:pt>
                <c:pt idx="24">
                  <c:v>I.11</c:v>
                </c:pt>
                <c:pt idx="25">
                  <c:v>II.11</c:v>
                </c:pt>
                <c:pt idx="26">
                  <c:v>III.11</c:v>
                </c:pt>
                <c:pt idx="27">
                  <c:v>IV.11</c:v>
                </c:pt>
                <c:pt idx="28">
                  <c:v>V.11</c:v>
                </c:pt>
                <c:pt idx="29">
                  <c:v>VI.11</c:v>
                </c:pt>
              </c:strCache>
            </c:strRef>
          </c:cat>
          <c:val>
            <c:numRef>
              <c:f>Sheet1!$B$2:$AE$2</c:f>
              <c:numCache>
                <c:formatCode>#,##0</c:formatCode>
                <c:ptCount val="30"/>
                <c:pt idx="0">
                  <c:v>0</c:v>
                </c:pt>
                <c:pt idx="1">
                  <c:v>77</c:v>
                </c:pt>
                <c:pt idx="2">
                  <c:v>269</c:v>
                </c:pt>
                <c:pt idx="3">
                  <c:v>487</c:v>
                </c:pt>
                <c:pt idx="4">
                  <c:v>581</c:v>
                </c:pt>
                <c:pt idx="5">
                  <c:v>675</c:v>
                </c:pt>
                <c:pt idx="6" formatCode="General">
                  <c:v>1290</c:v>
                </c:pt>
                <c:pt idx="7" formatCode="General">
                  <c:v>1403</c:v>
                </c:pt>
                <c:pt idx="8" formatCode="General">
                  <c:v>1526</c:v>
                </c:pt>
                <c:pt idx="9" formatCode="General">
                  <c:v>1827</c:v>
                </c:pt>
                <c:pt idx="10" formatCode="General">
                  <c:v>2558</c:v>
                </c:pt>
                <c:pt idx="11" formatCode="General">
                  <c:v>2791</c:v>
                </c:pt>
                <c:pt idx="12">
                  <c:v>2599</c:v>
                </c:pt>
                <c:pt idx="13">
                  <c:v>2326</c:v>
                </c:pt>
                <c:pt idx="14">
                  <c:v>2562</c:v>
                </c:pt>
                <c:pt idx="15" formatCode="General">
                  <c:v>2730</c:v>
                </c:pt>
                <c:pt idx="16" formatCode="General">
                  <c:v>2873</c:v>
                </c:pt>
                <c:pt idx="17">
                  <c:v>3083</c:v>
                </c:pt>
                <c:pt idx="18">
                  <c:v>3261</c:v>
                </c:pt>
                <c:pt idx="19">
                  <c:v>3261</c:v>
                </c:pt>
                <c:pt idx="20">
                  <c:v>3449</c:v>
                </c:pt>
                <c:pt idx="21">
                  <c:v>3987</c:v>
                </c:pt>
                <c:pt idx="22">
                  <c:v>5294</c:v>
                </c:pt>
                <c:pt idx="23">
                  <c:v>5715</c:v>
                </c:pt>
                <c:pt idx="24">
                  <c:v>5944</c:v>
                </c:pt>
                <c:pt idx="25">
                  <c:v>1567</c:v>
                </c:pt>
                <c:pt idx="26">
                  <c:v>1552</c:v>
                </c:pt>
                <c:pt idx="27">
                  <c:v>1603</c:v>
                </c:pt>
                <c:pt idx="28">
                  <c:v>1548</c:v>
                </c:pt>
                <c:pt idx="29">
                  <c:v>1683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9336704"/>
        <c:axId val="159346688"/>
      </c:lineChart>
      <c:catAx>
        <c:axId val="1593367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2700000" vert="horz"/>
          <a:lstStyle/>
          <a:p>
            <a:pPr>
              <a:defRPr/>
            </a:pPr>
            <a:endParaRPr lang="sk-SK"/>
          </a:p>
        </c:txPr>
        <c:crossAx val="159346688"/>
        <c:crossesAt val="0"/>
        <c:auto val="1"/>
        <c:lblAlgn val="ctr"/>
        <c:lblOffset val="100"/>
        <c:tickLblSkip val="2"/>
        <c:tickMarkSkip val="1"/>
        <c:noMultiLvlLbl val="0"/>
      </c:catAx>
      <c:valAx>
        <c:axId val="159346688"/>
        <c:scaling>
          <c:orientation val="minMax"/>
          <c:min val="0"/>
        </c:scaling>
        <c:delete val="0"/>
        <c:axPos val="l"/>
        <c:majorGridlines/>
        <c:numFmt formatCode="#,##0" sourceLinked="1"/>
        <c:majorTickMark val="none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59336704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title>
      <c:tx>
        <c:rich>
          <a:bodyPr/>
          <a:lstStyle/>
          <a:p>
            <a:pPr>
              <a:defRPr sz="1600"/>
            </a:pPr>
            <a:r>
              <a:rPr lang="sk-SK" sz="1600"/>
              <a:t>Vývoj  čerpania finančných prostriedkov na príspevok na starostlivosť o dieťa v €</a:t>
            </a:r>
          </a:p>
        </c:rich>
      </c:tx>
      <c:layout/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Príspevok na starostlivosť</c:v>
                </c:pt>
              </c:strCache>
            </c:strRef>
          </c:tx>
          <c:cat>
            <c:strRef>
              <c:f>Sheet1!$B$1:$AD$1</c:f>
              <c:strCache>
                <c:ptCount val="29"/>
                <c:pt idx="0">
                  <c:v>I.09</c:v>
                </c:pt>
                <c:pt idx="1">
                  <c:v>II.09</c:v>
                </c:pt>
                <c:pt idx="2">
                  <c:v>III.09</c:v>
                </c:pt>
                <c:pt idx="3">
                  <c:v>IV.09</c:v>
                </c:pt>
                <c:pt idx="4">
                  <c:v>V.09</c:v>
                </c:pt>
                <c:pt idx="5">
                  <c:v>VI.09</c:v>
                </c:pt>
                <c:pt idx="6">
                  <c:v>VII.09</c:v>
                </c:pt>
                <c:pt idx="7">
                  <c:v>VIII.09</c:v>
                </c:pt>
                <c:pt idx="8">
                  <c:v>IX.09</c:v>
                </c:pt>
                <c:pt idx="9">
                  <c:v>X.09</c:v>
                </c:pt>
                <c:pt idx="10">
                  <c:v>XI.09</c:v>
                </c:pt>
                <c:pt idx="11">
                  <c:v>XII.09</c:v>
                </c:pt>
                <c:pt idx="12">
                  <c:v>I.10</c:v>
                </c:pt>
                <c:pt idx="13">
                  <c:v>II.10</c:v>
                </c:pt>
                <c:pt idx="14">
                  <c:v>III.10</c:v>
                </c:pt>
                <c:pt idx="15">
                  <c:v>IV.10</c:v>
                </c:pt>
                <c:pt idx="16">
                  <c:v>V.10</c:v>
                </c:pt>
                <c:pt idx="17">
                  <c:v>VI.10</c:v>
                </c:pt>
                <c:pt idx="18">
                  <c:v>VII.10</c:v>
                </c:pt>
                <c:pt idx="19">
                  <c:v>VIII.10</c:v>
                </c:pt>
                <c:pt idx="20">
                  <c:v>IX.10</c:v>
                </c:pt>
                <c:pt idx="21">
                  <c:v>X.10</c:v>
                </c:pt>
                <c:pt idx="22">
                  <c:v>XI.10</c:v>
                </c:pt>
                <c:pt idx="23">
                  <c:v>XII.10</c:v>
                </c:pt>
                <c:pt idx="24">
                  <c:v>I.11</c:v>
                </c:pt>
                <c:pt idx="25">
                  <c:v>II.11</c:v>
                </c:pt>
                <c:pt idx="26">
                  <c:v>III.11</c:v>
                </c:pt>
                <c:pt idx="27">
                  <c:v>IV.11</c:v>
                </c:pt>
                <c:pt idx="28">
                  <c:v>V.11</c:v>
                </c:pt>
              </c:strCache>
            </c:strRef>
          </c:cat>
          <c:val>
            <c:numRef>
              <c:f>Sheet1!$B$2:$AD$2</c:f>
              <c:numCache>
                <c:formatCode>#,##0</c:formatCode>
                <c:ptCount val="29"/>
                <c:pt idx="0">
                  <c:v>0</c:v>
                </c:pt>
                <c:pt idx="1">
                  <c:v>3323</c:v>
                </c:pt>
                <c:pt idx="2">
                  <c:v>12774</c:v>
                </c:pt>
                <c:pt idx="3">
                  <c:v>22630</c:v>
                </c:pt>
                <c:pt idx="4">
                  <c:v>30293</c:v>
                </c:pt>
                <c:pt idx="5">
                  <c:v>46430</c:v>
                </c:pt>
                <c:pt idx="6" formatCode="General">
                  <c:v>62096</c:v>
                </c:pt>
                <c:pt idx="7" formatCode="General">
                  <c:v>67961</c:v>
                </c:pt>
                <c:pt idx="8" formatCode="General">
                  <c:v>74423</c:v>
                </c:pt>
                <c:pt idx="9" formatCode="General">
                  <c:v>95214</c:v>
                </c:pt>
                <c:pt idx="10" formatCode="General">
                  <c:v>137233</c:v>
                </c:pt>
                <c:pt idx="11" formatCode="General">
                  <c:v>145290</c:v>
                </c:pt>
                <c:pt idx="12">
                  <c:v>136054</c:v>
                </c:pt>
                <c:pt idx="13">
                  <c:v>132333</c:v>
                </c:pt>
                <c:pt idx="14">
                  <c:v>155344</c:v>
                </c:pt>
                <c:pt idx="15" formatCode="General">
                  <c:v>167328</c:v>
                </c:pt>
                <c:pt idx="16" formatCode="General">
                  <c:v>179355</c:v>
                </c:pt>
                <c:pt idx="17">
                  <c:v>194942</c:v>
                </c:pt>
                <c:pt idx="18">
                  <c:v>210353</c:v>
                </c:pt>
                <c:pt idx="19">
                  <c:v>206121</c:v>
                </c:pt>
                <c:pt idx="20">
                  <c:v>211156</c:v>
                </c:pt>
                <c:pt idx="21">
                  <c:v>263062</c:v>
                </c:pt>
                <c:pt idx="22">
                  <c:v>340798</c:v>
                </c:pt>
                <c:pt idx="23">
                  <c:v>363444.12</c:v>
                </c:pt>
                <c:pt idx="24">
                  <c:v>376307</c:v>
                </c:pt>
                <c:pt idx="25" formatCode="General">
                  <c:v>269396</c:v>
                </c:pt>
                <c:pt idx="26">
                  <c:v>295630</c:v>
                </c:pt>
                <c:pt idx="27">
                  <c:v>308644</c:v>
                </c:pt>
                <c:pt idx="28">
                  <c:v>301215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9367168"/>
        <c:axId val="159368704"/>
      </c:lineChart>
      <c:catAx>
        <c:axId val="1593671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2700000" vert="horz"/>
          <a:lstStyle/>
          <a:p>
            <a:pPr>
              <a:defRPr/>
            </a:pPr>
            <a:endParaRPr lang="sk-SK"/>
          </a:p>
        </c:txPr>
        <c:crossAx val="159368704"/>
        <c:crossesAt val="0"/>
        <c:auto val="1"/>
        <c:lblAlgn val="ctr"/>
        <c:lblOffset val="100"/>
        <c:tickLblSkip val="2"/>
        <c:tickMarkSkip val="1"/>
        <c:noMultiLvlLbl val="0"/>
      </c:catAx>
      <c:valAx>
        <c:axId val="159368704"/>
        <c:scaling>
          <c:orientation val="minMax"/>
          <c:min val="0"/>
        </c:scaling>
        <c:delete val="0"/>
        <c:axPos val="l"/>
        <c:majorGridlines/>
        <c:numFmt formatCode="#,##0" sourceLinked="1"/>
        <c:majorTickMark val="none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59367168"/>
        <c:crosses val="autoZero"/>
        <c:crossBetween val="between"/>
        <c:minorUnit val="5000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600"/>
            </a:pPr>
            <a:r>
              <a:rPr lang="sk-SK" sz="1600"/>
              <a:t>Vývoj  počtu poberateľov príspevku pri narodení dieťaťa a príspevku na pohreb  
</a:t>
            </a:r>
          </a:p>
        </c:rich>
      </c:tx>
      <c:layout/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Príspevok pri narodení dieťaťa</c:v>
                </c:pt>
              </c:strCache>
            </c:strRef>
          </c:tx>
          <c:cat>
            <c:strRef>
              <c:f>Sheet1!$N$1:$AQ$1</c:f>
              <c:strCache>
                <c:ptCount val="30"/>
                <c:pt idx="0">
                  <c:v>I.09</c:v>
                </c:pt>
                <c:pt idx="1">
                  <c:v>II.09</c:v>
                </c:pt>
                <c:pt idx="2">
                  <c:v>III.09</c:v>
                </c:pt>
                <c:pt idx="3">
                  <c:v>IV.09</c:v>
                </c:pt>
                <c:pt idx="4">
                  <c:v>V.09</c:v>
                </c:pt>
                <c:pt idx="5">
                  <c:v>VI.09</c:v>
                </c:pt>
                <c:pt idx="6">
                  <c:v>VII.09</c:v>
                </c:pt>
                <c:pt idx="7">
                  <c:v>VIII.09</c:v>
                </c:pt>
                <c:pt idx="8">
                  <c:v>IX.09</c:v>
                </c:pt>
                <c:pt idx="9">
                  <c:v>X.09</c:v>
                </c:pt>
                <c:pt idx="10">
                  <c:v>XI.09</c:v>
                </c:pt>
                <c:pt idx="11">
                  <c:v>XII.09</c:v>
                </c:pt>
                <c:pt idx="12">
                  <c:v>I.10</c:v>
                </c:pt>
                <c:pt idx="13">
                  <c:v>II.10</c:v>
                </c:pt>
                <c:pt idx="14">
                  <c:v>III.10</c:v>
                </c:pt>
                <c:pt idx="15">
                  <c:v>IV.10</c:v>
                </c:pt>
                <c:pt idx="16">
                  <c:v>V.10</c:v>
                </c:pt>
                <c:pt idx="17">
                  <c:v>VI.10</c:v>
                </c:pt>
                <c:pt idx="18">
                  <c:v>VII.10</c:v>
                </c:pt>
                <c:pt idx="19">
                  <c:v>VIII.10</c:v>
                </c:pt>
                <c:pt idx="20">
                  <c:v>IX.10</c:v>
                </c:pt>
                <c:pt idx="21">
                  <c:v>X.10</c:v>
                </c:pt>
                <c:pt idx="22">
                  <c:v>XI.10</c:v>
                </c:pt>
                <c:pt idx="23">
                  <c:v>XII.10</c:v>
                </c:pt>
                <c:pt idx="24">
                  <c:v>I.11</c:v>
                </c:pt>
                <c:pt idx="25">
                  <c:v>II.11</c:v>
                </c:pt>
                <c:pt idx="26">
                  <c:v>III.11</c:v>
                </c:pt>
                <c:pt idx="27">
                  <c:v>IV.11</c:v>
                </c:pt>
                <c:pt idx="28">
                  <c:v>V.11</c:v>
                </c:pt>
                <c:pt idx="29">
                  <c:v>VI.11</c:v>
                </c:pt>
              </c:strCache>
            </c:strRef>
          </c:cat>
          <c:val>
            <c:numRef>
              <c:f>Sheet1!$N$2:$AQ$2</c:f>
              <c:numCache>
                <c:formatCode>General</c:formatCode>
                <c:ptCount val="30"/>
                <c:pt idx="0">
                  <c:v>4080</c:v>
                </c:pt>
                <c:pt idx="1">
                  <c:v>4574</c:v>
                </c:pt>
                <c:pt idx="2">
                  <c:v>4082</c:v>
                </c:pt>
                <c:pt idx="3">
                  <c:v>4465</c:v>
                </c:pt>
                <c:pt idx="4">
                  <c:v>4408</c:v>
                </c:pt>
                <c:pt idx="5">
                  <c:v>4965</c:v>
                </c:pt>
                <c:pt idx="6">
                  <c:v>4780</c:v>
                </c:pt>
                <c:pt idx="7">
                  <c:v>5146</c:v>
                </c:pt>
                <c:pt idx="8">
                  <c:v>4933</c:v>
                </c:pt>
                <c:pt idx="9">
                  <c:v>5264</c:v>
                </c:pt>
                <c:pt idx="10">
                  <c:v>4958</c:v>
                </c:pt>
                <c:pt idx="11">
                  <c:v>4867</c:v>
                </c:pt>
                <c:pt idx="12" formatCode="#,##0">
                  <c:v>4033</c:v>
                </c:pt>
                <c:pt idx="13" formatCode="#,##0">
                  <c:v>5036</c:v>
                </c:pt>
                <c:pt idx="14" formatCode="#,##0">
                  <c:v>4526</c:v>
                </c:pt>
                <c:pt idx="15">
                  <c:v>4631</c:v>
                </c:pt>
                <c:pt idx="16">
                  <c:v>4561</c:v>
                </c:pt>
                <c:pt idx="17" formatCode="#,##0">
                  <c:v>4786</c:v>
                </c:pt>
                <c:pt idx="18" formatCode="#,##0">
                  <c:v>4649</c:v>
                </c:pt>
                <c:pt idx="19" formatCode="#,##0">
                  <c:v>5013</c:v>
                </c:pt>
                <c:pt idx="20" formatCode="#,##0">
                  <c:v>4803</c:v>
                </c:pt>
                <c:pt idx="21" formatCode="#,##0">
                  <c:v>5057</c:v>
                </c:pt>
                <c:pt idx="22" formatCode="#,##0">
                  <c:v>4790</c:v>
                </c:pt>
                <c:pt idx="23" formatCode="#,##0">
                  <c:v>4851</c:v>
                </c:pt>
                <c:pt idx="24" formatCode="#,##0">
                  <c:v>4580</c:v>
                </c:pt>
                <c:pt idx="25" formatCode="#,##0">
                  <c:v>4718</c:v>
                </c:pt>
                <c:pt idx="26" formatCode="#,##0">
                  <c:v>4284</c:v>
                </c:pt>
                <c:pt idx="27" formatCode="#,##0">
                  <c:v>4699</c:v>
                </c:pt>
                <c:pt idx="28" formatCode="#,##0">
                  <c:v>4204</c:v>
                </c:pt>
                <c:pt idx="29" formatCode="#,##0">
                  <c:v>4877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Príspevok na pohreb </c:v>
                </c:pt>
              </c:strCache>
            </c:strRef>
          </c:tx>
          <c:cat>
            <c:strRef>
              <c:f>Sheet1!$N$1:$AQ$1</c:f>
              <c:strCache>
                <c:ptCount val="30"/>
                <c:pt idx="0">
                  <c:v>I.09</c:v>
                </c:pt>
                <c:pt idx="1">
                  <c:v>II.09</c:v>
                </c:pt>
                <c:pt idx="2">
                  <c:v>III.09</c:v>
                </c:pt>
                <c:pt idx="3">
                  <c:v>IV.09</c:v>
                </c:pt>
                <c:pt idx="4">
                  <c:v>V.09</c:v>
                </c:pt>
                <c:pt idx="5">
                  <c:v>VI.09</c:v>
                </c:pt>
                <c:pt idx="6">
                  <c:v>VII.09</c:v>
                </c:pt>
                <c:pt idx="7">
                  <c:v>VIII.09</c:v>
                </c:pt>
                <c:pt idx="8">
                  <c:v>IX.09</c:v>
                </c:pt>
                <c:pt idx="9">
                  <c:v>X.09</c:v>
                </c:pt>
                <c:pt idx="10">
                  <c:v>XI.09</c:v>
                </c:pt>
                <c:pt idx="11">
                  <c:v>XII.09</c:v>
                </c:pt>
                <c:pt idx="12">
                  <c:v>I.10</c:v>
                </c:pt>
                <c:pt idx="13">
                  <c:v>II.10</c:v>
                </c:pt>
                <c:pt idx="14">
                  <c:v>III.10</c:v>
                </c:pt>
                <c:pt idx="15">
                  <c:v>IV.10</c:v>
                </c:pt>
                <c:pt idx="16">
                  <c:v>V.10</c:v>
                </c:pt>
                <c:pt idx="17">
                  <c:v>VI.10</c:v>
                </c:pt>
                <c:pt idx="18">
                  <c:v>VII.10</c:v>
                </c:pt>
                <c:pt idx="19">
                  <c:v>VIII.10</c:v>
                </c:pt>
                <c:pt idx="20">
                  <c:v>IX.10</c:v>
                </c:pt>
                <c:pt idx="21">
                  <c:v>X.10</c:v>
                </c:pt>
                <c:pt idx="22">
                  <c:v>XI.10</c:v>
                </c:pt>
                <c:pt idx="23">
                  <c:v>XII.10</c:v>
                </c:pt>
                <c:pt idx="24">
                  <c:v>I.11</c:v>
                </c:pt>
                <c:pt idx="25">
                  <c:v>II.11</c:v>
                </c:pt>
                <c:pt idx="26">
                  <c:v>III.11</c:v>
                </c:pt>
                <c:pt idx="27">
                  <c:v>IV.11</c:v>
                </c:pt>
                <c:pt idx="28">
                  <c:v>V.11</c:v>
                </c:pt>
                <c:pt idx="29">
                  <c:v>VI.11</c:v>
                </c:pt>
              </c:strCache>
            </c:strRef>
          </c:cat>
          <c:val>
            <c:numRef>
              <c:f>Sheet1!$N$3:$AQ$3</c:f>
              <c:numCache>
                <c:formatCode>General</c:formatCode>
                <c:ptCount val="30"/>
                <c:pt idx="0">
                  <c:v>4283</c:v>
                </c:pt>
                <c:pt idx="1">
                  <c:v>4920</c:v>
                </c:pt>
                <c:pt idx="2">
                  <c:v>4230</c:v>
                </c:pt>
                <c:pt idx="3">
                  <c:v>4390</c:v>
                </c:pt>
                <c:pt idx="4">
                  <c:v>4066</c:v>
                </c:pt>
                <c:pt idx="5">
                  <c:v>4212</c:v>
                </c:pt>
                <c:pt idx="6">
                  <c:v>4068</c:v>
                </c:pt>
                <c:pt idx="7">
                  <c:v>4097</c:v>
                </c:pt>
                <c:pt idx="8">
                  <c:v>3927</c:v>
                </c:pt>
                <c:pt idx="9">
                  <c:v>4020</c:v>
                </c:pt>
                <c:pt idx="10">
                  <c:v>4192</c:v>
                </c:pt>
                <c:pt idx="11">
                  <c:v>4187</c:v>
                </c:pt>
                <c:pt idx="12" formatCode="#,##0">
                  <c:v>4218</c:v>
                </c:pt>
                <c:pt idx="13" formatCode="#,##0">
                  <c:v>4740</c:v>
                </c:pt>
                <c:pt idx="14" formatCode="#,##0">
                  <c:v>4308</c:v>
                </c:pt>
                <c:pt idx="15">
                  <c:v>4105</c:v>
                </c:pt>
                <c:pt idx="16">
                  <c:v>4348</c:v>
                </c:pt>
                <c:pt idx="17" formatCode="#,##0">
                  <c:v>4188</c:v>
                </c:pt>
                <c:pt idx="18" formatCode="#,##0">
                  <c:v>3942</c:v>
                </c:pt>
                <c:pt idx="19" formatCode="#,##0">
                  <c:v>4435</c:v>
                </c:pt>
                <c:pt idx="20" formatCode="#,##0">
                  <c:v>4019</c:v>
                </c:pt>
                <c:pt idx="21" formatCode="#,##0">
                  <c:v>4175</c:v>
                </c:pt>
                <c:pt idx="22" formatCode="#,##0">
                  <c:v>4386</c:v>
                </c:pt>
                <c:pt idx="23" formatCode="#,##0">
                  <c:v>4196</c:v>
                </c:pt>
                <c:pt idx="24" formatCode="#,##0">
                  <c:v>4476</c:v>
                </c:pt>
                <c:pt idx="25" formatCode="#,##0">
                  <c:v>4663</c:v>
                </c:pt>
                <c:pt idx="26" formatCode="#,##0">
                  <c:v>4285</c:v>
                </c:pt>
                <c:pt idx="27" formatCode="#,##0">
                  <c:v>4399</c:v>
                </c:pt>
                <c:pt idx="28" formatCode="#,##0">
                  <c:v>3824</c:v>
                </c:pt>
                <c:pt idx="29" formatCode="#,##0">
                  <c:v>4374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9525504"/>
        <c:axId val="159527296"/>
      </c:lineChart>
      <c:catAx>
        <c:axId val="1595255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5400000" vert="horz"/>
          <a:lstStyle/>
          <a:p>
            <a:pPr>
              <a:defRPr/>
            </a:pPr>
            <a:endParaRPr lang="sk-SK"/>
          </a:p>
        </c:txPr>
        <c:crossAx val="159527296"/>
        <c:crossesAt val="0"/>
        <c:auto val="1"/>
        <c:lblAlgn val="ctr"/>
        <c:lblOffset val="100"/>
        <c:tickLblSkip val="2"/>
        <c:tickMarkSkip val="1"/>
        <c:noMultiLvlLbl val="0"/>
      </c:catAx>
      <c:valAx>
        <c:axId val="159527296"/>
        <c:scaling>
          <c:orientation val="minMax"/>
          <c:max val="5400"/>
          <c:min val="3800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59525504"/>
        <c:crosses val="autoZero"/>
        <c:crossBetween val="between"/>
        <c:majorUnit val="200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sk-SK" sz="1600"/>
              <a:t>Vývoj  počtu poberateľov dávky v hmotnej núdzi a príspevkov k dávke s nárokom na aktivačný príspevok , ochranný príspevok, príspevok na bývanie a dieťa plniace si povinnú šk. dochádzku</a:t>
            </a:r>
            <a:r>
              <a:rPr lang="sk-SK"/>
              <a:t>
</a:t>
            </a:r>
          </a:p>
        </c:rich>
      </c:tx>
      <c:layout>
        <c:manualLayout>
          <c:xMode val="edge"/>
          <c:yMode val="edge"/>
          <c:x val="0.12084999276080589"/>
          <c:y val="1.8932633420822383E-3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0178392565794141"/>
          <c:y val="0.21853788592453033"/>
          <c:w val="0.86852589641434352"/>
          <c:h val="0.62025316455696156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Aktivačný príspevok</c:v>
                </c:pt>
              </c:strCache>
            </c:strRef>
          </c:tx>
          <c:cat>
            <c:strRef>
              <c:f>Sheet1!$B$1:$AQ$1</c:f>
              <c:strCache>
                <c:ptCount val="42"/>
                <c:pt idx="0">
                  <c:v>I.08</c:v>
                </c:pt>
                <c:pt idx="1">
                  <c:v>II.08</c:v>
                </c:pt>
                <c:pt idx="2">
                  <c:v>III.08</c:v>
                </c:pt>
                <c:pt idx="3">
                  <c:v>IV.08</c:v>
                </c:pt>
                <c:pt idx="4">
                  <c:v>V.08</c:v>
                </c:pt>
                <c:pt idx="5">
                  <c:v>VI.08</c:v>
                </c:pt>
                <c:pt idx="6">
                  <c:v>VII.08</c:v>
                </c:pt>
                <c:pt idx="7">
                  <c:v>VIII.08</c:v>
                </c:pt>
                <c:pt idx="8">
                  <c:v>IX.08</c:v>
                </c:pt>
                <c:pt idx="9">
                  <c:v>X.08</c:v>
                </c:pt>
                <c:pt idx="10">
                  <c:v>XI.08</c:v>
                </c:pt>
                <c:pt idx="11">
                  <c:v>XII.08</c:v>
                </c:pt>
                <c:pt idx="12">
                  <c:v>I.09</c:v>
                </c:pt>
                <c:pt idx="13">
                  <c:v>II.09</c:v>
                </c:pt>
                <c:pt idx="14">
                  <c:v>III.09</c:v>
                </c:pt>
                <c:pt idx="15">
                  <c:v>IV.09</c:v>
                </c:pt>
                <c:pt idx="16">
                  <c:v>V.09</c:v>
                </c:pt>
                <c:pt idx="17">
                  <c:v>VI.09</c:v>
                </c:pt>
                <c:pt idx="18">
                  <c:v>VII.09</c:v>
                </c:pt>
                <c:pt idx="19">
                  <c:v>VIII.09</c:v>
                </c:pt>
                <c:pt idx="20">
                  <c:v>IX.09</c:v>
                </c:pt>
                <c:pt idx="21">
                  <c:v>X.09</c:v>
                </c:pt>
                <c:pt idx="22">
                  <c:v>XI.09</c:v>
                </c:pt>
                <c:pt idx="23">
                  <c:v>XII.09</c:v>
                </c:pt>
                <c:pt idx="24">
                  <c:v>I.10</c:v>
                </c:pt>
                <c:pt idx="25">
                  <c:v>II.10</c:v>
                </c:pt>
                <c:pt idx="26">
                  <c:v>III.10</c:v>
                </c:pt>
                <c:pt idx="27">
                  <c:v>IV.10</c:v>
                </c:pt>
                <c:pt idx="28">
                  <c:v>V.10</c:v>
                </c:pt>
                <c:pt idx="29">
                  <c:v>VI.10</c:v>
                </c:pt>
                <c:pt idx="30">
                  <c:v>VII.10</c:v>
                </c:pt>
                <c:pt idx="31">
                  <c:v>VIII.10</c:v>
                </c:pt>
                <c:pt idx="32">
                  <c:v>IX.10</c:v>
                </c:pt>
                <c:pt idx="33">
                  <c:v>X.10</c:v>
                </c:pt>
                <c:pt idx="34">
                  <c:v>XI.10</c:v>
                </c:pt>
                <c:pt idx="35">
                  <c:v>XII.10</c:v>
                </c:pt>
                <c:pt idx="36">
                  <c:v>I.11</c:v>
                </c:pt>
                <c:pt idx="37">
                  <c:v>II.11</c:v>
                </c:pt>
                <c:pt idx="38">
                  <c:v>III.11</c:v>
                </c:pt>
                <c:pt idx="39">
                  <c:v>IV.11</c:v>
                </c:pt>
                <c:pt idx="40">
                  <c:v>V.11</c:v>
                </c:pt>
                <c:pt idx="41">
                  <c:v>VI.11</c:v>
                </c:pt>
              </c:strCache>
            </c:strRef>
          </c:cat>
          <c:val>
            <c:numRef>
              <c:f>Sheet1!$B$2:$AQ$2</c:f>
              <c:numCache>
                <c:formatCode>#,##0</c:formatCode>
                <c:ptCount val="42"/>
                <c:pt idx="0" formatCode="General">
                  <c:v>79168</c:v>
                </c:pt>
                <c:pt idx="1">
                  <c:v>75525</c:v>
                </c:pt>
                <c:pt idx="2">
                  <c:v>76006</c:v>
                </c:pt>
                <c:pt idx="3" formatCode="General">
                  <c:v>75075</c:v>
                </c:pt>
                <c:pt idx="4" formatCode="General">
                  <c:v>75515</c:v>
                </c:pt>
                <c:pt idx="5" formatCode="General">
                  <c:v>52110</c:v>
                </c:pt>
                <c:pt idx="6" formatCode="General">
                  <c:v>52817</c:v>
                </c:pt>
                <c:pt idx="7" formatCode="General">
                  <c:v>50868</c:v>
                </c:pt>
                <c:pt idx="8" formatCode="General">
                  <c:v>49012</c:v>
                </c:pt>
                <c:pt idx="9" formatCode="General">
                  <c:v>47533</c:v>
                </c:pt>
                <c:pt idx="10" formatCode="General">
                  <c:v>46215</c:v>
                </c:pt>
                <c:pt idx="11" formatCode="General">
                  <c:v>37176</c:v>
                </c:pt>
                <c:pt idx="12" formatCode="General">
                  <c:v>37123</c:v>
                </c:pt>
                <c:pt idx="13" formatCode="General">
                  <c:v>38439</c:v>
                </c:pt>
                <c:pt idx="14" formatCode="General">
                  <c:v>39483</c:v>
                </c:pt>
                <c:pt idx="15" formatCode="General">
                  <c:v>42107</c:v>
                </c:pt>
                <c:pt idx="16" formatCode="General">
                  <c:v>46636</c:v>
                </c:pt>
                <c:pt idx="17" formatCode="General">
                  <c:v>49916</c:v>
                </c:pt>
                <c:pt idx="18" formatCode="General">
                  <c:v>51061</c:v>
                </c:pt>
                <c:pt idx="19" formatCode="General">
                  <c:v>50929</c:v>
                </c:pt>
                <c:pt idx="20" formatCode="General">
                  <c:v>50960</c:v>
                </c:pt>
                <c:pt idx="21" formatCode="General">
                  <c:v>50910</c:v>
                </c:pt>
                <c:pt idx="22" formatCode="General">
                  <c:v>50243</c:v>
                </c:pt>
                <c:pt idx="23" formatCode="General">
                  <c:v>50261</c:v>
                </c:pt>
                <c:pt idx="24">
                  <c:v>49432</c:v>
                </c:pt>
                <c:pt idx="25">
                  <c:v>49479</c:v>
                </c:pt>
                <c:pt idx="26">
                  <c:v>50992</c:v>
                </c:pt>
                <c:pt idx="27" formatCode="General">
                  <c:v>52632</c:v>
                </c:pt>
                <c:pt idx="28" formatCode="General">
                  <c:v>57257</c:v>
                </c:pt>
                <c:pt idx="29">
                  <c:v>61700</c:v>
                </c:pt>
                <c:pt idx="30">
                  <c:v>62990</c:v>
                </c:pt>
                <c:pt idx="31">
                  <c:v>62506</c:v>
                </c:pt>
                <c:pt idx="32">
                  <c:v>62256</c:v>
                </c:pt>
                <c:pt idx="33">
                  <c:v>62253</c:v>
                </c:pt>
                <c:pt idx="34">
                  <c:v>62445</c:v>
                </c:pt>
                <c:pt idx="35">
                  <c:v>62037</c:v>
                </c:pt>
                <c:pt idx="36">
                  <c:v>58863</c:v>
                </c:pt>
                <c:pt idx="37">
                  <c:v>56138</c:v>
                </c:pt>
                <c:pt idx="38">
                  <c:v>58606</c:v>
                </c:pt>
                <c:pt idx="39">
                  <c:v>60599</c:v>
                </c:pt>
                <c:pt idx="40">
                  <c:v>65404</c:v>
                </c:pt>
                <c:pt idx="41">
                  <c:v>68903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Ochranný príspevok</c:v>
                </c:pt>
              </c:strCache>
            </c:strRef>
          </c:tx>
          <c:cat>
            <c:strRef>
              <c:f>Sheet1!$B$1:$AQ$1</c:f>
              <c:strCache>
                <c:ptCount val="42"/>
                <c:pt idx="0">
                  <c:v>I.08</c:v>
                </c:pt>
                <c:pt idx="1">
                  <c:v>II.08</c:v>
                </c:pt>
                <c:pt idx="2">
                  <c:v>III.08</c:v>
                </c:pt>
                <c:pt idx="3">
                  <c:v>IV.08</c:v>
                </c:pt>
                <c:pt idx="4">
                  <c:v>V.08</c:v>
                </c:pt>
                <c:pt idx="5">
                  <c:v>VI.08</c:v>
                </c:pt>
                <c:pt idx="6">
                  <c:v>VII.08</c:v>
                </c:pt>
                <c:pt idx="7">
                  <c:v>VIII.08</c:v>
                </c:pt>
                <c:pt idx="8">
                  <c:v>IX.08</c:v>
                </c:pt>
                <c:pt idx="9">
                  <c:v>X.08</c:v>
                </c:pt>
                <c:pt idx="10">
                  <c:v>XI.08</c:v>
                </c:pt>
                <c:pt idx="11">
                  <c:v>XII.08</c:v>
                </c:pt>
                <c:pt idx="12">
                  <c:v>I.09</c:v>
                </c:pt>
                <c:pt idx="13">
                  <c:v>II.09</c:v>
                </c:pt>
                <c:pt idx="14">
                  <c:v>III.09</c:v>
                </c:pt>
                <c:pt idx="15">
                  <c:v>IV.09</c:v>
                </c:pt>
                <c:pt idx="16">
                  <c:v>V.09</c:v>
                </c:pt>
                <c:pt idx="17">
                  <c:v>VI.09</c:v>
                </c:pt>
                <c:pt idx="18">
                  <c:v>VII.09</c:v>
                </c:pt>
                <c:pt idx="19">
                  <c:v>VIII.09</c:v>
                </c:pt>
                <c:pt idx="20">
                  <c:v>IX.09</c:v>
                </c:pt>
                <c:pt idx="21">
                  <c:v>X.09</c:v>
                </c:pt>
                <c:pt idx="22">
                  <c:v>XI.09</c:v>
                </c:pt>
                <c:pt idx="23">
                  <c:v>XII.09</c:v>
                </c:pt>
                <c:pt idx="24">
                  <c:v>I.10</c:v>
                </c:pt>
                <c:pt idx="25">
                  <c:v>II.10</c:v>
                </c:pt>
                <c:pt idx="26">
                  <c:v>III.10</c:v>
                </c:pt>
                <c:pt idx="27">
                  <c:v>IV.10</c:v>
                </c:pt>
                <c:pt idx="28">
                  <c:v>V.10</c:v>
                </c:pt>
                <c:pt idx="29">
                  <c:v>VI.10</c:v>
                </c:pt>
                <c:pt idx="30">
                  <c:v>VII.10</c:v>
                </c:pt>
                <c:pt idx="31">
                  <c:v>VIII.10</c:v>
                </c:pt>
                <c:pt idx="32">
                  <c:v>IX.10</c:v>
                </c:pt>
                <c:pt idx="33">
                  <c:v>X.10</c:v>
                </c:pt>
                <c:pt idx="34">
                  <c:v>XI.10</c:v>
                </c:pt>
                <c:pt idx="35">
                  <c:v>XII.10</c:v>
                </c:pt>
                <c:pt idx="36">
                  <c:v>I.11</c:v>
                </c:pt>
                <c:pt idx="37">
                  <c:v>II.11</c:v>
                </c:pt>
                <c:pt idx="38">
                  <c:v>III.11</c:v>
                </c:pt>
                <c:pt idx="39">
                  <c:v>IV.11</c:v>
                </c:pt>
                <c:pt idx="40">
                  <c:v>V.11</c:v>
                </c:pt>
                <c:pt idx="41">
                  <c:v>VI.11</c:v>
                </c:pt>
              </c:strCache>
            </c:strRef>
          </c:cat>
          <c:val>
            <c:numRef>
              <c:f>Sheet1!$B$3:$AQ$3</c:f>
              <c:numCache>
                <c:formatCode>#,##0</c:formatCode>
                <c:ptCount val="42"/>
                <c:pt idx="0" formatCode="General">
                  <c:v>84573</c:v>
                </c:pt>
                <c:pt idx="1">
                  <c:v>83225</c:v>
                </c:pt>
                <c:pt idx="2">
                  <c:v>83275</c:v>
                </c:pt>
                <c:pt idx="3" formatCode="General">
                  <c:v>82888</c:v>
                </c:pt>
                <c:pt idx="4" formatCode="General">
                  <c:v>82001</c:v>
                </c:pt>
                <c:pt idx="5" formatCode="General">
                  <c:v>81443</c:v>
                </c:pt>
                <c:pt idx="6" formatCode="General">
                  <c:v>80167</c:v>
                </c:pt>
                <c:pt idx="7" formatCode="General">
                  <c:v>68543</c:v>
                </c:pt>
                <c:pt idx="8" formatCode="General">
                  <c:v>72517</c:v>
                </c:pt>
                <c:pt idx="9" formatCode="General">
                  <c:v>73846</c:v>
                </c:pt>
                <c:pt idx="10" formatCode="General">
                  <c:v>75252</c:v>
                </c:pt>
                <c:pt idx="11" formatCode="General">
                  <c:v>76223</c:v>
                </c:pt>
                <c:pt idx="12" formatCode="General">
                  <c:v>77615</c:v>
                </c:pt>
                <c:pt idx="13" formatCode="General">
                  <c:v>57872</c:v>
                </c:pt>
                <c:pt idx="14" formatCode="General">
                  <c:v>62711</c:v>
                </c:pt>
                <c:pt idx="15" formatCode="General">
                  <c:v>64396</c:v>
                </c:pt>
                <c:pt idx="16" formatCode="General">
                  <c:v>64125</c:v>
                </c:pt>
                <c:pt idx="17" formatCode="General">
                  <c:v>63901</c:v>
                </c:pt>
                <c:pt idx="18" formatCode="General">
                  <c:v>64007</c:v>
                </c:pt>
                <c:pt idx="19" formatCode="General">
                  <c:v>64320</c:v>
                </c:pt>
                <c:pt idx="20" formatCode="General">
                  <c:v>64283</c:v>
                </c:pt>
                <c:pt idx="21" formatCode="General">
                  <c:v>63921</c:v>
                </c:pt>
                <c:pt idx="22" formatCode="General">
                  <c:v>66188</c:v>
                </c:pt>
                <c:pt idx="23" formatCode="General">
                  <c:v>68058</c:v>
                </c:pt>
                <c:pt idx="24">
                  <c:v>69185</c:v>
                </c:pt>
                <c:pt idx="25">
                  <c:v>65371</c:v>
                </c:pt>
                <c:pt idx="26">
                  <c:v>67751</c:v>
                </c:pt>
                <c:pt idx="27" formatCode="General">
                  <c:v>69355</c:v>
                </c:pt>
                <c:pt idx="28" formatCode="General">
                  <c:v>68116</c:v>
                </c:pt>
                <c:pt idx="29">
                  <c:v>67446</c:v>
                </c:pt>
                <c:pt idx="30">
                  <c:v>67276</c:v>
                </c:pt>
                <c:pt idx="31">
                  <c:v>67525</c:v>
                </c:pt>
                <c:pt idx="32">
                  <c:v>67337</c:v>
                </c:pt>
                <c:pt idx="33">
                  <c:v>67465</c:v>
                </c:pt>
                <c:pt idx="34">
                  <c:v>68384</c:v>
                </c:pt>
                <c:pt idx="35">
                  <c:v>68927</c:v>
                </c:pt>
                <c:pt idx="36">
                  <c:v>69125</c:v>
                </c:pt>
                <c:pt idx="37">
                  <c:v>63609</c:v>
                </c:pt>
                <c:pt idx="38">
                  <c:v>63520</c:v>
                </c:pt>
                <c:pt idx="39">
                  <c:v>63154</c:v>
                </c:pt>
                <c:pt idx="40">
                  <c:v>60536</c:v>
                </c:pt>
                <c:pt idx="41">
                  <c:v>59045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Príspevok na bývanie</c:v>
                </c:pt>
              </c:strCache>
            </c:strRef>
          </c:tx>
          <c:cat>
            <c:strRef>
              <c:f>Sheet1!$B$1:$AQ$1</c:f>
              <c:strCache>
                <c:ptCount val="42"/>
                <c:pt idx="0">
                  <c:v>I.08</c:v>
                </c:pt>
                <c:pt idx="1">
                  <c:v>II.08</c:v>
                </c:pt>
                <c:pt idx="2">
                  <c:v>III.08</c:v>
                </c:pt>
                <c:pt idx="3">
                  <c:v>IV.08</c:v>
                </c:pt>
                <c:pt idx="4">
                  <c:v>V.08</c:v>
                </c:pt>
                <c:pt idx="5">
                  <c:v>VI.08</c:v>
                </c:pt>
                <c:pt idx="6">
                  <c:v>VII.08</c:v>
                </c:pt>
                <c:pt idx="7">
                  <c:v>VIII.08</c:v>
                </c:pt>
                <c:pt idx="8">
                  <c:v>IX.08</c:v>
                </c:pt>
                <c:pt idx="9">
                  <c:v>X.08</c:v>
                </c:pt>
                <c:pt idx="10">
                  <c:v>XI.08</c:v>
                </c:pt>
                <c:pt idx="11">
                  <c:v>XII.08</c:v>
                </c:pt>
                <c:pt idx="12">
                  <c:v>I.09</c:v>
                </c:pt>
                <c:pt idx="13">
                  <c:v>II.09</c:v>
                </c:pt>
                <c:pt idx="14">
                  <c:v>III.09</c:v>
                </c:pt>
                <c:pt idx="15">
                  <c:v>IV.09</c:v>
                </c:pt>
                <c:pt idx="16">
                  <c:v>V.09</c:v>
                </c:pt>
                <c:pt idx="17">
                  <c:v>VI.09</c:v>
                </c:pt>
                <c:pt idx="18">
                  <c:v>VII.09</c:v>
                </c:pt>
                <c:pt idx="19">
                  <c:v>VIII.09</c:v>
                </c:pt>
                <c:pt idx="20">
                  <c:v>IX.09</c:v>
                </c:pt>
                <c:pt idx="21">
                  <c:v>X.09</c:v>
                </c:pt>
                <c:pt idx="22">
                  <c:v>XI.09</c:v>
                </c:pt>
                <c:pt idx="23">
                  <c:v>XII.09</c:v>
                </c:pt>
                <c:pt idx="24">
                  <c:v>I.10</c:v>
                </c:pt>
                <c:pt idx="25">
                  <c:v>II.10</c:v>
                </c:pt>
                <c:pt idx="26">
                  <c:v>III.10</c:v>
                </c:pt>
                <c:pt idx="27">
                  <c:v>IV.10</c:v>
                </c:pt>
                <c:pt idx="28">
                  <c:v>V.10</c:v>
                </c:pt>
                <c:pt idx="29">
                  <c:v>VI.10</c:v>
                </c:pt>
                <c:pt idx="30">
                  <c:v>VII.10</c:v>
                </c:pt>
                <c:pt idx="31">
                  <c:v>VIII.10</c:v>
                </c:pt>
                <c:pt idx="32">
                  <c:v>IX.10</c:v>
                </c:pt>
                <c:pt idx="33">
                  <c:v>X.10</c:v>
                </c:pt>
                <c:pt idx="34">
                  <c:v>XI.10</c:v>
                </c:pt>
                <c:pt idx="35">
                  <c:v>XII.10</c:v>
                </c:pt>
                <c:pt idx="36">
                  <c:v>I.11</c:v>
                </c:pt>
                <c:pt idx="37">
                  <c:v>II.11</c:v>
                </c:pt>
                <c:pt idx="38">
                  <c:v>III.11</c:v>
                </c:pt>
                <c:pt idx="39">
                  <c:v>IV.11</c:v>
                </c:pt>
                <c:pt idx="40">
                  <c:v>V.11</c:v>
                </c:pt>
                <c:pt idx="41">
                  <c:v>VI.11</c:v>
                </c:pt>
              </c:strCache>
            </c:strRef>
          </c:cat>
          <c:val>
            <c:numRef>
              <c:f>Sheet1!$B$4:$AQ$4</c:f>
              <c:numCache>
                <c:formatCode>#,##0</c:formatCode>
                <c:ptCount val="42"/>
                <c:pt idx="0" formatCode="General">
                  <c:v>106531</c:v>
                </c:pt>
                <c:pt idx="1">
                  <c:v>105608</c:v>
                </c:pt>
                <c:pt idx="2">
                  <c:v>105194</c:v>
                </c:pt>
                <c:pt idx="3" formatCode="General">
                  <c:v>104266</c:v>
                </c:pt>
                <c:pt idx="4" formatCode="General">
                  <c:v>103261</c:v>
                </c:pt>
                <c:pt idx="5" formatCode="General">
                  <c:v>101737</c:v>
                </c:pt>
                <c:pt idx="6" formatCode="General">
                  <c:v>100432</c:v>
                </c:pt>
                <c:pt idx="7" formatCode="General">
                  <c:v>87319</c:v>
                </c:pt>
                <c:pt idx="8" formatCode="General">
                  <c:v>90188</c:v>
                </c:pt>
                <c:pt idx="9" formatCode="General">
                  <c:v>91223</c:v>
                </c:pt>
                <c:pt idx="10" formatCode="General">
                  <c:v>91759</c:v>
                </c:pt>
                <c:pt idx="11" formatCode="General">
                  <c:v>92082</c:v>
                </c:pt>
                <c:pt idx="12" formatCode="General">
                  <c:v>93831</c:v>
                </c:pt>
                <c:pt idx="13" formatCode="General">
                  <c:v>77540</c:v>
                </c:pt>
                <c:pt idx="14" formatCode="General">
                  <c:v>83254</c:v>
                </c:pt>
                <c:pt idx="15" formatCode="General">
                  <c:v>85820</c:v>
                </c:pt>
                <c:pt idx="16" formatCode="General">
                  <c:v>87006</c:v>
                </c:pt>
                <c:pt idx="17" formatCode="General">
                  <c:v>87870</c:v>
                </c:pt>
                <c:pt idx="18" formatCode="General">
                  <c:v>88628</c:v>
                </c:pt>
                <c:pt idx="19" formatCode="General">
                  <c:v>88946</c:v>
                </c:pt>
                <c:pt idx="20" formatCode="General">
                  <c:v>90071</c:v>
                </c:pt>
                <c:pt idx="21" formatCode="General">
                  <c:v>89882</c:v>
                </c:pt>
                <c:pt idx="22" formatCode="General">
                  <c:v>91393</c:v>
                </c:pt>
                <c:pt idx="23" formatCode="General">
                  <c:v>93205</c:v>
                </c:pt>
                <c:pt idx="24" formatCode="General">
                  <c:v>93856</c:v>
                </c:pt>
                <c:pt idx="25" formatCode="General">
                  <c:v>92225</c:v>
                </c:pt>
                <c:pt idx="26" formatCode="General">
                  <c:v>96045</c:v>
                </c:pt>
                <c:pt idx="27" formatCode="General">
                  <c:v>97869</c:v>
                </c:pt>
                <c:pt idx="28" formatCode="General">
                  <c:v>98247</c:v>
                </c:pt>
                <c:pt idx="29" formatCode="General">
                  <c:v>98053</c:v>
                </c:pt>
                <c:pt idx="30" formatCode="General">
                  <c:v>97643</c:v>
                </c:pt>
                <c:pt idx="31" formatCode="General">
                  <c:v>96588</c:v>
                </c:pt>
                <c:pt idx="32" formatCode="General">
                  <c:v>96860</c:v>
                </c:pt>
                <c:pt idx="33" formatCode="General">
                  <c:v>97102</c:v>
                </c:pt>
                <c:pt idx="34" formatCode="General">
                  <c:v>96995</c:v>
                </c:pt>
                <c:pt idx="35" formatCode="General">
                  <c:v>97072</c:v>
                </c:pt>
                <c:pt idx="36" formatCode="General">
                  <c:v>96457</c:v>
                </c:pt>
                <c:pt idx="37" formatCode="General">
                  <c:v>92888</c:v>
                </c:pt>
                <c:pt idx="38" formatCode="General">
                  <c:v>95111</c:v>
                </c:pt>
                <c:pt idx="39" formatCode="General">
                  <c:v>95644</c:v>
                </c:pt>
                <c:pt idx="40" formatCode="General">
                  <c:v>95184</c:v>
                </c:pt>
                <c:pt idx="41" formatCode="General">
                  <c:v>94618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Príspevok na dieťa-PŠD</c:v>
                </c:pt>
              </c:strCache>
            </c:strRef>
          </c:tx>
          <c:cat>
            <c:strRef>
              <c:f>Sheet1!$B$1:$AQ$1</c:f>
              <c:strCache>
                <c:ptCount val="42"/>
                <c:pt idx="0">
                  <c:v>I.08</c:v>
                </c:pt>
                <c:pt idx="1">
                  <c:v>II.08</c:v>
                </c:pt>
                <c:pt idx="2">
                  <c:v>III.08</c:v>
                </c:pt>
                <c:pt idx="3">
                  <c:v>IV.08</c:v>
                </c:pt>
                <c:pt idx="4">
                  <c:v>V.08</c:v>
                </c:pt>
                <c:pt idx="5">
                  <c:v>VI.08</c:v>
                </c:pt>
                <c:pt idx="6">
                  <c:v>VII.08</c:v>
                </c:pt>
                <c:pt idx="7">
                  <c:v>VIII.08</c:v>
                </c:pt>
                <c:pt idx="8">
                  <c:v>IX.08</c:v>
                </c:pt>
                <c:pt idx="9">
                  <c:v>X.08</c:v>
                </c:pt>
                <c:pt idx="10">
                  <c:v>XI.08</c:v>
                </c:pt>
                <c:pt idx="11">
                  <c:v>XII.08</c:v>
                </c:pt>
                <c:pt idx="12">
                  <c:v>I.09</c:v>
                </c:pt>
                <c:pt idx="13">
                  <c:v>II.09</c:v>
                </c:pt>
                <c:pt idx="14">
                  <c:v>III.09</c:v>
                </c:pt>
                <c:pt idx="15">
                  <c:v>IV.09</c:v>
                </c:pt>
                <c:pt idx="16">
                  <c:v>V.09</c:v>
                </c:pt>
                <c:pt idx="17">
                  <c:v>VI.09</c:v>
                </c:pt>
                <c:pt idx="18">
                  <c:v>VII.09</c:v>
                </c:pt>
                <c:pt idx="19">
                  <c:v>VIII.09</c:v>
                </c:pt>
                <c:pt idx="20">
                  <c:v>IX.09</c:v>
                </c:pt>
                <c:pt idx="21">
                  <c:v>X.09</c:v>
                </c:pt>
                <c:pt idx="22">
                  <c:v>XI.09</c:v>
                </c:pt>
                <c:pt idx="23">
                  <c:v>XII.09</c:v>
                </c:pt>
                <c:pt idx="24">
                  <c:v>I.10</c:v>
                </c:pt>
                <c:pt idx="25">
                  <c:v>II.10</c:v>
                </c:pt>
                <c:pt idx="26">
                  <c:v>III.10</c:v>
                </c:pt>
                <c:pt idx="27">
                  <c:v>IV.10</c:v>
                </c:pt>
                <c:pt idx="28">
                  <c:v>V.10</c:v>
                </c:pt>
                <c:pt idx="29">
                  <c:v>VI.10</c:v>
                </c:pt>
                <c:pt idx="30">
                  <c:v>VII.10</c:v>
                </c:pt>
                <c:pt idx="31">
                  <c:v>VIII.10</c:v>
                </c:pt>
                <c:pt idx="32">
                  <c:v>IX.10</c:v>
                </c:pt>
                <c:pt idx="33">
                  <c:v>X.10</c:v>
                </c:pt>
                <c:pt idx="34">
                  <c:v>XI.10</c:v>
                </c:pt>
                <c:pt idx="35">
                  <c:v>XII.10</c:v>
                </c:pt>
                <c:pt idx="36">
                  <c:v>I.11</c:v>
                </c:pt>
                <c:pt idx="37">
                  <c:v>II.11</c:v>
                </c:pt>
                <c:pt idx="38">
                  <c:v>III.11</c:v>
                </c:pt>
                <c:pt idx="39">
                  <c:v>IV.11</c:v>
                </c:pt>
                <c:pt idx="40">
                  <c:v>V.11</c:v>
                </c:pt>
                <c:pt idx="41">
                  <c:v>VI.11</c:v>
                </c:pt>
              </c:strCache>
            </c:strRef>
          </c:cat>
          <c:val>
            <c:numRef>
              <c:f>Sheet1!$B$5:$AQ$5</c:f>
              <c:numCache>
                <c:formatCode>General</c:formatCode>
                <c:ptCount val="42"/>
                <c:pt idx="13">
                  <c:v>46558</c:v>
                </c:pt>
                <c:pt idx="14">
                  <c:v>49575</c:v>
                </c:pt>
                <c:pt idx="15">
                  <c:v>51397</c:v>
                </c:pt>
                <c:pt idx="16">
                  <c:v>52341</c:v>
                </c:pt>
                <c:pt idx="17">
                  <c:v>52952</c:v>
                </c:pt>
                <c:pt idx="18">
                  <c:v>53428</c:v>
                </c:pt>
                <c:pt idx="19">
                  <c:v>53849</c:v>
                </c:pt>
                <c:pt idx="20">
                  <c:v>54089</c:v>
                </c:pt>
                <c:pt idx="21">
                  <c:v>56611</c:v>
                </c:pt>
                <c:pt idx="22">
                  <c:v>58060</c:v>
                </c:pt>
                <c:pt idx="23">
                  <c:v>59550</c:v>
                </c:pt>
                <c:pt idx="24">
                  <c:v>60079</c:v>
                </c:pt>
                <c:pt idx="25">
                  <c:v>61229</c:v>
                </c:pt>
                <c:pt idx="26">
                  <c:v>62641</c:v>
                </c:pt>
                <c:pt idx="27">
                  <c:v>63288</c:v>
                </c:pt>
                <c:pt idx="28">
                  <c:v>63228</c:v>
                </c:pt>
                <c:pt idx="29" formatCode="#,##0">
                  <c:v>62723</c:v>
                </c:pt>
                <c:pt idx="30">
                  <c:v>62154</c:v>
                </c:pt>
                <c:pt idx="31">
                  <c:v>61444</c:v>
                </c:pt>
                <c:pt idx="32">
                  <c:v>61303</c:v>
                </c:pt>
                <c:pt idx="33">
                  <c:v>63061</c:v>
                </c:pt>
                <c:pt idx="34">
                  <c:v>63501</c:v>
                </c:pt>
                <c:pt idx="35">
                  <c:v>64061</c:v>
                </c:pt>
                <c:pt idx="36">
                  <c:v>63809</c:v>
                </c:pt>
                <c:pt idx="37">
                  <c:v>64264</c:v>
                </c:pt>
                <c:pt idx="38">
                  <c:v>63923</c:v>
                </c:pt>
                <c:pt idx="39">
                  <c:v>64275</c:v>
                </c:pt>
                <c:pt idx="40">
                  <c:v>63685</c:v>
                </c:pt>
                <c:pt idx="41">
                  <c:v>63159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1242880"/>
        <c:axId val="91244416"/>
      </c:lineChart>
      <c:catAx>
        <c:axId val="912428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5400000" vert="horz"/>
          <a:lstStyle/>
          <a:p>
            <a:pPr>
              <a:defRPr/>
            </a:pPr>
            <a:endParaRPr lang="sk-SK"/>
          </a:p>
        </c:txPr>
        <c:crossAx val="91244416"/>
        <c:crossesAt val="10000"/>
        <c:auto val="1"/>
        <c:lblAlgn val="ctr"/>
        <c:lblOffset val="100"/>
        <c:tickLblSkip val="2"/>
        <c:tickMarkSkip val="1"/>
        <c:noMultiLvlLbl val="0"/>
      </c:catAx>
      <c:valAx>
        <c:axId val="91244416"/>
        <c:scaling>
          <c:orientation val="minMax"/>
          <c:max val="115000"/>
          <c:min val="2500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91242880"/>
        <c:crosses val="autoZero"/>
        <c:crossBetween val="between"/>
        <c:majorUnit val="10000"/>
      </c:valAx>
    </c:plotArea>
    <c:legend>
      <c:legendPos val="b"/>
      <c:layout>
        <c:manualLayout>
          <c:xMode val="edge"/>
          <c:yMode val="edge"/>
          <c:x val="0.05"/>
          <c:y val="0.94557437656636034"/>
          <c:w val="0.9"/>
          <c:h val="5.4425623433639644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sk-SK"/>
              <a:t>Vývoj  čerpania finančných prostriedkov na príspevok pri narodení dieťaťa a príspevok na pohreb  v €</a:t>
            </a:r>
          </a:p>
        </c:rich>
      </c:tx>
      <c:layout/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Príspevok pri narodení dieťaťa</c:v>
                </c:pt>
              </c:strCache>
            </c:strRef>
          </c:tx>
          <c:cat>
            <c:strRef>
              <c:f>Sheet1!$N$1:$AN$1</c:f>
              <c:strCache>
                <c:ptCount val="27"/>
                <c:pt idx="0">
                  <c:v>I.09</c:v>
                </c:pt>
                <c:pt idx="1">
                  <c:v>II.09</c:v>
                </c:pt>
                <c:pt idx="2">
                  <c:v>III.09</c:v>
                </c:pt>
                <c:pt idx="3">
                  <c:v>IV.09</c:v>
                </c:pt>
                <c:pt idx="4">
                  <c:v>V.09</c:v>
                </c:pt>
                <c:pt idx="5">
                  <c:v>VI.09</c:v>
                </c:pt>
                <c:pt idx="6">
                  <c:v>VII.09</c:v>
                </c:pt>
                <c:pt idx="7">
                  <c:v>VIII.09</c:v>
                </c:pt>
                <c:pt idx="8">
                  <c:v>IX.09</c:v>
                </c:pt>
                <c:pt idx="9">
                  <c:v>I.10</c:v>
                </c:pt>
                <c:pt idx="10">
                  <c:v>II.10</c:v>
                </c:pt>
                <c:pt idx="11">
                  <c:v>III.10</c:v>
                </c:pt>
                <c:pt idx="12">
                  <c:v>IV.10</c:v>
                </c:pt>
                <c:pt idx="13">
                  <c:v>V.10</c:v>
                </c:pt>
                <c:pt idx="14">
                  <c:v>VI.10</c:v>
                </c:pt>
                <c:pt idx="15">
                  <c:v>VII.10</c:v>
                </c:pt>
                <c:pt idx="16">
                  <c:v>VIII.10</c:v>
                </c:pt>
                <c:pt idx="17">
                  <c:v>IX.10</c:v>
                </c:pt>
                <c:pt idx="18">
                  <c:v>X.10</c:v>
                </c:pt>
                <c:pt idx="19">
                  <c:v>XI.10</c:v>
                </c:pt>
                <c:pt idx="20">
                  <c:v>XII.10</c:v>
                </c:pt>
                <c:pt idx="21">
                  <c:v>I.11</c:v>
                </c:pt>
                <c:pt idx="22">
                  <c:v>II.11</c:v>
                </c:pt>
                <c:pt idx="23">
                  <c:v>III.11</c:v>
                </c:pt>
                <c:pt idx="24">
                  <c:v>IV.11</c:v>
                </c:pt>
                <c:pt idx="25">
                  <c:v>V.11</c:v>
                </c:pt>
                <c:pt idx="26">
                  <c:v>VI.11</c:v>
                </c:pt>
              </c:strCache>
            </c:strRef>
          </c:cat>
          <c:val>
            <c:numRef>
              <c:f>Sheet1!$N$2:$AN$2</c:f>
              <c:numCache>
                <c:formatCode>General</c:formatCode>
                <c:ptCount val="27"/>
                <c:pt idx="0">
                  <c:v>626369</c:v>
                </c:pt>
                <c:pt idx="1">
                  <c:v>700843</c:v>
                </c:pt>
                <c:pt idx="2">
                  <c:v>627118</c:v>
                </c:pt>
                <c:pt idx="3">
                  <c:v>684798</c:v>
                </c:pt>
                <c:pt idx="4">
                  <c:v>678743</c:v>
                </c:pt>
                <c:pt idx="5">
                  <c:v>763359</c:v>
                </c:pt>
                <c:pt idx="6">
                  <c:v>735806</c:v>
                </c:pt>
                <c:pt idx="7">
                  <c:v>790681</c:v>
                </c:pt>
                <c:pt idx="8">
                  <c:v>756699</c:v>
                </c:pt>
                <c:pt idx="9" formatCode="#,##0">
                  <c:v>619857</c:v>
                </c:pt>
                <c:pt idx="10" formatCode="#,##0">
                  <c:v>773047</c:v>
                </c:pt>
                <c:pt idx="11" formatCode="#,##0">
                  <c:v>695848</c:v>
                </c:pt>
                <c:pt idx="12">
                  <c:v>712953</c:v>
                </c:pt>
                <c:pt idx="13">
                  <c:v>700086</c:v>
                </c:pt>
                <c:pt idx="14" formatCode="#,##0">
                  <c:v>735658</c:v>
                </c:pt>
                <c:pt idx="15" formatCode="#,##0">
                  <c:v>714921</c:v>
                </c:pt>
                <c:pt idx="16" formatCode="#,##0">
                  <c:v>770776</c:v>
                </c:pt>
                <c:pt idx="17" formatCode="#,##0">
                  <c:v>737475</c:v>
                </c:pt>
                <c:pt idx="18" formatCode="#,##0">
                  <c:v>777739</c:v>
                </c:pt>
                <c:pt idx="19" formatCode="#,##0">
                  <c:v>734296</c:v>
                </c:pt>
                <c:pt idx="20" formatCode="#,##0">
                  <c:v>743832.18</c:v>
                </c:pt>
                <c:pt idx="21" formatCode="#,##0">
                  <c:v>704325</c:v>
                </c:pt>
                <c:pt idx="22" formatCode="#,##0">
                  <c:v>724911</c:v>
                </c:pt>
                <c:pt idx="23" formatCode="#,##0">
                  <c:v>659822</c:v>
                </c:pt>
                <c:pt idx="24" formatCode="#,##0">
                  <c:v>722792</c:v>
                </c:pt>
                <c:pt idx="25" formatCode="#,##0">
                  <c:v>648772</c:v>
                </c:pt>
                <c:pt idx="26" formatCode="#,##0">
                  <c:v>748979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Príspevok na pohreb </c:v>
                </c:pt>
              </c:strCache>
            </c:strRef>
          </c:tx>
          <c:cat>
            <c:strRef>
              <c:f>Sheet1!$N$1:$AN$1</c:f>
              <c:strCache>
                <c:ptCount val="27"/>
                <c:pt idx="0">
                  <c:v>I.09</c:v>
                </c:pt>
                <c:pt idx="1">
                  <c:v>II.09</c:v>
                </c:pt>
                <c:pt idx="2">
                  <c:v>III.09</c:v>
                </c:pt>
                <c:pt idx="3">
                  <c:v>IV.09</c:v>
                </c:pt>
                <c:pt idx="4">
                  <c:v>V.09</c:v>
                </c:pt>
                <c:pt idx="5">
                  <c:v>VI.09</c:v>
                </c:pt>
                <c:pt idx="6">
                  <c:v>VII.09</c:v>
                </c:pt>
                <c:pt idx="7">
                  <c:v>VIII.09</c:v>
                </c:pt>
                <c:pt idx="8">
                  <c:v>IX.09</c:v>
                </c:pt>
                <c:pt idx="9">
                  <c:v>I.10</c:v>
                </c:pt>
                <c:pt idx="10">
                  <c:v>II.10</c:v>
                </c:pt>
                <c:pt idx="11">
                  <c:v>III.10</c:v>
                </c:pt>
                <c:pt idx="12">
                  <c:v>IV.10</c:v>
                </c:pt>
                <c:pt idx="13">
                  <c:v>V.10</c:v>
                </c:pt>
                <c:pt idx="14">
                  <c:v>VI.10</c:v>
                </c:pt>
                <c:pt idx="15">
                  <c:v>VII.10</c:v>
                </c:pt>
                <c:pt idx="16">
                  <c:v>VIII.10</c:v>
                </c:pt>
                <c:pt idx="17">
                  <c:v>IX.10</c:v>
                </c:pt>
                <c:pt idx="18">
                  <c:v>X.10</c:v>
                </c:pt>
                <c:pt idx="19">
                  <c:v>XI.10</c:v>
                </c:pt>
                <c:pt idx="20">
                  <c:v>XII.10</c:v>
                </c:pt>
                <c:pt idx="21">
                  <c:v>I.11</c:v>
                </c:pt>
                <c:pt idx="22">
                  <c:v>II.11</c:v>
                </c:pt>
                <c:pt idx="23">
                  <c:v>III.11</c:v>
                </c:pt>
                <c:pt idx="24">
                  <c:v>IV.11</c:v>
                </c:pt>
                <c:pt idx="25">
                  <c:v>V.11</c:v>
                </c:pt>
                <c:pt idx="26">
                  <c:v>VI.11</c:v>
                </c:pt>
              </c:strCache>
            </c:strRef>
          </c:cat>
          <c:val>
            <c:numRef>
              <c:f>Sheet1!$N$3:$AN$3</c:f>
              <c:numCache>
                <c:formatCode>General</c:formatCode>
                <c:ptCount val="27"/>
                <c:pt idx="0">
                  <c:v>344652</c:v>
                </c:pt>
                <c:pt idx="1">
                  <c:v>394845</c:v>
                </c:pt>
                <c:pt idx="2">
                  <c:v>339872</c:v>
                </c:pt>
                <c:pt idx="3">
                  <c:v>352460</c:v>
                </c:pt>
                <c:pt idx="4">
                  <c:v>326328</c:v>
                </c:pt>
                <c:pt idx="5">
                  <c:v>338199</c:v>
                </c:pt>
                <c:pt idx="6">
                  <c:v>325452</c:v>
                </c:pt>
                <c:pt idx="7">
                  <c:v>328479</c:v>
                </c:pt>
                <c:pt idx="8">
                  <c:v>316131</c:v>
                </c:pt>
                <c:pt idx="9" formatCode="#,##0">
                  <c:v>340828</c:v>
                </c:pt>
                <c:pt idx="10" formatCode="#,##0">
                  <c:v>380902</c:v>
                </c:pt>
                <c:pt idx="11" formatCode="#,##0">
                  <c:v>348078</c:v>
                </c:pt>
                <c:pt idx="12">
                  <c:v>330931</c:v>
                </c:pt>
                <c:pt idx="13">
                  <c:v>351823</c:v>
                </c:pt>
                <c:pt idx="14" formatCode="#,##0">
                  <c:v>337960</c:v>
                </c:pt>
                <c:pt idx="15" formatCode="#,##0">
                  <c:v>317246</c:v>
                </c:pt>
                <c:pt idx="16" formatCode="#,##0">
                  <c:v>358276</c:v>
                </c:pt>
                <c:pt idx="17" formatCode="#,##0">
                  <c:v>325771</c:v>
                </c:pt>
                <c:pt idx="18" formatCode="#,##0">
                  <c:v>335889</c:v>
                </c:pt>
                <c:pt idx="19" formatCode="#,##0">
                  <c:v>352619</c:v>
                </c:pt>
                <c:pt idx="20" formatCode="#,##0">
                  <c:v>336446.41</c:v>
                </c:pt>
                <c:pt idx="21" formatCode="#,##0">
                  <c:v>360029</c:v>
                </c:pt>
                <c:pt idx="22" formatCode="#,##0">
                  <c:v>375246</c:v>
                </c:pt>
                <c:pt idx="23" formatCode="#,##0">
                  <c:v>344971</c:v>
                </c:pt>
                <c:pt idx="24" formatCode="#,##0">
                  <c:v>354133</c:v>
                </c:pt>
                <c:pt idx="25" formatCode="#,##0">
                  <c:v>307765</c:v>
                </c:pt>
                <c:pt idx="26" formatCode="#,##0">
                  <c:v>351743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9576064"/>
        <c:axId val="159577600"/>
      </c:lineChart>
      <c:catAx>
        <c:axId val="1595760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5400000" vert="horz"/>
          <a:lstStyle/>
          <a:p>
            <a:pPr>
              <a:defRPr/>
            </a:pPr>
            <a:endParaRPr lang="sk-SK"/>
          </a:p>
        </c:txPr>
        <c:crossAx val="159577600"/>
        <c:crossesAt val="0"/>
        <c:auto val="1"/>
        <c:lblAlgn val="ctr"/>
        <c:lblOffset val="100"/>
        <c:tickLblSkip val="2"/>
        <c:tickMarkSkip val="1"/>
        <c:noMultiLvlLbl val="0"/>
      </c:catAx>
      <c:valAx>
        <c:axId val="159577600"/>
        <c:scaling>
          <c:orientation val="minMax"/>
          <c:max val="800000"/>
          <c:min val="300000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59576064"/>
        <c:crosses val="autoZero"/>
        <c:crossBetween val="between"/>
        <c:majorUnit val="50000"/>
        <c:minorUnit val="8000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500"/>
            </a:pPr>
            <a:r>
              <a:rPr lang="sk-SK" sz="1500"/>
              <a:t>Vývoj  počtu poberateľov prostriedkov na jednorázové peňažné príspevky na kompenzáciu sociálnych dôsledkov ťažkého zdravotného postihnutia  </a:t>
            </a:r>
          </a:p>
        </c:rich>
      </c:tx>
      <c:layout/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PP na kúpu pomôcky</c:v>
                </c:pt>
              </c:strCache>
            </c:strRef>
          </c:tx>
          <c:cat>
            <c:strRef>
              <c:f>Sheet1!$N$1:$AQ$1</c:f>
              <c:strCache>
                <c:ptCount val="30"/>
                <c:pt idx="0">
                  <c:v>I.09</c:v>
                </c:pt>
                <c:pt idx="1">
                  <c:v>II.09</c:v>
                </c:pt>
                <c:pt idx="2">
                  <c:v>III.09</c:v>
                </c:pt>
                <c:pt idx="3">
                  <c:v>IV.09</c:v>
                </c:pt>
                <c:pt idx="4">
                  <c:v>V.09</c:v>
                </c:pt>
                <c:pt idx="5">
                  <c:v>VI.09</c:v>
                </c:pt>
                <c:pt idx="6">
                  <c:v>VII.09</c:v>
                </c:pt>
                <c:pt idx="7">
                  <c:v>VIII.09</c:v>
                </c:pt>
                <c:pt idx="8">
                  <c:v>IX.09</c:v>
                </c:pt>
                <c:pt idx="9">
                  <c:v>X.09</c:v>
                </c:pt>
                <c:pt idx="10">
                  <c:v>XI.09</c:v>
                </c:pt>
                <c:pt idx="11">
                  <c:v>XII.09</c:v>
                </c:pt>
                <c:pt idx="12">
                  <c:v>I.10</c:v>
                </c:pt>
                <c:pt idx="13">
                  <c:v>II.10</c:v>
                </c:pt>
                <c:pt idx="14">
                  <c:v>III.10</c:v>
                </c:pt>
                <c:pt idx="15">
                  <c:v>IV.10</c:v>
                </c:pt>
                <c:pt idx="16">
                  <c:v>V.10</c:v>
                </c:pt>
                <c:pt idx="17">
                  <c:v>VI.10</c:v>
                </c:pt>
                <c:pt idx="18">
                  <c:v>VII.10</c:v>
                </c:pt>
                <c:pt idx="19">
                  <c:v>VIII.10</c:v>
                </c:pt>
                <c:pt idx="20">
                  <c:v>IX.10</c:v>
                </c:pt>
                <c:pt idx="21">
                  <c:v>X.10</c:v>
                </c:pt>
                <c:pt idx="22">
                  <c:v>XI.10</c:v>
                </c:pt>
                <c:pt idx="23">
                  <c:v>XII.10</c:v>
                </c:pt>
                <c:pt idx="24">
                  <c:v>I.11</c:v>
                </c:pt>
                <c:pt idx="25">
                  <c:v>II.11</c:v>
                </c:pt>
                <c:pt idx="26">
                  <c:v>III.11</c:v>
                </c:pt>
                <c:pt idx="27">
                  <c:v>IV.11</c:v>
                </c:pt>
                <c:pt idx="28">
                  <c:v>V.11</c:v>
                </c:pt>
                <c:pt idx="29">
                  <c:v>VI.11</c:v>
                </c:pt>
              </c:strCache>
            </c:strRef>
          </c:cat>
          <c:val>
            <c:numRef>
              <c:f>Sheet1!$N$2:$AQ$2</c:f>
              <c:numCache>
                <c:formatCode>General</c:formatCode>
                <c:ptCount val="30"/>
                <c:pt idx="0">
                  <c:v>17</c:v>
                </c:pt>
                <c:pt idx="1">
                  <c:v>59</c:v>
                </c:pt>
                <c:pt idx="2">
                  <c:v>158</c:v>
                </c:pt>
                <c:pt idx="3">
                  <c:v>161</c:v>
                </c:pt>
                <c:pt idx="4">
                  <c:v>188</c:v>
                </c:pt>
                <c:pt idx="5">
                  <c:v>263</c:v>
                </c:pt>
                <c:pt idx="6">
                  <c:v>264</c:v>
                </c:pt>
                <c:pt idx="7">
                  <c:v>250</c:v>
                </c:pt>
                <c:pt idx="8">
                  <c:v>224</c:v>
                </c:pt>
                <c:pt idx="9">
                  <c:v>251</c:v>
                </c:pt>
                <c:pt idx="10">
                  <c:v>247</c:v>
                </c:pt>
                <c:pt idx="11">
                  <c:v>246</c:v>
                </c:pt>
                <c:pt idx="12">
                  <c:v>195</c:v>
                </c:pt>
                <c:pt idx="13">
                  <c:v>262</c:v>
                </c:pt>
                <c:pt idx="14">
                  <c:v>246</c:v>
                </c:pt>
                <c:pt idx="15">
                  <c:v>223</c:v>
                </c:pt>
                <c:pt idx="16">
                  <c:v>227</c:v>
                </c:pt>
                <c:pt idx="17">
                  <c:v>230</c:v>
                </c:pt>
                <c:pt idx="18">
                  <c:v>227</c:v>
                </c:pt>
                <c:pt idx="19">
                  <c:v>211</c:v>
                </c:pt>
                <c:pt idx="20">
                  <c:v>221</c:v>
                </c:pt>
                <c:pt idx="21">
                  <c:v>197</c:v>
                </c:pt>
                <c:pt idx="22">
                  <c:v>242</c:v>
                </c:pt>
                <c:pt idx="23">
                  <c:v>271</c:v>
                </c:pt>
                <c:pt idx="24">
                  <c:v>201</c:v>
                </c:pt>
                <c:pt idx="25">
                  <c:v>267</c:v>
                </c:pt>
                <c:pt idx="26">
                  <c:v>200</c:v>
                </c:pt>
                <c:pt idx="27">
                  <c:v>167</c:v>
                </c:pt>
                <c:pt idx="28">
                  <c:v>149</c:v>
                </c:pt>
                <c:pt idx="29">
                  <c:v>207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PP na opravu pomôcky</c:v>
                </c:pt>
              </c:strCache>
            </c:strRef>
          </c:tx>
          <c:cat>
            <c:strRef>
              <c:f>Sheet1!$N$1:$AQ$1</c:f>
              <c:strCache>
                <c:ptCount val="30"/>
                <c:pt idx="0">
                  <c:v>I.09</c:v>
                </c:pt>
                <c:pt idx="1">
                  <c:v>II.09</c:v>
                </c:pt>
                <c:pt idx="2">
                  <c:v>III.09</c:v>
                </c:pt>
                <c:pt idx="3">
                  <c:v>IV.09</c:v>
                </c:pt>
                <c:pt idx="4">
                  <c:v>V.09</c:v>
                </c:pt>
                <c:pt idx="5">
                  <c:v>VI.09</c:v>
                </c:pt>
                <c:pt idx="6">
                  <c:v>VII.09</c:v>
                </c:pt>
                <c:pt idx="7">
                  <c:v>VIII.09</c:v>
                </c:pt>
                <c:pt idx="8">
                  <c:v>IX.09</c:v>
                </c:pt>
                <c:pt idx="9">
                  <c:v>X.09</c:v>
                </c:pt>
                <c:pt idx="10">
                  <c:v>XI.09</c:v>
                </c:pt>
                <c:pt idx="11">
                  <c:v>XII.09</c:v>
                </c:pt>
                <c:pt idx="12">
                  <c:v>I.10</c:v>
                </c:pt>
                <c:pt idx="13">
                  <c:v>II.10</c:v>
                </c:pt>
                <c:pt idx="14">
                  <c:v>III.10</c:v>
                </c:pt>
                <c:pt idx="15">
                  <c:v>IV.10</c:v>
                </c:pt>
                <c:pt idx="16">
                  <c:v>V.10</c:v>
                </c:pt>
                <c:pt idx="17">
                  <c:v>VI.10</c:v>
                </c:pt>
                <c:pt idx="18">
                  <c:v>VII.10</c:v>
                </c:pt>
                <c:pt idx="19">
                  <c:v>VIII.10</c:v>
                </c:pt>
                <c:pt idx="20">
                  <c:v>IX.10</c:v>
                </c:pt>
                <c:pt idx="21">
                  <c:v>X.10</c:v>
                </c:pt>
                <c:pt idx="22">
                  <c:v>XI.10</c:v>
                </c:pt>
                <c:pt idx="23">
                  <c:v>XII.10</c:v>
                </c:pt>
                <c:pt idx="24">
                  <c:v>I.11</c:v>
                </c:pt>
                <c:pt idx="25">
                  <c:v>II.11</c:v>
                </c:pt>
                <c:pt idx="26">
                  <c:v>III.11</c:v>
                </c:pt>
                <c:pt idx="27">
                  <c:v>IV.11</c:v>
                </c:pt>
                <c:pt idx="28">
                  <c:v>V.11</c:v>
                </c:pt>
                <c:pt idx="29">
                  <c:v>VI.11</c:v>
                </c:pt>
              </c:strCache>
            </c:strRef>
          </c:cat>
          <c:val>
            <c:numRef>
              <c:f>Sheet1!$N$3:$AQ$3</c:f>
              <c:numCache>
                <c:formatCode>General</c:formatCode>
                <c:ptCount val="30"/>
                <c:pt idx="0">
                  <c:v>1</c:v>
                </c:pt>
                <c:pt idx="1">
                  <c:v>3</c:v>
                </c:pt>
                <c:pt idx="2">
                  <c:v>19</c:v>
                </c:pt>
                <c:pt idx="3">
                  <c:v>26</c:v>
                </c:pt>
                <c:pt idx="4">
                  <c:v>21</c:v>
                </c:pt>
                <c:pt idx="5">
                  <c:v>22</c:v>
                </c:pt>
                <c:pt idx="6">
                  <c:v>32</c:v>
                </c:pt>
                <c:pt idx="7">
                  <c:v>23</c:v>
                </c:pt>
                <c:pt idx="8">
                  <c:v>25</c:v>
                </c:pt>
                <c:pt idx="9">
                  <c:v>31</c:v>
                </c:pt>
                <c:pt idx="10">
                  <c:v>33</c:v>
                </c:pt>
                <c:pt idx="11">
                  <c:v>29</c:v>
                </c:pt>
                <c:pt idx="12">
                  <c:v>22</c:v>
                </c:pt>
                <c:pt idx="13">
                  <c:v>27</c:v>
                </c:pt>
                <c:pt idx="14">
                  <c:v>30</c:v>
                </c:pt>
                <c:pt idx="15">
                  <c:v>28</c:v>
                </c:pt>
                <c:pt idx="16">
                  <c:v>27</c:v>
                </c:pt>
                <c:pt idx="17">
                  <c:v>27</c:v>
                </c:pt>
                <c:pt idx="18">
                  <c:v>27</c:v>
                </c:pt>
                <c:pt idx="19">
                  <c:v>33</c:v>
                </c:pt>
                <c:pt idx="20">
                  <c:v>30</c:v>
                </c:pt>
                <c:pt idx="21">
                  <c:v>37</c:v>
                </c:pt>
                <c:pt idx="22">
                  <c:v>35</c:v>
                </c:pt>
                <c:pt idx="23">
                  <c:v>28</c:v>
                </c:pt>
                <c:pt idx="24">
                  <c:v>21</c:v>
                </c:pt>
                <c:pt idx="25">
                  <c:v>21</c:v>
                </c:pt>
                <c:pt idx="26">
                  <c:v>34</c:v>
                </c:pt>
                <c:pt idx="27">
                  <c:v>25</c:v>
                </c:pt>
                <c:pt idx="28">
                  <c:v>26</c:v>
                </c:pt>
                <c:pt idx="29">
                  <c:v>25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PP na kúpu os. mot.vozidla</c:v>
                </c:pt>
              </c:strCache>
            </c:strRef>
          </c:tx>
          <c:cat>
            <c:strRef>
              <c:f>Sheet1!$N$1:$AQ$1</c:f>
              <c:strCache>
                <c:ptCount val="30"/>
                <c:pt idx="0">
                  <c:v>I.09</c:v>
                </c:pt>
                <c:pt idx="1">
                  <c:v>II.09</c:v>
                </c:pt>
                <c:pt idx="2">
                  <c:v>III.09</c:v>
                </c:pt>
                <c:pt idx="3">
                  <c:v>IV.09</c:v>
                </c:pt>
                <c:pt idx="4">
                  <c:v>V.09</c:v>
                </c:pt>
                <c:pt idx="5">
                  <c:v>VI.09</c:v>
                </c:pt>
                <c:pt idx="6">
                  <c:v>VII.09</c:v>
                </c:pt>
                <c:pt idx="7">
                  <c:v>VIII.09</c:v>
                </c:pt>
                <c:pt idx="8">
                  <c:v>IX.09</c:v>
                </c:pt>
                <c:pt idx="9">
                  <c:v>X.09</c:v>
                </c:pt>
                <c:pt idx="10">
                  <c:v>XI.09</c:v>
                </c:pt>
                <c:pt idx="11">
                  <c:v>XII.09</c:v>
                </c:pt>
                <c:pt idx="12">
                  <c:v>I.10</c:v>
                </c:pt>
                <c:pt idx="13">
                  <c:v>II.10</c:v>
                </c:pt>
                <c:pt idx="14">
                  <c:v>III.10</c:v>
                </c:pt>
                <c:pt idx="15">
                  <c:v>IV.10</c:v>
                </c:pt>
                <c:pt idx="16">
                  <c:v>V.10</c:v>
                </c:pt>
                <c:pt idx="17">
                  <c:v>VI.10</c:v>
                </c:pt>
                <c:pt idx="18">
                  <c:v>VII.10</c:v>
                </c:pt>
                <c:pt idx="19">
                  <c:v>VIII.10</c:v>
                </c:pt>
                <c:pt idx="20">
                  <c:v>IX.10</c:v>
                </c:pt>
                <c:pt idx="21">
                  <c:v>X.10</c:v>
                </c:pt>
                <c:pt idx="22">
                  <c:v>XI.10</c:v>
                </c:pt>
                <c:pt idx="23">
                  <c:v>XII.10</c:v>
                </c:pt>
                <c:pt idx="24">
                  <c:v>I.11</c:v>
                </c:pt>
                <c:pt idx="25">
                  <c:v>II.11</c:v>
                </c:pt>
                <c:pt idx="26">
                  <c:v>III.11</c:v>
                </c:pt>
                <c:pt idx="27">
                  <c:v>IV.11</c:v>
                </c:pt>
                <c:pt idx="28">
                  <c:v>V.11</c:v>
                </c:pt>
                <c:pt idx="29">
                  <c:v>VI.11</c:v>
                </c:pt>
              </c:strCache>
            </c:strRef>
          </c:cat>
          <c:val>
            <c:numRef>
              <c:f>Sheet1!$N$4:$AQ$4</c:f>
              <c:numCache>
                <c:formatCode>General</c:formatCode>
                <c:ptCount val="30"/>
                <c:pt idx="0">
                  <c:v>9</c:v>
                </c:pt>
                <c:pt idx="1">
                  <c:v>48</c:v>
                </c:pt>
                <c:pt idx="2">
                  <c:v>95</c:v>
                </c:pt>
                <c:pt idx="3">
                  <c:v>99</c:v>
                </c:pt>
                <c:pt idx="4">
                  <c:v>123</c:v>
                </c:pt>
                <c:pt idx="5">
                  <c:v>180</c:v>
                </c:pt>
                <c:pt idx="6">
                  <c:v>186</c:v>
                </c:pt>
                <c:pt idx="7">
                  <c:v>147</c:v>
                </c:pt>
                <c:pt idx="8">
                  <c:v>128</c:v>
                </c:pt>
                <c:pt idx="9">
                  <c:v>134</c:v>
                </c:pt>
                <c:pt idx="10">
                  <c:v>123</c:v>
                </c:pt>
                <c:pt idx="11">
                  <c:v>177</c:v>
                </c:pt>
                <c:pt idx="12">
                  <c:v>115</c:v>
                </c:pt>
                <c:pt idx="13">
                  <c:v>131</c:v>
                </c:pt>
                <c:pt idx="14">
                  <c:v>154</c:v>
                </c:pt>
                <c:pt idx="15">
                  <c:v>145</c:v>
                </c:pt>
                <c:pt idx="16">
                  <c:v>162</c:v>
                </c:pt>
                <c:pt idx="17">
                  <c:v>150</c:v>
                </c:pt>
                <c:pt idx="18">
                  <c:v>143</c:v>
                </c:pt>
                <c:pt idx="19">
                  <c:v>162</c:v>
                </c:pt>
                <c:pt idx="20">
                  <c:v>122</c:v>
                </c:pt>
                <c:pt idx="21">
                  <c:v>108</c:v>
                </c:pt>
                <c:pt idx="22">
                  <c:v>154</c:v>
                </c:pt>
                <c:pt idx="23">
                  <c:v>151</c:v>
                </c:pt>
                <c:pt idx="24">
                  <c:v>131</c:v>
                </c:pt>
                <c:pt idx="25">
                  <c:v>131</c:v>
                </c:pt>
                <c:pt idx="26">
                  <c:v>127</c:v>
                </c:pt>
                <c:pt idx="27">
                  <c:v>124</c:v>
                </c:pt>
                <c:pt idx="28">
                  <c:v>92</c:v>
                </c:pt>
                <c:pt idx="29">
                  <c:v>138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PP na úpravu bytu, domu, garáže</c:v>
                </c:pt>
              </c:strCache>
            </c:strRef>
          </c:tx>
          <c:cat>
            <c:strRef>
              <c:f>Sheet1!$N$1:$AQ$1</c:f>
              <c:strCache>
                <c:ptCount val="30"/>
                <c:pt idx="0">
                  <c:v>I.09</c:v>
                </c:pt>
                <c:pt idx="1">
                  <c:v>II.09</c:v>
                </c:pt>
                <c:pt idx="2">
                  <c:v>III.09</c:v>
                </c:pt>
                <c:pt idx="3">
                  <c:v>IV.09</c:v>
                </c:pt>
                <c:pt idx="4">
                  <c:v>V.09</c:v>
                </c:pt>
                <c:pt idx="5">
                  <c:v>VI.09</c:v>
                </c:pt>
                <c:pt idx="6">
                  <c:v>VII.09</c:v>
                </c:pt>
                <c:pt idx="7">
                  <c:v>VIII.09</c:v>
                </c:pt>
                <c:pt idx="8">
                  <c:v>IX.09</c:v>
                </c:pt>
                <c:pt idx="9">
                  <c:v>X.09</c:v>
                </c:pt>
                <c:pt idx="10">
                  <c:v>XI.09</c:v>
                </c:pt>
                <c:pt idx="11">
                  <c:v>XII.09</c:v>
                </c:pt>
                <c:pt idx="12">
                  <c:v>I.10</c:v>
                </c:pt>
                <c:pt idx="13">
                  <c:v>II.10</c:v>
                </c:pt>
                <c:pt idx="14">
                  <c:v>III.10</c:v>
                </c:pt>
                <c:pt idx="15">
                  <c:v>IV.10</c:v>
                </c:pt>
                <c:pt idx="16">
                  <c:v>V.10</c:v>
                </c:pt>
                <c:pt idx="17">
                  <c:v>VI.10</c:v>
                </c:pt>
                <c:pt idx="18">
                  <c:v>VII.10</c:v>
                </c:pt>
                <c:pt idx="19">
                  <c:v>VIII.10</c:v>
                </c:pt>
                <c:pt idx="20">
                  <c:v>IX.10</c:v>
                </c:pt>
                <c:pt idx="21">
                  <c:v>X.10</c:v>
                </c:pt>
                <c:pt idx="22">
                  <c:v>XI.10</c:v>
                </c:pt>
                <c:pt idx="23">
                  <c:v>XII.10</c:v>
                </c:pt>
                <c:pt idx="24">
                  <c:v>I.11</c:v>
                </c:pt>
                <c:pt idx="25">
                  <c:v>II.11</c:v>
                </c:pt>
                <c:pt idx="26">
                  <c:v>III.11</c:v>
                </c:pt>
                <c:pt idx="27">
                  <c:v>IV.11</c:v>
                </c:pt>
                <c:pt idx="28">
                  <c:v>V.11</c:v>
                </c:pt>
                <c:pt idx="29">
                  <c:v>VI.11</c:v>
                </c:pt>
              </c:strCache>
            </c:strRef>
          </c:cat>
          <c:val>
            <c:numRef>
              <c:f>Sheet1!$N$5:$AQ$5</c:f>
              <c:numCache>
                <c:formatCode>General</c:formatCode>
                <c:ptCount val="30"/>
                <c:pt idx="0">
                  <c:v>10</c:v>
                </c:pt>
                <c:pt idx="1">
                  <c:v>59</c:v>
                </c:pt>
                <c:pt idx="2">
                  <c:v>176</c:v>
                </c:pt>
                <c:pt idx="3">
                  <c:v>205</c:v>
                </c:pt>
                <c:pt idx="4">
                  <c:v>181</c:v>
                </c:pt>
                <c:pt idx="5">
                  <c:v>274</c:v>
                </c:pt>
                <c:pt idx="6">
                  <c:v>331</c:v>
                </c:pt>
                <c:pt idx="7">
                  <c:v>285</c:v>
                </c:pt>
                <c:pt idx="8">
                  <c:v>289</c:v>
                </c:pt>
                <c:pt idx="9">
                  <c:v>336</c:v>
                </c:pt>
                <c:pt idx="10">
                  <c:v>282</c:v>
                </c:pt>
                <c:pt idx="11">
                  <c:v>322</c:v>
                </c:pt>
                <c:pt idx="12">
                  <c:v>204</c:v>
                </c:pt>
                <c:pt idx="13">
                  <c:v>251</c:v>
                </c:pt>
                <c:pt idx="14">
                  <c:v>253</c:v>
                </c:pt>
                <c:pt idx="15">
                  <c:v>221</c:v>
                </c:pt>
                <c:pt idx="16">
                  <c:v>278</c:v>
                </c:pt>
                <c:pt idx="17">
                  <c:v>294</c:v>
                </c:pt>
                <c:pt idx="18">
                  <c:v>269</c:v>
                </c:pt>
                <c:pt idx="19">
                  <c:v>243</c:v>
                </c:pt>
                <c:pt idx="20">
                  <c:v>288</c:v>
                </c:pt>
                <c:pt idx="21">
                  <c:v>280</c:v>
                </c:pt>
                <c:pt idx="22">
                  <c:v>247</c:v>
                </c:pt>
                <c:pt idx="23">
                  <c:v>237</c:v>
                </c:pt>
                <c:pt idx="24">
                  <c:v>190</c:v>
                </c:pt>
                <c:pt idx="25">
                  <c:v>220</c:v>
                </c:pt>
                <c:pt idx="26">
                  <c:v>204</c:v>
                </c:pt>
                <c:pt idx="27">
                  <c:v>219</c:v>
                </c:pt>
                <c:pt idx="28">
                  <c:v>194</c:v>
                </c:pt>
                <c:pt idx="29">
                  <c:v>249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9823360"/>
        <c:axId val="159824896"/>
      </c:lineChart>
      <c:catAx>
        <c:axId val="1598233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5400000" vert="horz"/>
          <a:lstStyle/>
          <a:p>
            <a:pPr>
              <a:defRPr/>
            </a:pPr>
            <a:endParaRPr lang="sk-SK"/>
          </a:p>
        </c:txPr>
        <c:crossAx val="159824896"/>
        <c:crossesAt val="0"/>
        <c:auto val="1"/>
        <c:lblAlgn val="ctr"/>
        <c:lblOffset val="100"/>
        <c:tickLblSkip val="2"/>
        <c:tickMarkSkip val="1"/>
        <c:noMultiLvlLbl val="0"/>
      </c:catAx>
      <c:valAx>
        <c:axId val="159824896"/>
        <c:scaling>
          <c:orientation val="minMax"/>
          <c:max val="400"/>
          <c:min val="0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59823360"/>
        <c:crosses val="autoZero"/>
        <c:crossBetween val="between"/>
        <c:majorUnit val="50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600"/>
            </a:pPr>
            <a:r>
              <a:rPr lang="sk-SK" sz="1600"/>
              <a:t>Vývoj  čerpania finančných prostriedkov na jednorázové peňažné príspevky na kompenzáciu sociálnych dôsledkov ťažkého zdravotného postihnutia  v €</a:t>
            </a:r>
          </a:p>
        </c:rich>
      </c:tx>
      <c:layout/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PP na kúpu pomôcky</c:v>
                </c:pt>
              </c:strCache>
            </c:strRef>
          </c:tx>
          <c:cat>
            <c:strRef>
              <c:f>Sheet1!$N$1:$AQ$1</c:f>
              <c:strCache>
                <c:ptCount val="30"/>
                <c:pt idx="0">
                  <c:v>I.09</c:v>
                </c:pt>
                <c:pt idx="1">
                  <c:v>II.09</c:v>
                </c:pt>
                <c:pt idx="2">
                  <c:v>III.09</c:v>
                </c:pt>
                <c:pt idx="3">
                  <c:v>IV.09</c:v>
                </c:pt>
                <c:pt idx="4">
                  <c:v>V.09</c:v>
                </c:pt>
                <c:pt idx="5">
                  <c:v>VI.09</c:v>
                </c:pt>
                <c:pt idx="6">
                  <c:v>VII.09</c:v>
                </c:pt>
                <c:pt idx="7">
                  <c:v>VIII.09</c:v>
                </c:pt>
                <c:pt idx="8">
                  <c:v>IX.09</c:v>
                </c:pt>
                <c:pt idx="9">
                  <c:v>X.09</c:v>
                </c:pt>
                <c:pt idx="10">
                  <c:v>XI.09</c:v>
                </c:pt>
                <c:pt idx="11">
                  <c:v>XII.09</c:v>
                </c:pt>
                <c:pt idx="12">
                  <c:v>I.10</c:v>
                </c:pt>
                <c:pt idx="13">
                  <c:v>II.10</c:v>
                </c:pt>
                <c:pt idx="14">
                  <c:v>III.10</c:v>
                </c:pt>
                <c:pt idx="15">
                  <c:v>IV.10</c:v>
                </c:pt>
                <c:pt idx="16">
                  <c:v>V.10</c:v>
                </c:pt>
                <c:pt idx="17">
                  <c:v>VI.10</c:v>
                </c:pt>
                <c:pt idx="18">
                  <c:v>VII.10</c:v>
                </c:pt>
                <c:pt idx="19">
                  <c:v>VIII.10</c:v>
                </c:pt>
                <c:pt idx="20">
                  <c:v>IX.10</c:v>
                </c:pt>
                <c:pt idx="21">
                  <c:v>X.10</c:v>
                </c:pt>
                <c:pt idx="22">
                  <c:v>XI.10</c:v>
                </c:pt>
                <c:pt idx="23">
                  <c:v>XII.10</c:v>
                </c:pt>
                <c:pt idx="24">
                  <c:v>I.11</c:v>
                </c:pt>
                <c:pt idx="25">
                  <c:v>II.11</c:v>
                </c:pt>
                <c:pt idx="26">
                  <c:v>III.11</c:v>
                </c:pt>
                <c:pt idx="27">
                  <c:v>IV.11</c:v>
                </c:pt>
                <c:pt idx="28">
                  <c:v>V.11</c:v>
                </c:pt>
                <c:pt idx="29">
                  <c:v>VI.11</c:v>
                </c:pt>
              </c:strCache>
            </c:strRef>
          </c:cat>
          <c:val>
            <c:numRef>
              <c:f>Sheet1!$N$2:$AQ$2</c:f>
              <c:numCache>
                <c:formatCode>General</c:formatCode>
                <c:ptCount val="30"/>
                <c:pt idx="0">
                  <c:v>19715</c:v>
                </c:pt>
                <c:pt idx="1">
                  <c:v>56803</c:v>
                </c:pt>
                <c:pt idx="2">
                  <c:v>139809</c:v>
                </c:pt>
                <c:pt idx="3">
                  <c:v>132851</c:v>
                </c:pt>
                <c:pt idx="4">
                  <c:v>179196</c:v>
                </c:pt>
                <c:pt idx="5">
                  <c:v>282811</c:v>
                </c:pt>
                <c:pt idx="6">
                  <c:v>271162</c:v>
                </c:pt>
                <c:pt idx="7">
                  <c:v>258306</c:v>
                </c:pt>
                <c:pt idx="8">
                  <c:v>238916</c:v>
                </c:pt>
                <c:pt idx="9">
                  <c:v>240783</c:v>
                </c:pt>
                <c:pt idx="10">
                  <c:v>234846</c:v>
                </c:pt>
                <c:pt idx="11">
                  <c:v>229557</c:v>
                </c:pt>
                <c:pt idx="12" formatCode="#,##0">
                  <c:v>204211</c:v>
                </c:pt>
                <c:pt idx="13" formatCode="#,##0">
                  <c:v>237969</c:v>
                </c:pt>
                <c:pt idx="14">
                  <c:v>246307</c:v>
                </c:pt>
                <c:pt idx="15">
                  <c:v>223521</c:v>
                </c:pt>
                <c:pt idx="16">
                  <c:v>203668.43</c:v>
                </c:pt>
                <c:pt idx="17" formatCode="#,##0">
                  <c:v>252175</c:v>
                </c:pt>
                <c:pt idx="18">
                  <c:v>223848</c:v>
                </c:pt>
                <c:pt idx="19">
                  <c:v>237085</c:v>
                </c:pt>
                <c:pt idx="20">
                  <c:v>213527.94</c:v>
                </c:pt>
                <c:pt idx="21">
                  <c:v>226403</c:v>
                </c:pt>
                <c:pt idx="22">
                  <c:v>276551</c:v>
                </c:pt>
                <c:pt idx="23" formatCode="#,##0">
                  <c:v>298890.21000000002</c:v>
                </c:pt>
                <c:pt idx="24">
                  <c:v>187375</c:v>
                </c:pt>
                <c:pt idx="25">
                  <c:v>282210</c:v>
                </c:pt>
                <c:pt idx="26">
                  <c:v>225002</c:v>
                </c:pt>
                <c:pt idx="27">
                  <c:v>187606</c:v>
                </c:pt>
                <c:pt idx="28">
                  <c:v>161142</c:v>
                </c:pt>
                <c:pt idx="29">
                  <c:v>177661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PP na opravu pomôcky</c:v>
                </c:pt>
              </c:strCache>
            </c:strRef>
          </c:tx>
          <c:cat>
            <c:strRef>
              <c:f>Sheet1!$N$1:$AQ$1</c:f>
              <c:strCache>
                <c:ptCount val="30"/>
                <c:pt idx="0">
                  <c:v>I.09</c:v>
                </c:pt>
                <c:pt idx="1">
                  <c:v>II.09</c:v>
                </c:pt>
                <c:pt idx="2">
                  <c:v>III.09</c:v>
                </c:pt>
                <c:pt idx="3">
                  <c:v>IV.09</c:v>
                </c:pt>
                <c:pt idx="4">
                  <c:v>V.09</c:v>
                </c:pt>
                <c:pt idx="5">
                  <c:v>VI.09</c:v>
                </c:pt>
                <c:pt idx="6">
                  <c:v>VII.09</c:v>
                </c:pt>
                <c:pt idx="7">
                  <c:v>VIII.09</c:v>
                </c:pt>
                <c:pt idx="8">
                  <c:v>IX.09</c:v>
                </c:pt>
                <c:pt idx="9">
                  <c:v>X.09</c:v>
                </c:pt>
                <c:pt idx="10">
                  <c:v>XI.09</c:v>
                </c:pt>
                <c:pt idx="11">
                  <c:v>XII.09</c:v>
                </c:pt>
                <c:pt idx="12">
                  <c:v>I.10</c:v>
                </c:pt>
                <c:pt idx="13">
                  <c:v>II.10</c:v>
                </c:pt>
                <c:pt idx="14">
                  <c:v>III.10</c:v>
                </c:pt>
                <c:pt idx="15">
                  <c:v>IV.10</c:v>
                </c:pt>
                <c:pt idx="16">
                  <c:v>V.10</c:v>
                </c:pt>
                <c:pt idx="17">
                  <c:v>VI.10</c:v>
                </c:pt>
                <c:pt idx="18">
                  <c:v>VII.10</c:v>
                </c:pt>
                <c:pt idx="19">
                  <c:v>VIII.10</c:v>
                </c:pt>
                <c:pt idx="20">
                  <c:v>IX.10</c:v>
                </c:pt>
                <c:pt idx="21">
                  <c:v>X.10</c:v>
                </c:pt>
                <c:pt idx="22">
                  <c:v>XI.10</c:v>
                </c:pt>
                <c:pt idx="23">
                  <c:v>XII.10</c:v>
                </c:pt>
                <c:pt idx="24">
                  <c:v>I.11</c:v>
                </c:pt>
                <c:pt idx="25">
                  <c:v>II.11</c:v>
                </c:pt>
                <c:pt idx="26">
                  <c:v>III.11</c:v>
                </c:pt>
                <c:pt idx="27">
                  <c:v>IV.11</c:v>
                </c:pt>
                <c:pt idx="28">
                  <c:v>V.11</c:v>
                </c:pt>
                <c:pt idx="29">
                  <c:v>VI.11</c:v>
                </c:pt>
              </c:strCache>
            </c:strRef>
          </c:cat>
          <c:val>
            <c:numRef>
              <c:f>Sheet1!$N$3:$AQ$3</c:f>
              <c:numCache>
                <c:formatCode>General</c:formatCode>
                <c:ptCount val="30"/>
                <c:pt idx="0">
                  <c:v>150</c:v>
                </c:pt>
                <c:pt idx="1">
                  <c:v>482</c:v>
                </c:pt>
                <c:pt idx="2">
                  <c:v>9196</c:v>
                </c:pt>
                <c:pt idx="3">
                  <c:v>7637</c:v>
                </c:pt>
                <c:pt idx="4">
                  <c:v>6509</c:v>
                </c:pt>
                <c:pt idx="5">
                  <c:v>5339</c:v>
                </c:pt>
                <c:pt idx="6">
                  <c:v>9682</c:v>
                </c:pt>
                <c:pt idx="7">
                  <c:v>4296</c:v>
                </c:pt>
                <c:pt idx="8">
                  <c:v>9196</c:v>
                </c:pt>
                <c:pt idx="9">
                  <c:v>11393</c:v>
                </c:pt>
                <c:pt idx="10">
                  <c:v>6677</c:v>
                </c:pt>
                <c:pt idx="11">
                  <c:v>9711</c:v>
                </c:pt>
                <c:pt idx="12" formatCode="#,##0">
                  <c:v>3521</c:v>
                </c:pt>
                <c:pt idx="13" formatCode="#,##0">
                  <c:v>16106</c:v>
                </c:pt>
                <c:pt idx="14">
                  <c:v>7674</c:v>
                </c:pt>
                <c:pt idx="15">
                  <c:v>6872</c:v>
                </c:pt>
                <c:pt idx="16">
                  <c:v>4553.8500000000004</c:v>
                </c:pt>
                <c:pt idx="17" formatCode="#,##0">
                  <c:v>12715</c:v>
                </c:pt>
                <c:pt idx="18">
                  <c:v>13002</c:v>
                </c:pt>
                <c:pt idx="19">
                  <c:v>7632</c:v>
                </c:pt>
                <c:pt idx="20">
                  <c:v>9177.16</c:v>
                </c:pt>
                <c:pt idx="21">
                  <c:v>7125</c:v>
                </c:pt>
                <c:pt idx="22">
                  <c:v>10979</c:v>
                </c:pt>
                <c:pt idx="23" formatCode="#,##0">
                  <c:v>6310.53</c:v>
                </c:pt>
                <c:pt idx="24">
                  <c:v>3412</c:v>
                </c:pt>
                <c:pt idx="25">
                  <c:v>6191</c:v>
                </c:pt>
                <c:pt idx="26">
                  <c:v>10868</c:v>
                </c:pt>
                <c:pt idx="27">
                  <c:v>4284</c:v>
                </c:pt>
                <c:pt idx="28">
                  <c:v>7548</c:v>
                </c:pt>
                <c:pt idx="29">
                  <c:v>6893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PP na kúpu os. mot.vozidla</c:v>
                </c:pt>
              </c:strCache>
            </c:strRef>
          </c:tx>
          <c:cat>
            <c:strRef>
              <c:f>Sheet1!$N$1:$AQ$1</c:f>
              <c:strCache>
                <c:ptCount val="30"/>
                <c:pt idx="0">
                  <c:v>I.09</c:v>
                </c:pt>
                <c:pt idx="1">
                  <c:v>II.09</c:v>
                </c:pt>
                <c:pt idx="2">
                  <c:v>III.09</c:v>
                </c:pt>
                <c:pt idx="3">
                  <c:v>IV.09</c:v>
                </c:pt>
                <c:pt idx="4">
                  <c:v>V.09</c:v>
                </c:pt>
                <c:pt idx="5">
                  <c:v>VI.09</c:v>
                </c:pt>
                <c:pt idx="6">
                  <c:v>VII.09</c:v>
                </c:pt>
                <c:pt idx="7">
                  <c:v>VIII.09</c:v>
                </c:pt>
                <c:pt idx="8">
                  <c:v>IX.09</c:v>
                </c:pt>
                <c:pt idx="9">
                  <c:v>X.09</c:v>
                </c:pt>
                <c:pt idx="10">
                  <c:v>XI.09</c:v>
                </c:pt>
                <c:pt idx="11">
                  <c:v>XII.09</c:v>
                </c:pt>
                <c:pt idx="12">
                  <c:v>I.10</c:v>
                </c:pt>
                <c:pt idx="13">
                  <c:v>II.10</c:v>
                </c:pt>
                <c:pt idx="14">
                  <c:v>III.10</c:v>
                </c:pt>
                <c:pt idx="15">
                  <c:v>IV.10</c:v>
                </c:pt>
                <c:pt idx="16">
                  <c:v>V.10</c:v>
                </c:pt>
                <c:pt idx="17">
                  <c:v>VI.10</c:v>
                </c:pt>
                <c:pt idx="18">
                  <c:v>VII.10</c:v>
                </c:pt>
                <c:pt idx="19">
                  <c:v>VIII.10</c:v>
                </c:pt>
                <c:pt idx="20">
                  <c:v>IX.10</c:v>
                </c:pt>
                <c:pt idx="21">
                  <c:v>X.10</c:v>
                </c:pt>
                <c:pt idx="22">
                  <c:v>XI.10</c:v>
                </c:pt>
                <c:pt idx="23">
                  <c:v>XII.10</c:v>
                </c:pt>
                <c:pt idx="24">
                  <c:v>I.11</c:v>
                </c:pt>
                <c:pt idx="25">
                  <c:v>II.11</c:v>
                </c:pt>
                <c:pt idx="26">
                  <c:v>III.11</c:v>
                </c:pt>
                <c:pt idx="27">
                  <c:v>IV.11</c:v>
                </c:pt>
                <c:pt idx="28">
                  <c:v>V.11</c:v>
                </c:pt>
                <c:pt idx="29">
                  <c:v>VI.11</c:v>
                </c:pt>
              </c:strCache>
            </c:strRef>
          </c:cat>
          <c:val>
            <c:numRef>
              <c:f>Sheet1!$N$4:$AQ$4</c:f>
              <c:numCache>
                <c:formatCode>General</c:formatCode>
                <c:ptCount val="30"/>
                <c:pt idx="0">
                  <c:v>59732</c:v>
                </c:pt>
                <c:pt idx="1">
                  <c:v>315972</c:v>
                </c:pt>
                <c:pt idx="2">
                  <c:v>641138</c:v>
                </c:pt>
                <c:pt idx="3">
                  <c:v>673125</c:v>
                </c:pt>
                <c:pt idx="4">
                  <c:v>810442</c:v>
                </c:pt>
                <c:pt idx="5">
                  <c:v>1191016</c:v>
                </c:pt>
                <c:pt idx="6">
                  <c:v>1221005</c:v>
                </c:pt>
                <c:pt idx="7">
                  <c:v>986550</c:v>
                </c:pt>
                <c:pt idx="8">
                  <c:v>830889</c:v>
                </c:pt>
                <c:pt idx="9">
                  <c:v>896835</c:v>
                </c:pt>
                <c:pt idx="10">
                  <c:v>815641</c:v>
                </c:pt>
                <c:pt idx="11">
                  <c:v>1175719</c:v>
                </c:pt>
                <c:pt idx="12" formatCode="#,##0">
                  <c:v>747603</c:v>
                </c:pt>
                <c:pt idx="13" formatCode="#,##0">
                  <c:v>864401</c:v>
                </c:pt>
                <c:pt idx="14">
                  <c:v>1022477</c:v>
                </c:pt>
                <c:pt idx="15">
                  <c:v>967046</c:v>
                </c:pt>
                <c:pt idx="16">
                  <c:v>1075202.6299999999</c:v>
                </c:pt>
                <c:pt idx="17" formatCode="#,##0">
                  <c:v>1000069</c:v>
                </c:pt>
                <c:pt idx="18">
                  <c:v>956118</c:v>
                </c:pt>
                <c:pt idx="19">
                  <c:v>1075302</c:v>
                </c:pt>
                <c:pt idx="20">
                  <c:v>815204.71</c:v>
                </c:pt>
                <c:pt idx="21">
                  <c:v>713950</c:v>
                </c:pt>
                <c:pt idx="22">
                  <c:v>1036147</c:v>
                </c:pt>
                <c:pt idx="23" formatCode="#,##0">
                  <c:v>1003105.92</c:v>
                </c:pt>
                <c:pt idx="24">
                  <c:v>865534</c:v>
                </c:pt>
                <c:pt idx="25">
                  <c:v>853053</c:v>
                </c:pt>
                <c:pt idx="26">
                  <c:v>839097</c:v>
                </c:pt>
                <c:pt idx="27">
                  <c:v>834927</c:v>
                </c:pt>
                <c:pt idx="28">
                  <c:v>604745</c:v>
                </c:pt>
                <c:pt idx="29">
                  <c:v>897112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PP na úpravu bytu, domu, garáže</c:v>
                </c:pt>
              </c:strCache>
            </c:strRef>
          </c:tx>
          <c:cat>
            <c:strRef>
              <c:f>Sheet1!$N$1:$AQ$1</c:f>
              <c:strCache>
                <c:ptCount val="30"/>
                <c:pt idx="0">
                  <c:v>I.09</c:v>
                </c:pt>
                <c:pt idx="1">
                  <c:v>II.09</c:v>
                </c:pt>
                <c:pt idx="2">
                  <c:v>III.09</c:v>
                </c:pt>
                <c:pt idx="3">
                  <c:v>IV.09</c:v>
                </c:pt>
                <c:pt idx="4">
                  <c:v>V.09</c:v>
                </c:pt>
                <c:pt idx="5">
                  <c:v>VI.09</c:v>
                </c:pt>
                <c:pt idx="6">
                  <c:v>VII.09</c:v>
                </c:pt>
                <c:pt idx="7">
                  <c:v>VIII.09</c:v>
                </c:pt>
                <c:pt idx="8">
                  <c:v>IX.09</c:v>
                </c:pt>
                <c:pt idx="9">
                  <c:v>X.09</c:v>
                </c:pt>
                <c:pt idx="10">
                  <c:v>XI.09</c:v>
                </c:pt>
                <c:pt idx="11">
                  <c:v>XII.09</c:v>
                </c:pt>
                <c:pt idx="12">
                  <c:v>I.10</c:v>
                </c:pt>
                <c:pt idx="13">
                  <c:v>II.10</c:v>
                </c:pt>
                <c:pt idx="14">
                  <c:v>III.10</c:v>
                </c:pt>
                <c:pt idx="15">
                  <c:v>IV.10</c:v>
                </c:pt>
                <c:pt idx="16">
                  <c:v>V.10</c:v>
                </c:pt>
                <c:pt idx="17">
                  <c:v>VI.10</c:v>
                </c:pt>
                <c:pt idx="18">
                  <c:v>VII.10</c:v>
                </c:pt>
                <c:pt idx="19">
                  <c:v>VIII.10</c:v>
                </c:pt>
                <c:pt idx="20">
                  <c:v>IX.10</c:v>
                </c:pt>
                <c:pt idx="21">
                  <c:v>X.10</c:v>
                </c:pt>
                <c:pt idx="22">
                  <c:v>XI.10</c:v>
                </c:pt>
                <c:pt idx="23">
                  <c:v>XII.10</c:v>
                </c:pt>
                <c:pt idx="24">
                  <c:v>I.11</c:v>
                </c:pt>
                <c:pt idx="25">
                  <c:v>II.11</c:v>
                </c:pt>
                <c:pt idx="26">
                  <c:v>III.11</c:v>
                </c:pt>
                <c:pt idx="27">
                  <c:v>IV.11</c:v>
                </c:pt>
                <c:pt idx="28">
                  <c:v>V.11</c:v>
                </c:pt>
                <c:pt idx="29">
                  <c:v>VI.11</c:v>
                </c:pt>
              </c:strCache>
            </c:strRef>
          </c:cat>
          <c:val>
            <c:numRef>
              <c:f>Sheet1!$N$5:$AQ$5</c:f>
              <c:numCache>
                <c:formatCode>General</c:formatCode>
                <c:ptCount val="30"/>
                <c:pt idx="0">
                  <c:v>39796</c:v>
                </c:pt>
                <c:pt idx="1">
                  <c:v>142050</c:v>
                </c:pt>
                <c:pt idx="2">
                  <c:v>481004</c:v>
                </c:pt>
                <c:pt idx="3">
                  <c:v>537311</c:v>
                </c:pt>
                <c:pt idx="4">
                  <c:v>430168</c:v>
                </c:pt>
                <c:pt idx="5">
                  <c:v>672489</c:v>
                </c:pt>
                <c:pt idx="6">
                  <c:v>855077</c:v>
                </c:pt>
                <c:pt idx="7">
                  <c:v>647491</c:v>
                </c:pt>
                <c:pt idx="8">
                  <c:v>660376</c:v>
                </c:pt>
                <c:pt idx="9">
                  <c:v>767873</c:v>
                </c:pt>
                <c:pt idx="10">
                  <c:v>604074</c:v>
                </c:pt>
                <c:pt idx="11">
                  <c:v>688459</c:v>
                </c:pt>
                <c:pt idx="12">
                  <c:v>436862</c:v>
                </c:pt>
                <c:pt idx="13">
                  <c:v>525966</c:v>
                </c:pt>
                <c:pt idx="14">
                  <c:v>580508</c:v>
                </c:pt>
                <c:pt idx="15">
                  <c:v>494096</c:v>
                </c:pt>
                <c:pt idx="16">
                  <c:v>576705.87</c:v>
                </c:pt>
                <c:pt idx="17">
                  <c:v>647027</c:v>
                </c:pt>
                <c:pt idx="18">
                  <c:v>604660</c:v>
                </c:pt>
                <c:pt idx="19">
                  <c:v>545634</c:v>
                </c:pt>
                <c:pt idx="20">
                  <c:v>614985.35</c:v>
                </c:pt>
                <c:pt idx="21">
                  <c:v>595086</c:v>
                </c:pt>
                <c:pt idx="22">
                  <c:v>545630</c:v>
                </c:pt>
                <c:pt idx="23" formatCode="#,##0">
                  <c:v>498332.13</c:v>
                </c:pt>
                <c:pt idx="24">
                  <c:v>399229</c:v>
                </c:pt>
                <c:pt idx="25">
                  <c:v>509175</c:v>
                </c:pt>
                <c:pt idx="26">
                  <c:v>453806</c:v>
                </c:pt>
                <c:pt idx="27">
                  <c:v>450809</c:v>
                </c:pt>
                <c:pt idx="28">
                  <c:v>423278</c:v>
                </c:pt>
                <c:pt idx="29">
                  <c:v>526442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9684480"/>
        <c:axId val="159686016"/>
      </c:lineChart>
      <c:catAx>
        <c:axId val="1596844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5400000" vert="horz"/>
          <a:lstStyle/>
          <a:p>
            <a:pPr>
              <a:defRPr/>
            </a:pPr>
            <a:endParaRPr lang="sk-SK"/>
          </a:p>
        </c:txPr>
        <c:crossAx val="159686016"/>
        <c:crossesAt val="0"/>
        <c:auto val="1"/>
        <c:lblAlgn val="ctr"/>
        <c:lblOffset val="100"/>
        <c:tickLblSkip val="2"/>
        <c:tickMarkSkip val="1"/>
        <c:noMultiLvlLbl val="0"/>
      </c:catAx>
      <c:valAx>
        <c:axId val="159686016"/>
        <c:scaling>
          <c:orientation val="minMax"/>
          <c:max val="1400000"/>
          <c:min val="0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59684480"/>
        <c:crosses val="autoZero"/>
        <c:crossBetween val="between"/>
        <c:majorUnit val="200000"/>
        <c:minorUnit val="40000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600"/>
            </a:pPr>
            <a:r>
              <a:rPr lang="sk-SK" sz="1600"/>
              <a:t>Vývoj  počtu poberateľov opakovaných peňažných príspevkov na kompenzáciu sociálnych dôsledkov ťažkého zdravotného postihnutia</a:t>
            </a:r>
          </a:p>
        </c:rich>
      </c:tx>
      <c:layout/>
      <c:overlay val="0"/>
    </c:title>
    <c:autoTitleDeleted val="0"/>
    <c:plotArea>
      <c:layout/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PP na kompenzáciu ZN</c:v>
                </c:pt>
              </c:strCache>
            </c:strRef>
          </c:tx>
          <c:cat>
            <c:strRef>
              <c:f>Sheet1!$N$1:$AQ$1</c:f>
              <c:strCache>
                <c:ptCount val="30"/>
                <c:pt idx="0">
                  <c:v>I.09</c:v>
                </c:pt>
                <c:pt idx="1">
                  <c:v>II.09</c:v>
                </c:pt>
                <c:pt idx="2">
                  <c:v>III.09</c:v>
                </c:pt>
                <c:pt idx="3">
                  <c:v>IV.09</c:v>
                </c:pt>
                <c:pt idx="4">
                  <c:v>V.09</c:v>
                </c:pt>
                <c:pt idx="5">
                  <c:v>VI.09</c:v>
                </c:pt>
                <c:pt idx="6">
                  <c:v>VII.09</c:v>
                </c:pt>
                <c:pt idx="7">
                  <c:v>VIII.09</c:v>
                </c:pt>
                <c:pt idx="8">
                  <c:v>IX.09</c:v>
                </c:pt>
                <c:pt idx="9">
                  <c:v>X.09</c:v>
                </c:pt>
                <c:pt idx="10">
                  <c:v>XI.09</c:v>
                </c:pt>
                <c:pt idx="11">
                  <c:v>XII.09</c:v>
                </c:pt>
                <c:pt idx="12">
                  <c:v>I.10</c:v>
                </c:pt>
                <c:pt idx="13">
                  <c:v>II.10</c:v>
                </c:pt>
                <c:pt idx="14">
                  <c:v>III.10</c:v>
                </c:pt>
                <c:pt idx="15">
                  <c:v>IV.10</c:v>
                </c:pt>
                <c:pt idx="16">
                  <c:v>V.10</c:v>
                </c:pt>
                <c:pt idx="17">
                  <c:v>VI.10</c:v>
                </c:pt>
                <c:pt idx="18">
                  <c:v>VII.10</c:v>
                </c:pt>
                <c:pt idx="19">
                  <c:v>VIII.10</c:v>
                </c:pt>
                <c:pt idx="20">
                  <c:v>IX.10</c:v>
                </c:pt>
                <c:pt idx="21">
                  <c:v>X.10</c:v>
                </c:pt>
                <c:pt idx="22">
                  <c:v>XI.10</c:v>
                </c:pt>
                <c:pt idx="23">
                  <c:v>XII.10</c:v>
                </c:pt>
                <c:pt idx="24">
                  <c:v>I.11</c:v>
                </c:pt>
                <c:pt idx="25">
                  <c:v>II.11</c:v>
                </c:pt>
                <c:pt idx="26">
                  <c:v>III.11</c:v>
                </c:pt>
                <c:pt idx="27">
                  <c:v>IV.11</c:v>
                </c:pt>
                <c:pt idx="28">
                  <c:v>V.11</c:v>
                </c:pt>
                <c:pt idx="29">
                  <c:v>VI.11</c:v>
                </c:pt>
              </c:strCache>
            </c:strRef>
          </c:cat>
          <c:val>
            <c:numRef>
              <c:f>Sheet1!$N$2:$AQ$2</c:f>
              <c:numCache>
                <c:formatCode>General</c:formatCode>
                <c:ptCount val="30"/>
                <c:pt idx="0">
                  <c:v>0</c:v>
                </c:pt>
                <c:pt idx="1">
                  <c:v>140860</c:v>
                </c:pt>
                <c:pt idx="2">
                  <c:v>141937</c:v>
                </c:pt>
                <c:pt idx="3">
                  <c:v>143199</c:v>
                </c:pt>
                <c:pt idx="4">
                  <c:v>144100</c:v>
                </c:pt>
                <c:pt idx="5">
                  <c:v>145402</c:v>
                </c:pt>
                <c:pt idx="6">
                  <c:v>146509</c:v>
                </c:pt>
                <c:pt idx="7">
                  <c:v>140123</c:v>
                </c:pt>
                <c:pt idx="8">
                  <c:v>145606</c:v>
                </c:pt>
                <c:pt idx="9">
                  <c:v>147643</c:v>
                </c:pt>
                <c:pt idx="10">
                  <c:v>148587</c:v>
                </c:pt>
                <c:pt idx="11">
                  <c:v>149754</c:v>
                </c:pt>
                <c:pt idx="12" formatCode="#,##0">
                  <c:v>150361</c:v>
                </c:pt>
                <c:pt idx="13" formatCode="#,##0">
                  <c:v>151261</c:v>
                </c:pt>
                <c:pt idx="14">
                  <c:v>153135</c:v>
                </c:pt>
                <c:pt idx="15">
                  <c:v>153014</c:v>
                </c:pt>
                <c:pt idx="16">
                  <c:v>153914</c:v>
                </c:pt>
                <c:pt idx="17" formatCode="#,##0">
                  <c:v>154985</c:v>
                </c:pt>
                <c:pt idx="18">
                  <c:v>155845</c:v>
                </c:pt>
                <c:pt idx="19">
                  <c:v>151384</c:v>
                </c:pt>
                <c:pt idx="20">
                  <c:v>154675</c:v>
                </c:pt>
                <c:pt idx="21">
                  <c:v>155457</c:v>
                </c:pt>
                <c:pt idx="22">
                  <c:v>156191</c:v>
                </c:pt>
                <c:pt idx="23" formatCode="#,##0">
                  <c:v>156868</c:v>
                </c:pt>
                <c:pt idx="24">
                  <c:v>157271</c:v>
                </c:pt>
                <c:pt idx="25">
                  <c:v>157839</c:v>
                </c:pt>
                <c:pt idx="26">
                  <c:v>158364</c:v>
                </c:pt>
                <c:pt idx="27">
                  <c:v>158887</c:v>
                </c:pt>
                <c:pt idx="28">
                  <c:v>159312</c:v>
                </c:pt>
                <c:pt idx="29">
                  <c:v>160120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PP na opatrovanie</c:v>
                </c:pt>
              </c:strCache>
            </c:strRef>
          </c:tx>
          <c:cat>
            <c:strRef>
              <c:f>Sheet1!$N$1:$AQ$1</c:f>
              <c:strCache>
                <c:ptCount val="30"/>
                <c:pt idx="0">
                  <c:v>I.09</c:v>
                </c:pt>
                <c:pt idx="1">
                  <c:v>II.09</c:v>
                </c:pt>
                <c:pt idx="2">
                  <c:v>III.09</c:v>
                </c:pt>
                <c:pt idx="3">
                  <c:v>IV.09</c:v>
                </c:pt>
                <c:pt idx="4">
                  <c:v>V.09</c:v>
                </c:pt>
                <c:pt idx="5">
                  <c:v>VI.09</c:v>
                </c:pt>
                <c:pt idx="6">
                  <c:v>VII.09</c:v>
                </c:pt>
                <c:pt idx="7">
                  <c:v>VIII.09</c:v>
                </c:pt>
                <c:pt idx="8">
                  <c:v>IX.09</c:v>
                </c:pt>
                <c:pt idx="9">
                  <c:v>X.09</c:v>
                </c:pt>
                <c:pt idx="10">
                  <c:v>XI.09</c:v>
                </c:pt>
                <c:pt idx="11">
                  <c:v>XII.09</c:v>
                </c:pt>
                <c:pt idx="12">
                  <c:v>I.10</c:v>
                </c:pt>
                <c:pt idx="13">
                  <c:v>II.10</c:v>
                </c:pt>
                <c:pt idx="14">
                  <c:v>III.10</c:v>
                </c:pt>
                <c:pt idx="15">
                  <c:v>IV.10</c:v>
                </c:pt>
                <c:pt idx="16">
                  <c:v>V.10</c:v>
                </c:pt>
                <c:pt idx="17">
                  <c:v>VI.10</c:v>
                </c:pt>
                <c:pt idx="18">
                  <c:v>VII.10</c:v>
                </c:pt>
                <c:pt idx="19">
                  <c:v>VIII.10</c:v>
                </c:pt>
                <c:pt idx="20">
                  <c:v>IX.10</c:v>
                </c:pt>
                <c:pt idx="21">
                  <c:v>X.10</c:v>
                </c:pt>
                <c:pt idx="22">
                  <c:v>XI.10</c:v>
                </c:pt>
                <c:pt idx="23">
                  <c:v>XII.10</c:v>
                </c:pt>
                <c:pt idx="24">
                  <c:v>I.11</c:v>
                </c:pt>
                <c:pt idx="25">
                  <c:v>II.11</c:v>
                </c:pt>
                <c:pt idx="26">
                  <c:v>III.11</c:v>
                </c:pt>
                <c:pt idx="27">
                  <c:v>IV.11</c:v>
                </c:pt>
                <c:pt idx="28">
                  <c:v>V.11</c:v>
                </c:pt>
                <c:pt idx="29">
                  <c:v>VI.11</c:v>
                </c:pt>
              </c:strCache>
            </c:strRef>
          </c:cat>
          <c:val>
            <c:numRef>
              <c:f>Sheet1!$N$3:$AQ$3</c:f>
              <c:numCache>
                <c:formatCode>General</c:formatCode>
                <c:ptCount val="30"/>
                <c:pt idx="0">
                  <c:v>6630</c:v>
                </c:pt>
                <c:pt idx="1">
                  <c:v>50129</c:v>
                </c:pt>
                <c:pt idx="2">
                  <c:v>50598</c:v>
                </c:pt>
                <c:pt idx="3">
                  <c:v>50955</c:v>
                </c:pt>
                <c:pt idx="4">
                  <c:v>51389</c:v>
                </c:pt>
                <c:pt idx="5">
                  <c:v>51979</c:v>
                </c:pt>
                <c:pt idx="6">
                  <c:v>52471</c:v>
                </c:pt>
                <c:pt idx="7">
                  <c:v>51957</c:v>
                </c:pt>
                <c:pt idx="8">
                  <c:v>52998</c:v>
                </c:pt>
                <c:pt idx="9">
                  <c:v>53333</c:v>
                </c:pt>
                <c:pt idx="10">
                  <c:v>53732</c:v>
                </c:pt>
                <c:pt idx="11">
                  <c:v>54229</c:v>
                </c:pt>
                <c:pt idx="12" formatCode="#,##0">
                  <c:v>54435</c:v>
                </c:pt>
                <c:pt idx="13" formatCode="#,##0">
                  <c:v>54801</c:v>
                </c:pt>
                <c:pt idx="14">
                  <c:v>55145</c:v>
                </c:pt>
                <c:pt idx="15">
                  <c:v>55569</c:v>
                </c:pt>
                <c:pt idx="16">
                  <c:v>56008</c:v>
                </c:pt>
                <c:pt idx="17" formatCode="#,##0">
                  <c:v>56434</c:v>
                </c:pt>
                <c:pt idx="18">
                  <c:v>56551</c:v>
                </c:pt>
                <c:pt idx="19">
                  <c:v>56042</c:v>
                </c:pt>
                <c:pt idx="20">
                  <c:v>56394</c:v>
                </c:pt>
                <c:pt idx="21">
                  <c:v>56486</c:v>
                </c:pt>
                <c:pt idx="22">
                  <c:v>56577</c:v>
                </c:pt>
                <c:pt idx="23" formatCode="#,##0">
                  <c:v>56756</c:v>
                </c:pt>
                <c:pt idx="24">
                  <c:v>56728</c:v>
                </c:pt>
                <c:pt idx="25">
                  <c:v>56739</c:v>
                </c:pt>
                <c:pt idx="26">
                  <c:v>56830</c:v>
                </c:pt>
                <c:pt idx="27">
                  <c:v>56945</c:v>
                </c:pt>
                <c:pt idx="28">
                  <c:v>56916</c:v>
                </c:pt>
                <c:pt idx="29">
                  <c:v>57162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9853952"/>
        <c:axId val="159855744"/>
      </c:lineChart>
      <c:catAx>
        <c:axId val="1598539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2700000" vert="horz"/>
          <a:lstStyle/>
          <a:p>
            <a:pPr>
              <a:defRPr/>
            </a:pPr>
            <a:endParaRPr lang="sk-SK"/>
          </a:p>
        </c:txPr>
        <c:crossAx val="159855744"/>
        <c:crossesAt val="0"/>
        <c:auto val="1"/>
        <c:lblAlgn val="ctr"/>
        <c:lblOffset val="100"/>
        <c:tickLblSkip val="2"/>
        <c:tickMarkSkip val="1"/>
        <c:noMultiLvlLbl val="0"/>
      </c:catAx>
      <c:valAx>
        <c:axId val="159855744"/>
        <c:scaling>
          <c:orientation val="minMax"/>
          <c:min val="0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59853952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600"/>
            </a:pPr>
            <a:r>
              <a:rPr lang="sk-SK" sz="1600"/>
              <a:t>Vývoj  čerpania finančných prostriedkov na opakované peňažné príspevky na kompenzáciu sociálnych dôsledkov ťažkého zdravotného postihnutia  v €</a:t>
            </a:r>
          </a:p>
        </c:rich>
      </c:tx>
      <c:layout/>
      <c:overlay val="0"/>
    </c:title>
    <c:autoTitleDeleted val="0"/>
    <c:plotArea>
      <c:layout/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PP na kompenzáciu ZN</c:v>
                </c:pt>
              </c:strCache>
            </c:strRef>
          </c:tx>
          <c:cat>
            <c:strRef>
              <c:f>Sheet1!$N$1:$AP$1</c:f>
              <c:strCache>
                <c:ptCount val="29"/>
                <c:pt idx="0">
                  <c:v>I.09</c:v>
                </c:pt>
                <c:pt idx="1">
                  <c:v>II.09</c:v>
                </c:pt>
                <c:pt idx="2">
                  <c:v>III.09</c:v>
                </c:pt>
                <c:pt idx="3">
                  <c:v>IV.09</c:v>
                </c:pt>
                <c:pt idx="4">
                  <c:v>V.09</c:v>
                </c:pt>
                <c:pt idx="5">
                  <c:v>VI.09</c:v>
                </c:pt>
                <c:pt idx="6">
                  <c:v>VII.09</c:v>
                </c:pt>
                <c:pt idx="7">
                  <c:v>VIII.09</c:v>
                </c:pt>
                <c:pt idx="8">
                  <c:v>IX.09</c:v>
                </c:pt>
                <c:pt idx="9">
                  <c:v>X.09</c:v>
                </c:pt>
                <c:pt idx="10">
                  <c:v>XI.09</c:v>
                </c:pt>
                <c:pt idx="11">
                  <c:v>XII.09</c:v>
                </c:pt>
                <c:pt idx="12">
                  <c:v>I.10</c:v>
                </c:pt>
                <c:pt idx="13">
                  <c:v>II.10</c:v>
                </c:pt>
                <c:pt idx="14">
                  <c:v>III.10</c:v>
                </c:pt>
                <c:pt idx="15">
                  <c:v>IV.10</c:v>
                </c:pt>
                <c:pt idx="16">
                  <c:v>VI.10</c:v>
                </c:pt>
                <c:pt idx="17">
                  <c:v>VII.10</c:v>
                </c:pt>
                <c:pt idx="18">
                  <c:v>VIII.10</c:v>
                </c:pt>
                <c:pt idx="19">
                  <c:v>IX.10</c:v>
                </c:pt>
                <c:pt idx="20">
                  <c:v>X.10</c:v>
                </c:pt>
                <c:pt idx="21">
                  <c:v>XI.10</c:v>
                </c:pt>
                <c:pt idx="22">
                  <c:v>XII.10</c:v>
                </c:pt>
                <c:pt idx="23">
                  <c:v>I.11</c:v>
                </c:pt>
                <c:pt idx="24">
                  <c:v>II.11</c:v>
                </c:pt>
                <c:pt idx="25">
                  <c:v>III.11</c:v>
                </c:pt>
                <c:pt idx="26">
                  <c:v>IV.11</c:v>
                </c:pt>
                <c:pt idx="27">
                  <c:v>V.11</c:v>
                </c:pt>
                <c:pt idx="28">
                  <c:v>VI.11</c:v>
                </c:pt>
              </c:strCache>
            </c:strRef>
          </c:cat>
          <c:val>
            <c:numRef>
              <c:f>Sheet1!$N$2:$AP$2</c:f>
              <c:numCache>
                <c:formatCode>General</c:formatCode>
                <c:ptCount val="29"/>
                <c:pt idx="0">
                  <c:v>0</c:v>
                </c:pt>
                <c:pt idx="1">
                  <c:v>3770813</c:v>
                </c:pt>
                <c:pt idx="2">
                  <c:v>3794939</c:v>
                </c:pt>
                <c:pt idx="3">
                  <c:v>3837644</c:v>
                </c:pt>
                <c:pt idx="4">
                  <c:v>3871407</c:v>
                </c:pt>
                <c:pt idx="5">
                  <c:v>3913608</c:v>
                </c:pt>
                <c:pt idx="6">
                  <c:v>3950890</c:v>
                </c:pt>
                <c:pt idx="7">
                  <c:v>3844599</c:v>
                </c:pt>
                <c:pt idx="8">
                  <c:v>4046622</c:v>
                </c:pt>
                <c:pt idx="9">
                  <c:v>4127429</c:v>
                </c:pt>
                <c:pt idx="10">
                  <c:v>4169130</c:v>
                </c:pt>
                <c:pt idx="11">
                  <c:v>4214611</c:v>
                </c:pt>
                <c:pt idx="12" formatCode="#,##0">
                  <c:v>4238767</c:v>
                </c:pt>
                <c:pt idx="13" formatCode="#,##0">
                  <c:v>4270692</c:v>
                </c:pt>
                <c:pt idx="14">
                  <c:v>4302384</c:v>
                </c:pt>
                <c:pt idx="15">
                  <c:v>4331563</c:v>
                </c:pt>
                <c:pt idx="16" formatCode="#,##0">
                  <c:v>4398855</c:v>
                </c:pt>
                <c:pt idx="17" formatCode="#,##0">
                  <c:v>4429023</c:v>
                </c:pt>
                <c:pt idx="18" formatCode="#,##0">
                  <c:v>4310515</c:v>
                </c:pt>
                <c:pt idx="19" formatCode="#,##0">
                  <c:v>4412107.68</c:v>
                </c:pt>
                <c:pt idx="20" formatCode="#,##0">
                  <c:v>4438277</c:v>
                </c:pt>
                <c:pt idx="21" formatCode="#,##0">
                  <c:v>4464290</c:v>
                </c:pt>
                <c:pt idx="22" formatCode="#,##0">
                  <c:v>4488186.26</c:v>
                </c:pt>
                <c:pt idx="23" formatCode="#,##0">
                  <c:v>4503440</c:v>
                </c:pt>
                <c:pt idx="24" formatCode="#,##0">
                  <c:v>4525715</c:v>
                </c:pt>
                <c:pt idx="25" formatCode="#,##0">
                  <c:v>4544115</c:v>
                </c:pt>
                <c:pt idx="26" formatCode="#,##0">
                  <c:v>4561977</c:v>
                </c:pt>
                <c:pt idx="27" formatCode="#,##0">
                  <c:v>4577808</c:v>
                </c:pt>
                <c:pt idx="28" formatCode="#,##0">
                  <c:v>4606319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PP za opatrovanie</c:v>
                </c:pt>
              </c:strCache>
            </c:strRef>
          </c:tx>
          <c:cat>
            <c:strRef>
              <c:f>Sheet1!$N$1:$AP$1</c:f>
              <c:strCache>
                <c:ptCount val="29"/>
                <c:pt idx="0">
                  <c:v>I.09</c:v>
                </c:pt>
                <c:pt idx="1">
                  <c:v>II.09</c:v>
                </c:pt>
                <c:pt idx="2">
                  <c:v>III.09</c:v>
                </c:pt>
                <c:pt idx="3">
                  <c:v>IV.09</c:v>
                </c:pt>
                <c:pt idx="4">
                  <c:v>V.09</c:v>
                </c:pt>
                <c:pt idx="5">
                  <c:v>VI.09</c:v>
                </c:pt>
                <c:pt idx="6">
                  <c:v>VII.09</c:v>
                </c:pt>
                <c:pt idx="7">
                  <c:v>VIII.09</c:v>
                </c:pt>
                <c:pt idx="8">
                  <c:v>IX.09</c:v>
                </c:pt>
                <c:pt idx="9">
                  <c:v>X.09</c:v>
                </c:pt>
                <c:pt idx="10">
                  <c:v>XI.09</c:v>
                </c:pt>
                <c:pt idx="11">
                  <c:v>XII.09</c:v>
                </c:pt>
                <c:pt idx="12">
                  <c:v>I.10</c:v>
                </c:pt>
                <c:pt idx="13">
                  <c:v>II.10</c:v>
                </c:pt>
                <c:pt idx="14">
                  <c:v>III.10</c:v>
                </c:pt>
                <c:pt idx="15">
                  <c:v>IV.10</c:v>
                </c:pt>
                <c:pt idx="16">
                  <c:v>VI.10</c:v>
                </c:pt>
                <c:pt idx="17">
                  <c:v>VII.10</c:v>
                </c:pt>
                <c:pt idx="18">
                  <c:v>VIII.10</c:v>
                </c:pt>
                <c:pt idx="19">
                  <c:v>IX.10</c:v>
                </c:pt>
                <c:pt idx="20">
                  <c:v>X.10</c:v>
                </c:pt>
                <c:pt idx="21">
                  <c:v>XI.10</c:v>
                </c:pt>
                <c:pt idx="22">
                  <c:v>XII.10</c:v>
                </c:pt>
                <c:pt idx="23">
                  <c:v>I.11</c:v>
                </c:pt>
                <c:pt idx="24">
                  <c:v>II.11</c:v>
                </c:pt>
                <c:pt idx="25">
                  <c:v>III.11</c:v>
                </c:pt>
                <c:pt idx="26">
                  <c:v>IV.11</c:v>
                </c:pt>
                <c:pt idx="27">
                  <c:v>V.11</c:v>
                </c:pt>
                <c:pt idx="28">
                  <c:v>VI.11</c:v>
                </c:pt>
              </c:strCache>
            </c:strRef>
          </c:cat>
          <c:val>
            <c:numRef>
              <c:f>Sheet1!$N$3:$AP$3</c:f>
              <c:numCache>
                <c:formatCode>General</c:formatCode>
                <c:ptCount val="29"/>
                <c:pt idx="0">
                  <c:v>832111</c:v>
                </c:pt>
                <c:pt idx="1">
                  <c:v>4942203</c:v>
                </c:pt>
                <c:pt idx="2">
                  <c:v>7077584</c:v>
                </c:pt>
                <c:pt idx="3">
                  <c:v>7286637</c:v>
                </c:pt>
                <c:pt idx="4">
                  <c:v>7342427</c:v>
                </c:pt>
                <c:pt idx="5">
                  <c:v>7445286</c:v>
                </c:pt>
                <c:pt idx="6">
                  <c:v>7517313</c:v>
                </c:pt>
                <c:pt idx="7">
                  <c:v>7422033</c:v>
                </c:pt>
                <c:pt idx="8">
                  <c:v>7593522</c:v>
                </c:pt>
                <c:pt idx="9">
                  <c:v>7643131</c:v>
                </c:pt>
                <c:pt idx="10">
                  <c:v>7705210</c:v>
                </c:pt>
                <c:pt idx="11">
                  <c:v>7778988</c:v>
                </c:pt>
                <c:pt idx="12" formatCode="#,##0">
                  <c:v>7804270</c:v>
                </c:pt>
                <c:pt idx="13" formatCode="#,##0">
                  <c:v>7850183</c:v>
                </c:pt>
                <c:pt idx="14">
                  <c:v>7894363</c:v>
                </c:pt>
                <c:pt idx="15">
                  <c:v>7925162</c:v>
                </c:pt>
                <c:pt idx="16" formatCode="#,##0">
                  <c:v>7999095</c:v>
                </c:pt>
                <c:pt idx="17" formatCode="#,##0">
                  <c:v>8005276</c:v>
                </c:pt>
                <c:pt idx="18" formatCode="#,##0">
                  <c:v>7340841</c:v>
                </c:pt>
                <c:pt idx="19" formatCode="#,##0">
                  <c:v>7387886.9500000002</c:v>
                </c:pt>
                <c:pt idx="20" formatCode="#,##0">
                  <c:v>7390400</c:v>
                </c:pt>
                <c:pt idx="21" formatCode="#,##0">
                  <c:v>7399771</c:v>
                </c:pt>
                <c:pt idx="22" formatCode="#,##0">
                  <c:v>7421453.6399999997</c:v>
                </c:pt>
                <c:pt idx="23" formatCode="#,##0">
                  <c:v>7416502</c:v>
                </c:pt>
                <c:pt idx="24" formatCode="#,##0">
                  <c:v>7416132</c:v>
                </c:pt>
                <c:pt idx="25" formatCode="#,##0">
                  <c:v>7430261</c:v>
                </c:pt>
                <c:pt idx="26" formatCode="#,##0">
                  <c:v>7444317</c:v>
                </c:pt>
                <c:pt idx="27" formatCode="#,##0">
                  <c:v>7435270</c:v>
                </c:pt>
                <c:pt idx="28" formatCode="#,##0">
                  <c:v>7458623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9876992"/>
        <c:axId val="159878528"/>
      </c:lineChart>
      <c:catAx>
        <c:axId val="1598769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2700000" vert="horz"/>
          <a:lstStyle/>
          <a:p>
            <a:pPr>
              <a:defRPr/>
            </a:pPr>
            <a:endParaRPr lang="sk-SK"/>
          </a:p>
        </c:txPr>
        <c:crossAx val="159878528"/>
        <c:crossesAt val="0"/>
        <c:auto val="1"/>
        <c:lblAlgn val="ctr"/>
        <c:lblOffset val="100"/>
        <c:tickLblSkip val="2"/>
        <c:tickMarkSkip val="1"/>
        <c:noMultiLvlLbl val="0"/>
      </c:catAx>
      <c:valAx>
        <c:axId val="159878528"/>
        <c:scaling>
          <c:orientation val="minMax"/>
          <c:max val="8500000"/>
          <c:min val="0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59876992"/>
        <c:crosses val="autoZero"/>
        <c:crossBetween val="between"/>
        <c:majorUnit val="1000000"/>
        <c:minorUnit val="17000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>
              <a:defRPr/>
            </a:pPr>
            <a:r>
              <a:rPr lang="sk-SK" sz="1600"/>
              <a:t>Vývoj  počtu poberateľov dávky v hmotnej núdzi a príspevkov </a:t>
            </a:r>
          </a:p>
          <a:p>
            <a:pPr algn="ctr">
              <a:defRPr/>
            </a:pPr>
            <a:r>
              <a:rPr lang="sk-SK" sz="1600"/>
              <a:t>k dávke, poberateľov DHN a Pkd - uchádzačov o zamestnanie, 
poberateľov DHN a Pkd so základnými životnými podmienkami  </a:t>
            </a:r>
          </a:p>
        </c:rich>
      </c:tx>
      <c:layout>
        <c:manualLayout>
          <c:xMode val="edge"/>
          <c:yMode val="edge"/>
          <c:x val="0.13575432498730575"/>
          <c:y val="1.1176088369070829E-3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1030303030303028"/>
          <c:y val="0.19789473684210546"/>
          <c:w val="0.86084571125663989"/>
          <c:h val="0.6736842105263168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DHN a Pkd</c:v>
                </c:pt>
              </c:strCache>
            </c:strRef>
          </c:tx>
          <c:invertIfNegative val="0"/>
          <c:cat>
            <c:strRef>
              <c:f>Sheet1!$B$1:$S$1</c:f>
              <c:strCache>
                <c:ptCount val="18"/>
                <c:pt idx="0">
                  <c:v>I.10</c:v>
                </c:pt>
                <c:pt idx="1">
                  <c:v>II.10</c:v>
                </c:pt>
                <c:pt idx="2">
                  <c:v>III.10</c:v>
                </c:pt>
                <c:pt idx="3">
                  <c:v>IV.10</c:v>
                </c:pt>
                <c:pt idx="4">
                  <c:v>V.10</c:v>
                </c:pt>
                <c:pt idx="5">
                  <c:v>VI.10</c:v>
                </c:pt>
                <c:pt idx="6">
                  <c:v>VII.10</c:v>
                </c:pt>
                <c:pt idx="7">
                  <c:v>VIII.10</c:v>
                </c:pt>
                <c:pt idx="8">
                  <c:v>IX.10</c:v>
                </c:pt>
                <c:pt idx="9">
                  <c:v>X.10</c:v>
                </c:pt>
                <c:pt idx="10">
                  <c:v>XI.10</c:v>
                </c:pt>
                <c:pt idx="11">
                  <c:v>XII.10</c:v>
                </c:pt>
                <c:pt idx="12">
                  <c:v>I.11</c:v>
                </c:pt>
                <c:pt idx="13">
                  <c:v>II.11</c:v>
                </c:pt>
                <c:pt idx="14">
                  <c:v>III.11</c:v>
                </c:pt>
                <c:pt idx="15">
                  <c:v>IV.11</c:v>
                </c:pt>
                <c:pt idx="16">
                  <c:v>V.11</c:v>
                </c:pt>
                <c:pt idx="17">
                  <c:v>VI.11</c:v>
                </c:pt>
              </c:strCache>
            </c:strRef>
          </c:cat>
          <c:val>
            <c:numRef>
              <c:f>Sheet1!$B$2:$S$2</c:f>
              <c:numCache>
                <c:formatCode>#,##0</c:formatCode>
                <c:ptCount val="18"/>
                <c:pt idx="0">
                  <c:v>181990</c:v>
                </c:pt>
                <c:pt idx="1">
                  <c:v>183328</c:v>
                </c:pt>
                <c:pt idx="2">
                  <c:v>189628</c:v>
                </c:pt>
                <c:pt idx="3" formatCode="General">
                  <c:v>192642</c:v>
                </c:pt>
                <c:pt idx="4" formatCode="General">
                  <c:v>192629</c:v>
                </c:pt>
                <c:pt idx="5">
                  <c:v>191638</c:v>
                </c:pt>
                <c:pt idx="6">
                  <c:v>190920</c:v>
                </c:pt>
                <c:pt idx="7">
                  <c:v>190570</c:v>
                </c:pt>
                <c:pt idx="8">
                  <c:v>191181</c:v>
                </c:pt>
                <c:pt idx="9">
                  <c:v>190762</c:v>
                </c:pt>
                <c:pt idx="10">
                  <c:v>190153</c:v>
                </c:pt>
                <c:pt idx="11">
                  <c:v>190391</c:v>
                </c:pt>
                <c:pt idx="12">
                  <c:v>189903</c:v>
                </c:pt>
                <c:pt idx="13">
                  <c:v>186676</c:v>
                </c:pt>
                <c:pt idx="14">
                  <c:v>188831</c:v>
                </c:pt>
                <c:pt idx="15">
                  <c:v>190013</c:v>
                </c:pt>
                <c:pt idx="16">
                  <c:v>188637</c:v>
                </c:pt>
                <c:pt idx="17">
                  <c:v>187223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DHN a Pkd _UoZ</c:v>
                </c:pt>
              </c:strCache>
            </c:strRef>
          </c:tx>
          <c:invertIfNegative val="0"/>
          <c:cat>
            <c:strRef>
              <c:f>Sheet1!$B$1:$S$1</c:f>
              <c:strCache>
                <c:ptCount val="18"/>
                <c:pt idx="0">
                  <c:v>I.10</c:v>
                </c:pt>
                <c:pt idx="1">
                  <c:v>II.10</c:v>
                </c:pt>
                <c:pt idx="2">
                  <c:v>III.10</c:v>
                </c:pt>
                <c:pt idx="3">
                  <c:v>IV.10</c:v>
                </c:pt>
                <c:pt idx="4">
                  <c:v>V.10</c:v>
                </c:pt>
                <c:pt idx="5">
                  <c:v>VI.10</c:v>
                </c:pt>
                <c:pt idx="6">
                  <c:v>VII.10</c:v>
                </c:pt>
                <c:pt idx="7">
                  <c:v>VIII.10</c:v>
                </c:pt>
                <c:pt idx="8">
                  <c:v>IX.10</c:v>
                </c:pt>
                <c:pt idx="9">
                  <c:v>X.10</c:v>
                </c:pt>
                <c:pt idx="10">
                  <c:v>XI.10</c:v>
                </c:pt>
                <c:pt idx="11">
                  <c:v>XII.10</c:v>
                </c:pt>
                <c:pt idx="12">
                  <c:v>I.11</c:v>
                </c:pt>
                <c:pt idx="13">
                  <c:v>II.11</c:v>
                </c:pt>
                <c:pt idx="14">
                  <c:v>III.11</c:v>
                </c:pt>
                <c:pt idx="15">
                  <c:v>IV.11</c:v>
                </c:pt>
                <c:pt idx="16">
                  <c:v>V.11</c:v>
                </c:pt>
                <c:pt idx="17">
                  <c:v>VI.11</c:v>
                </c:pt>
              </c:strCache>
            </c:strRef>
          </c:cat>
          <c:val>
            <c:numRef>
              <c:f>Sheet1!$B$3:$S$3</c:f>
              <c:numCache>
                <c:formatCode>#,##0</c:formatCode>
                <c:ptCount val="18"/>
                <c:pt idx="0">
                  <c:v>116615</c:v>
                </c:pt>
                <c:pt idx="1">
                  <c:v>119629</c:v>
                </c:pt>
                <c:pt idx="2">
                  <c:v>123807</c:v>
                </c:pt>
                <c:pt idx="3" formatCode="General">
                  <c:v>126459</c:v>
                </c:pt>
                <c:pt idx="4" formatCode="General">
                  <c:v>126395</c:v>
                </c:pt>
                <c:pt idx="5">
                  <c:v>125117</c:v>
                </c:pt>
                <c:pt idx="6">
                  <c:v>124383</c:v>
                </c:pt>
                <c:pt idx="7">
                  <c:v>124241</c:v>
                </c:pt>
                <c:pt idx="8">
                  <c:v>124695</c:v>
                </c:pt>
                <c:pt idx="9">
                  <c:v>124209</c:v>
                </c:pt>
                <c:pt idx="10">
                  <c:v>123720</c:v>
                </c:pt>
                <c:pt idx="11">
                  <c:v>125041</c:v>
                </c:pt>
                <c:pt idx="12">
                  <c:v>125299</c:v>
                </c:pt>
                <c:pt idx="13">
                  <c:v>126564</c:v>
                </c:pt>
                <c:pt idx="14">
                  <c:v>127900</c:v>
                </c:pt>
                <c:pt idx="15">
                  <c:v>129097</c:v>
                </c:pt>
                <c:pt idx="16">
                  <c:v>128030</c:v>
                </c:pt>
                <c:pt idx="17">
                  <c:v>126526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DHN a Pkd _ZŽP</c:v>
                </c:pt>
              </c:strCache>
            </c:strRef>
          </c:tx>
          <c:invertIfNegative val="0"/>
          <c:cat>
            <c:strRef>
              <c:f>Sheet1!$B$1:$S$1</c:f>
              <c:strCache>
                <c:ptCount val="18"/>
                <c:pt idx="0">
                  <c:v>I.10</c:v>
                </c:pt>
                <c:pt idx="1">
                  <c:v>II.10</c:v>
                </c:pt>
                <c:pt idx="2">
                  <c:v>III.10</c:v>
                </c:pt>
                <c:pt idx="3">
                  <c:v>IV.10</c:v>
                </c:pt>
                <c:pt idx="4">
                  <c:v>V.10</c:v>
                </c:pt>
                <c:pt idx="5">
                  <c:v>VI.10</c:v>
                </c:pt>
                <c:pt idx="6">
                  <c:v>VII.10</c:v>
                </c:pt>
                <c:pt idx="7">
                  <c:v>VIII.10</c:v>
                </c:pt>
                <c:pt idx="8">
                  <c:v>IX.10</c:v>
                </c:pt>
                <c:pt idx="9">
                  <c:v>X.10</c:v>
                </c:pt>
                <c:pt idx="10">
                  <c:v>XI.10</c:v>
                </c:pt>
                <c:pt idx="11">
                  <c:v>XII.10</c:v>
                </c:pt>
                <c:pt idx="12">
                  <c:v>I.11</c:v>
                </c:pt>
                <c:pt idx="13">
                  <c:v>II.11</c:v>
                </c:pt>
                <c:pt idx="14">
                  <c:v>III.11</c:v>
                </c:pt>
                <c:pt idx="15">
                  <c:v>IV.11</c:v>
                </c:pt>
                <c:pt idx="16">
                  <c:v>V.11</c:v>
                </c:pt>
                <c:pt idx="17">
                  <c:v>VI.11</c:v>
                </c:pt>
              </c:strCache>
            </c:strRef>
          </c:cat>
          <c:val>
            <c:numRef>
              <c:f>Sheet1!$B$4:$S$4</c:f>
              <c:numCache>
                <c:formatCode>#,##0</c:formatCode>
                <c:ptCount val="18"/>
                <c:pt idx="0">
                  <c:v>57344</c:v>
                </c:pt>
                <c:pt idx="1">
                  <c:v>60439</c:v>
                </c:pt>
                <c:pt idx="2">
                  <c:v>62422</c:v>
                </c:pt>
                <c:pt idx="3" formatCode="General">
                  <c:v>62671</c:v>
                </c:pt>
                <c:pt idx="4" formatCode="General">
                  <c:v>60999</c:v>
                </c:pt>
                <c:pt idx="5">
                  <c:v>58499</c:v>
                </c:pt>
                <c:pt idx="6">
                  <c:v>57566</c:v>
                </c:pt>
                <c:pt idx="7">
                  <c:v>57870</c:v>
                </c:pt>
                <c:pt idx="8">
                  <c:v>58341</c:v>
                </c:pt>
                <c:pt idx="9">
                  <c:v>57779</c:v>
                </c:pt>
                <c:pt idx="10">
                  <c:v>56920</c:v>
                </c:pt>
                <c:pt idx="11">
                  <c:v>57154</c:v>
                </c:pt>
                <c:pt idx="12">
                  <c:v>59267</c:v>
                </c:pt>
                <c:pt idx="13">
                  <c:v>62764</c:v>
                </c:pt>
                <c:pt idx="14">
                  <c:v>62379</c:v>
                </c:pt>
                <c:pt idx="15">
                  <c:v>62282</c:v>
                </c:pt>
                <c:pt idx="16">
                  <c:v>60242</c:v>
                </c:pt>
                <c:pt idx="17">
                  <c:v>45625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3529600"/>
        <c:axId val="93531136"/>
      </c:barChart>
      <c:catAx>
        <c:axId val="935296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2700000" vert="horz"/>
          <a:lstStyle/>
          <a:p>
            <a:pPr>
              <a:defRPr/>
            </a:pPr>
            <a:endParaRPr lang="sk-SK"/>
          </a:p>
        </c:txPr>
        <c:crossAx val="93531136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93531136"/>
        <c:scaling>
          <c:orientation val="minMax"/>
          <c:min val="0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93529600"/>
        <c:crosses val="autoZero"/>
        <c:crossBetween val="between"/>
        <c:majorUnit val="30000"/>
      </c:valAx>
    </c:plotArea>
    <c:legend>
      <c:legendPos val="b"/>
      <c:layout>
        <c:manualLayout>
          <c:xMode val="edge"/>
          <c:yMode val="edge"/>
          <c:x val="0.27365215587833536"/>
          <c:y val="0.95109421667119198"/>
          <c:w val="0.45269568824332923"/>
          <c:h val="4.6999125109361328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sk-SK" sz="1600"/>
              <a:t>Percentuálne zastúpenie jednotlivých skupín poberateľov dávky a príspevkov v hmotnej núdzi v mesiaci jún 2011</a:t>
            </a:r>
          </a:p>
        </c:rich>
      </c:tx>
      <c:layout>
        <c:manualLayout>
          <c:xMode val="edge"/>
          <c:yMode val="edge"/>
          <c:x val="0.13960149125503457"/>
          <c:y val="3.6815806187491871E-3"/>
        </c:manualLayout>
      </c:layout>
      <c:overlay val="0"/>
    </c:title>
    <c:autoTitleDeleted val="0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79303937007874"/>
          <c:y val="0.37264984734051099"/>
          <c:w val="0.65774923134608176"/>
          <c:h val="0.42144150348553372"/>
        </c:manualLayout>
      </c:layout>
      <c:pie3DChart>
        <c:varyColors val="1"/>
        <c:ser>
          <c:idx val="1"/>
          <c:order val="0"/>
          <c:tx>
            <c:strRef>
              <c:f>Sheet1!$A$2</c:f>
              <c:strCache>
                <c:ptCount val="1"/>
                <c:pt idx="0">
                  <c:v>VI.11</c:v>
                </c:pt>
              </c:strCache>
            </c:strRef>
          </c:tx>
          <c:dPt>
            <c:idx val="0"/>
            <c:bubble3D val="0"/>
            <c:explosion val="29"/>
          </c:dPt>
          <c:dPt>
            <c:idx val="2"/>
            <c:bubble3D val="0"/>
          </c:dPt>
          <c:dPt>
            <c:idx val="3"/>
            <c:bubble3D val="0"/>
          </c:dPt>
          <c:dPt>
            <c:idx val="4"/>
            <c:bubble3D val="0"/>
          </c:dPt>
          <c:dPt>
            <c:idx val="5"/>
            <c:bubble3D val="0"/>
          </c:dPt>
          <c:dLbls>
            <c:dLbl>
              <c:idx val="0"/>
              <c:layout>
                <c:manualLayout>
                  <c:x val="8.6918945556830746E-2"/>
                  <c:y val="9.3313854780390296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0.29596412556053808"/>
                  <c:y val="0.20366012487075488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7.4738415545590473E-3"/>
                  <c:y val="0.1715928974787243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7.5735039600657314E-3"/>
                  <c:y val="-0.1064620692081321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9.2072208693801519E-2"/>
                  <c:y val="-0.16371509614619881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0.26058689771598592"/>
                  <c:y val="-5.1116709187575354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numFmt formatCode="0%" sourceLinked="0"/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Sheet1!$B$1:$G$1</c:f>
              <c:strCache>
                <c:ptCount val="6"/>
                <c:pt idx="0">
                  <c:v>jednotlivec</c:v>
                </c:pt>
                <c:pt idx="1">
                  <c:v>jednotlivec s 1-4 deťmi</c:v>
                </c:pt>
                <c:pt idx="2">
                  <c:v>jednotlivec s viac ako 4 deťmi</c:v>
                </c:pt>
                <c:pt idx="3">
                  <c:v>dvojica</c:v>
                </c:pt>
                <c:pt idx="4">
                  <c:v>dvojica s 1-4 deťmi</c:v>
                </c:pt>
                <c:pt idx="5">
                  <c:v>dvojica s viac ako 4 deťmi</c:v>
                </c:pt>
              </c:strCache>
            </c:strRef>
          </c:cat>
          <c:val>
            <c:numRef>
              <c:f>Sheet1!$B$2:$G$2</c:f>
              <c:numCache>
                <c:formatCode>#,##0</c:formatCode>
                <c:ptCount val="6"/>
                <c:pt idx="0">
                  <c:v>116372</c:v>
                </c:pt>
                <c:pt idx="1">
                  <c:v>20168</c:v>
                </c:pt>
                <c:pt idx="2">
                  <c:v>402</c:v>
                </c:pt>
                <c:pt idx="3">
                  <c:v>14544</c:v>
                </c:pt>
                <c:pt idx="4">
                  <c:v>30199</c:v>
                </c:pt>
                <c:pt idx="5">
                  <c:v>5538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</c:strCache>
            </c:strRef>
          </c:tx>
          <c:dPt>
            <c:idx val="0"/>
            <c:bubble3D val="0"/>
          </c:dPt>
          <c:dPt>
            <c:idx val="1"/>
            <c:bubble3D val="0"/>
          </c:dPt>
          <c:dPt>
            <c:idx val="3"/>
            <c:bubble3D val="0"/>
          </c:dPt>
          <c:dPt>
            <c:idx val="4"/>
            <c:bubble3D val="0"/>
          </c:dPt>
          <c:dPt>
            <c:idx val="5"/>
            <c:bubble3D val="0"/>
          </c:dPt>
          <c:dLbls>
            <c:numFmt formatCode="0%" sourceLinked="0"/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Sheet1!$B$1:$G$1</c:f>
              <c:strCache>
                <c:ptCount val="6"/>
                <c:pt idx="0">
                  <c:v>jednotlivec</c:v>
                </c:pt>
                <c:pt idx="1">
                  <c:v>jednotlivec s 1-4 deťmi</c:v>
                </c:pt>
                <c:pt idx="2">
                  <c:v>jednotlivec s viac ako 4 deťmi</c:v>
                </c:pt>
                <c:pt idx="3">
                  <c:v>dvojica</c:v>
                </c:pt>
                <c:pt idx="4">
                  <c:v>dvojica s 1-4 deťmi</c:v>
                </c:pt>
                <c:pt idx="5">
                  <c:v>dvojica s viac ako 4 deťmi</c:v>
                </c:pt>
              </c:strCache>
            </c:strRef>
          </c:cat>
          <c:val>
            <c:numRef>
              <c:f>Sheet1!$B$3:$G$3</c:f>
              <c:numCache>
                <c:formatCode>General</c:formatCode>
                <c:ptCount val="6"/>
              </c:numCache>
            </c:numRef>
          </c:val>
        </c:ser>
        <c:ser>
          <c:idx val="0"/>
          <c:order val="2"/>
          <c:tx>
            <c:strRef>
              <c:f>Sheet1!$A$4</c:f>
              <c:strCache>
                <c:ptCount val="1"/>
              </c:strCache>
            </c:strRef>
          </c:tx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Pt>
            <c:idx val="4"/>
            <c:bubble3D val="0"/>
          </c:dPt>
          <c:dPt>
            <c:idx val="5"/>
            <c:bubble3D val="0"/>
          </c:dPt>
          <c:dLbls>
            <c:numFmt formatCode="0%" sourceLinked="0"/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Sheet1!$B$1:$G$1</c:f>
              <c:strCache>
                <c:ptCount val="6"/>
                <c:pt idx="0">
                  <c:v>jednotlivec</c:v>
                </c:pt>
                <c:pt idx="1">
                  <c:v>jednotlivec s 1-4 deťmi</c:v>
                </c:pt>
                <c:pt idx="2">
                  <c:v>jednotlivec s viac ako 4 deťmi</c:v>
                </c:pt>
                <c:pt idx="3">
                  <c:v>dvojica</c:v>
                </c:pt>
                <c:pt idx="4">
                  <c:v>dvojica s 1-4 deťmi</c:v>
                </c:pt>
                <c:pt idx="5">
                  <c:v>dvojica s viac ako 4 deťmi</c:v>
                </c:pt>
              </c:strCache>
            </c:strRef>
          </c:cat>
          <c:val>
            <c:numRef>
              <c:f>Sheet1!$B$4:$G$4</c:f>
              <c:numCache>
                <c:formatCode>General</c:formatCode>
                <c:ptCount val="6"/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</c:strCache>
            </c:strRef>
          </c:tx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4"/>
            <c:bubble3D val="0"/>
          </c:dPt>
          <c:dPt>
            <c:idx val="5"/>
            <c:bubble3D val="0"/>
          </c:dPt>
          <c:dLbls>
            <c:numFmt formatCode="0%" sourceLinked="0"/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Sheet1!$B$1:$G$1</c:f>
              <c:strCache>
                <c:ptCount val="6"/>
                <c:pt idx="0">
                  <c:v>jednotlivec</c:v>
                </c:pt>
                <c:pt idx="1">
                  <c:v>jednotlivec s 1-4 deťmi</c:v>
                </c:pt>
                <c:pt idx="2">
                  <c:v>jednotlivec s viac ako 4 deťmi</c:v>
                </c:pt>
                <c:pt idx="3">
                  <c:v>dvojica</c:v>
                </c:pt>
                <c:pt idx="4">
                  <c:v>dvojica s 1-4 deťmi</c:v>
                </c:pt>
                <c:pt idx="5">
                  <c:v>dvojica s viac ako 4 deťmi</c:v>
                </c:pt>
              </c:strCache>
            </c:strRef>
          </c:cat>
          <c:val>
            <c:numRef>
              <c:f>Sheet1!$B$5:$G$5</c:f>
              <c:numCache>
                <c:formatCode>General</c:formatCode>
                <c:ptCount val="6"/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</c:strCache>
            </c:strRef>
          </c:tx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Pt>
            <c:idx val="5"/>
            <c:bubble3D val="0"/>
          </c:dPt>
          <c:dLbls>
            <c:numFmt formatCode="0%" sourceLinked="0"/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Sheet1!$B$1:$G$1</c:f>
              <c:strCache>
                <c:ptCount val="6"/>
                <c:pt idx="0">
                  <c:v>jednotlivec</c:v>
                </c:pt>
                <c:pt idx="1">
                  <c:v>jednotlivec s 1-4 deťmi</c:v>
                </c:pt>
                <c:pt idx="2">
                  <c:v>jednotlivec s viac ako 4 deťmi</c:v>
                </c:pt>
                <c:pt idx="3">
                  <c:v>dvojica</c:v>
                </c:pt>
                <c:pt idx="4">
                  <c:v>dvojica s 1-4 deťmi</c:v>
                </c:pt>
                <c:pt idx="5">
                  <c:v>dvojica s viac ako 4 deťmi</c:v>
                </c:pt>
              </c:strCache>
            </c:strRef>
          </c:cat>
          <c:val>
            <c:numRef>
              <c:f>Sheet1!$B$6:$G$6</c:f>
              <c:numCache>
                <c:formatCode>General</c:formatCode>
                <c:ptCount val="6"/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</c:strCache>
            </c:strRef>
          </c:tx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Pt>
            <c:idx val="4"/>
            <c:bubble3D val="0"/>
          </c:dPt>
          <c:dLbls>
            <c:numFmt formatCode="0%" sourceLinked="0"/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Sheet1!$B$1:$G$1</c:f>
              <c:strCache>
                <c:ptCount val="6"/>
                <c:pt idx="0">
                  <c:v>jednotlivec</c:v>
                </c:pt>
                <c:pt idx="1">
                  <c:v>jednotlivec s 1-4 deťmi</c:v>
                </c:pt>
                <c:pt idx="2">
                  <c:v>jednotlivec s viac ako 4 deťmi</c:v>
                </c:pt>
                <c:pt idx="3">
                  <c:v>dvojica</c:v>
                </c:pt>
                <c:pt idx="4">
                  <c:v>dvojica s 1-4 deťmi</c:v>
                </c:pt>
                <c:pt idx="5">
                  <c:v>dvojica s viac ako 4 deťmi</c:v>
                </c:pt>
              </c:strCache>
            </c:strRef>
          </c:cat>
          <c:val>
            <c:numRef>
              <c:f>Sheet1!$B$7:$G$7</c:f>
              <c:numCache>
                <c:formatCode>General</c:formatCode>
                <c:ptCount val="6"/>
              </c:numCache>
            </c:numRef>
          </c:val>
        </c:ser>
        <c:ser>
          <c:idx val="6"/>
          <c:order val="6"/>
          <c:tx>
            <c:strRef>
              <c:f>Sheet1!$A$8</c:f>
              <c:strCache>
                <c:ptCount val="1"/>
              </c:strCache>
            </c:strRef>
          </c:tx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Pt>
            <c:idx val="4"/>
            <c:bubble3D val="0"/>
          </c:dPt>
          <c:dPt>
            <c:idx val="5"/>
            <c:bubble3D val="0"/>
          </c:dPt>
          <c:dLbls>
            <c:numFmt formatCode="0%" sourceLinked="0"/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Sheet1!$B$1:$G$1</c:f>
              <c:strCache>
                <c:ptCount val="6"/>
                <c:pt idx="0">
                  <c:v>jednotlivec</c:v>
                </c:pt>
                <c:pt idx="1">
                  <c:v>jednotlivec s 1-4 deťmi</c:v>
                </c:pt>
                <c:pt idx="2">
                  <c:v>jednotlivec s viac ako 4 deťmi</c:v>
                </c:pt>
                <c:pt idx="3">
                  <c:v>dvojica</c:v>
                </c:pt>
                <c:pt idx="4">
                  <c:v>dvojica s 1-4 deťmi</c:v>
                </c:pt>
                <c:pt idx="5">
                  <c:v>dvojica s viac ako 4 deťmi</c:v>
                </c:pt>
              </c:strCache>
            </c:strRef>
          </c:cat>
          <c:val>
            <c:numRef>
              <c:f>Sheet1!$B$8:$G$8</c:f>
              <c:numCache>
                <c:formatCode>General</c:formatCode>
                <c:ptCount val="6"/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zero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sk-SK" sz="1600" b="1" i="0" baseline="0">
                <a:effectLst/>
              </a:rPr>
              <a:t>Vývoj  počtu poberateľov dávky v hmotnej núdzi a príspevkov </a:t>
            </a: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sk-SK" sz="1600" b="1" i="0" baseline="0">
                <a:effectLst/>
              </a:rPr>
              <a:t>k dávke so spoločne posudzovanými osobami</a:t>
            </a:r>
            <a:endParaRPr lang="sk-SK" sz="16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sk-SK" sz="1600"/>
              <a:t> v mesiaci jún 2011</a:t>
            </a:r>
            <a:r>
              <a:rPr lang="sk-SK"/>
              <a:t>
</a:t>
            </a:r>
          </a:p>
        </c:rich>
      </c:tx>
      <c:layout>
        <c:manualLayout>
          <c:xMode val="edge"/>
          <c:yMode val="edge"/>
          <c:x val="0.12827588700172809"/>
          <c:y val="2.9938434308858929E-3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0344827586206895"/>
          <c:y val="0.17411764705882354"/>
          <c:w val="0.81517241379310401"/>
          <c:h val="0.52235294117647058"/>
        </c:manualLayout>
      </c:layout>
      <c:barChart>
        <c:barDir val="col"/>
        <c:grouping val="clustered"/>
        <c:varyColors val="0"/>
        <c:ser>
          <c:idx val="3"/>
          <c:order val="0"/>
          <c:tx>
            <c:strRef>
              <c:f>Sheet1!$A$2</c:f>
              <c:strCache>
                <c:ptCount val="1"/>
                <c:pt idx="0">
                  <c:v>VI.11</c:v>
                </c:pt>
              </c:strCache>
            </c:strRef>
          </c:tx>
          <c:invertIfNegative val="0"/>
          <c:cat>
            <c:strRef>
              <c:f>Sheet1!$B$1:$I$1</c:f>
              <c:strCache>
                <c:ptCount val="8"/>
                <c:pt idx="0">
                  <c:v>Bratislavský kraj</c:v>
                </c:pt>
                <c:pt idx="1">
                  <c:v>Trenčiansky kraj</c:v>
                </c:pt>
                <c:pt idx="2">
                  <c:v>Trnavský kraj</c:v>
                </c:pt>
                <c:pt idx="3">
                  <c:v>Žilinnský kraj</c:v>
                </c:pt>
                <c:pt idx="4">
                  <c:v>Nitriansky kraj</c:v>
                </c:pt>
                <c:pt idx="5">
                  <c:v>Banskobystrický kraj</c:v>
                </c:pt>
                <c:pt idx="6">
                  <c:v>Prešovský kraj</c:v>
                </c:pt>
                <c:pt idx="7">
                  <c:v>Košický kraj</c:v>
                </c:pt>
              </c:strCache>
            </c:strRef>
          </c:cat>
          <c:val>
            <c:numRef>
              <c:f>Sheet1!$B$2:$I$2</c:f>
              <c:numCache>
                <c:formatCode>#,##0</c:formatCode>
                <c:ptCount val="8"/>
                <c:pt idx="0">
                  <c:v>6604</c:v>
                </c:pt>
                <c:pt idx="1">
                  <c:v>17677</c:v>
                </c:pt>
                <c:pt idx="2">
                  <c:v>20949</c:v>
                </c:pt>
                <c:pt idx="3">
                  <c:v>25740</c:v>
                </c:pt>
                <c:pt idx="4">
                  <c:v>43054</c:v>
                </c:pt>
                <c:pt idx="5">
                  <c:v>71204</c:v>
                </c:pt>
                <c:pt idx="6">
                  <c:v>89456</c:v>
                </c:pt>
                <c:pt idx="7">
                  <c:v>92645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11802624"/>
        <c:axId val="124731392"/>
      </c:barChart>
      <c:catAx>
        <c:axId val="1118026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2700000" vert="horz"/>
          <a:lstStyle/>
          <a:p>
            <a:pPr>
              <a:defRPr/>
            </a:pPr>
            <a:endParaRPr lang="sk-SK"/>
          </a:p>
        </c:txPr>
        <c:crossAx val="124731392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124731392"/>
        <c:scaling>
          <c:orientation val="minMax"/>
          <c:max val="100000"/>
          <c:min val="0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11802624"/>
        <c:crosses val="autoZero"/>
        <c:crossBetween val="between"/>
        <c:majorUnit val="10000"/>
        <c:minorUnit val="200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sk-SK" sz="1600"/>
              <a:t>Vývoj  počtu poberateľov dávky v hmotnej núdzi a príspevkov k dávke so spoločne posudzovanými osobami</a:t>
            </a:r>
          </a:p>
        </c:rich>
      </c:tx>
      <c:layout>
        <c:manualLayout>
          <c:xMode val="edge"/>
          <c:yMode val="edge"/>
          <c:x val="0.11362534165987873"/>
          <c:y val="4.0442313131911124E-4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0540540540540548"/>
          <c:y val="0.16818181818181818"/>
          <c:w val="0.81351351351351364"/>
          <c:h val="0.6204545454545457"/>
        </c:manualLayout>
      </c:layout>
      <c:lineChart>
        <c:grouping val="standard"/>
        <c:varyColors val="0"/>
        <c:ser>
          <c:idx val="2"/>
          <c:order val="0"/>
          <c:tx>
            <c:strRef>
              <c:f>Sheet1!$A$2</c:f>
              <c:strCache>
                <c:ptCount val="1"/>
                <c:pt idx="0">
                  <c:v>rok 2011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Sheet1!$B$2:$M$2</c:f>
              <c:numCache>
                <c:formatCode>#,##0</c:formatCode>
                <c:ptCount val="12"/>
                <c:pt idx="0">
                  <c:v>373954</c:v>
                </c:pt>
                <c:pt idx="1">
                  <c:v>371769</c:v>
                </c:pt>
                <c:pt idx="2">
                  <c:v>371518</c:v>
                </c:pt>
                <c:pt idx="3">
                  <c:v>373188</c:v>
                </c:pt>
                <c:pt idx="4">
                  <c:v>370223</c:v>
                </c:pt>
                <c:pt idx="5">
                  <c:v>367329</c:v>
                </c:pt>
              </c:numCache>
            </c:numRef>
          </c:val>
          <c:smooth val="0"/>
        </c:ser>
        <c:ser>
          <c:idx val="3"/>
          <c:order val="1"/>
          <c:tx>
            <c:strRef>
              <c:f>Sheet1!$A$3</c:f>
              <c:strCache>
                <c:ptCount val="1"/>
                <c:pt idx="0">
                  <c:v>rok 2007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Sheet1!$B$3:$M$3</c:f>
              <c:numCache>
                <c:formatCode>#,##0</c:formatCode>
                <c:ptCount val="12"/>
                <c:pt idx="0">
                  <c:v>403855</c:v>
                </c:pt>
                <c:pt idx="1">
                  <c:v>403254</c:v>
                </c:pt>
                <c:pt idx="2">
                  <c:v>403875</c:v>
                </c:pt>
                <c:pt idx="3">
                  <c:v>401191</c:v>
                </c:pt>
                <c:pt idx="4">
                  <c:v>393390</c:v>
                </c:pt>
                <c:pt idx="5">
                  <c:v>386314</c:v>
                </c:pt>
                <c:pt idx="6">
                  <c:v>377241</c:v>
                </c:pt>
                <c:pt idx="7" formatCode="General">
                  <c:v>355262</c:v>
                </c:pt>
                <c:pt idx="8" formatCode="General">
                  <c:v>357326</c:v>
                </c:pt>
                <c:pt idx="9" formatCode="General">
                  <c:v>351692</c:v>
                </c:pt>
                <c:pt idx="10" formatCode="General">
                  <c:v>349461</c:v>
                </c:pt>
                <c:pt idx="11" formatCode="General">
                  <c:v>347522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rok 2008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Sheet1!$B$4:$M$4</c:f>
              <c:numCache>
                <c:formatCode>#,##0</c:formatCode>
                <c:ptCount val="12"/>
                <c:pt idx="0">
                  <c:v>341831</c:v>
                </c:pt>
                <c:pt idx="1">
                  <c:v>340602</c:v>
                </c:pt>
                <c:pt idx="2">
                  <c:v>338516</c:v>
                </c:pt>
                <c:pt idx="3" formatCode="General">
                  <c:v>333581</c:v>
                </c:pt>
                <c:pt idx="4" formatCode="General">
                  <c:v>328293</c:v>
                </c:pt>
                <c:pt idx="5" formatCode="General">
                  <c:v>317985</c:v>
                </c:pt>
                <c:pt idx="6" formatCode="General">
                  <c:v>317975</c:v>
                </c:pt>
                <c:pt idx="7" formatCode="General">
                  <c:v>288757</c:v>
                </c:pt>
                <c:pt idx="8" formatCode="General">
                  <c:v>288158</c:v>
                </c:pt>
                <c:pt idx="9" formatCode="General">
                  <c:v>286276</c:v>
                </c:pt>
                <c:pt idx="10" formatCode="General">
                  <c:v>286334</c:v>
                </c:pt>
                <c:pt idx="11" formatCode="General">
                  <c:v>288382</c:v>
                </c:pt>
              </c:numCache>
            </c:numRef>
          </c:val>
          <c:smooth val="0"/>
        </c:ser>
        <c:ser>
          <c:idx val="1"/>
          <c:order val="3"/>
          <c:tx>
            <c:strRef>
              <c:f>Sheet1!$A$5</c:f>
              <c:strCache>
                <c:ptCount val="1"/>
                <c:pt idx="0">
                  <c:v>rok 2009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Sheet1!$B$5:$M$5</c:f>
              <c:numCache>
                <c:formatCode>General</c:formatCode>
                <c:ptCount val="12"/>
                <c:pt idx="0">
                  <c:v>295003</c:v>
                </c:pt>
                <c:pt idx="1">
                  <c:v>284065</c:v>
                </c:pt>
                <c:pt idx="2">
                  <c:v>300301</c:v>
                </c:pt>
                <c:pt idx="3">
                  <c:v>310970</c:v>
                </c:pt>
                <c:pt idx="4">
                  <c:v>316656</c:v>
                </c:pt>
                <c:pt idx="5">
                  <c:v>321257</c:v>
                </c:pt>
                <c:pt idx="6">
                  <c:v>325904</c:v>
                </c:pt>
                <c:pt idx="7">
                  <c:v>330199</c:v>
                </c:pt>
                <c:pt idx="8">
                  <c:v>335093</c:v>
                </c:pt>
                <c:pt idx="9">
                  <c:v>337008</c:v>
                </c:pt>
                <c:pt idx="10">
                  <c:v>343039</c:v>
                </c:pt>
                <c:pt idx="11">
                  <c:v>352164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rok 2010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Sheet1!$B$6:$M$6</c:f>
              <c:numCache>
                <c:formatCode>#,##0</c:formatCode>
                <c:ptCount val="12"/>
                <c:pt idx="0">
                  <c:v>355985</c:v>
                </c:pt>
                <c:pt idx="1">
                  <c:v>360946</c:v>
                </c:pt>
                <c:pt idx="2">
                  <c:v>372209</c:v>
                </c:pt>
                <c:pt idx="3">
                  <c:v>377916</c:v>
                </c:pt>
                <c:pt idx="4">
                  <c:v>378551</c:v>
                </c:pt>
                <c:pt idx="5">
                  <c:v>377205</c:v>
                </c:pt>
                <c:pt idx="6">
                  <c:v>375548</c:v>
                </c:pt>
                <c:pt idx="7">
                  <c:v>374151</c:v>
                </c:pt>
                <c:pt idx="8">
                  <c:v>375269</c:v>
                </c:pt>
                <c:pt idx="9" formatCode="General">
                  <c:v>374862</c:v>
                </c:pt>
                <c:pt idx="10">
                  <c:v>374444</c:v>
                </c:pt>
                <c:pt idx="11">
                  <c:v>375839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8973056"/>
        <c:axId val="129306624"/>
      </c:lineChart>
      <c:catAx>
        <c:axId val="1289730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2700000" vert="horz"/>
          <a:lstStyle/>
          <a:p>
            <a:pPr>
              <a:defRPr/>
            </a:pPr>
            <a:endParaRPr lang="sk-SK"/>
          </a:p>
        </c:txPr>
        <c:crossAx val="12930662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29306624"/>
        <c:scaling>
          <c:orientation val="minMax"/>
          <c:min val="270000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28973056"/>
        <c:crosses val="autoZero"/>
        <c:crossBetween val="between"/>
        <c:majorUnit val="30000"/>
      </c:valAx>
    </c:plotArea>
    <c:legend>
      <c:legendPos val="b"/>
      <c:layout>
        <c:manualLayout>
          <c:xMode val="edge"/>
          <c:yMode val="edge"/>
          <c:x val="0.16981996560774731"/>
          <c:y val="0.93957255343082113"/>
          <c:w val="0.66035992397502041"/>
          <c:h val="6.0427446569178853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sk-SK" sz="1600"/>
              <a:t>Podiel  počtu poberateľov dávky v hmotnej núdzi a príspevkov k dávke so spoločne posudzovanými osobami z počtu obyvateľov SR</a:t>
            </a:r>
          </a:p>
        </c:rich>
      </c:tx>
      <c:layout/>
      <c:overlay val="0"/>
    </c:title>
    <c:autoTitleDeleted val="0"/>
    <c:plotArea>
      <c:layout/>
      <c:lineChart>
        <c:grouping val="standard"/>
        <c:varyColors val="0"/>
        <c:ser>
          <c:idx val="2"/>
          <c:order val="0"/>
          <c:tx>
            <c:strRef>
              <c:f>Sheet1!$A$2</c:f>
              <c:strCache>
                <c:ptCount val="1"/>
                <c:pt idx="0">
                  <c:v>rok 2011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>
                  <c:v>6.9099999999999995E-2</c:v>
                </c:pt>
                <c:pt idx="1">
                  <c:v>6.8500000000000005E-2</c:v>
                </c:pt>
                <c:pt idx="2">
                  <c:v>6.8500000000000005E-2</c:v>
                </c:pt>
                <c:pt idx="3">
                  <c:v>6.9000000000000006E-2</c:v>
                </c:pt>
                <c:pt idx="4">
                  <c:v>6.8400000000000002E-2</c:v>
                </c:pt>
                <c:pt idx="5">
                  <c:v>6.7900000000000002E-2</c:v>
                </c:pt>
              </c:numCache>
            </c:numRef>
          </c:val>
          <c:smooth val="0"/>
        </c:ser>
        <c:ser>
          <c:idx val="3"/>
          <c:order val="1"/>
          <c:tx>
            <c:strRef>
              <c:f>Sheet1!$A$3</c:f>
              <c:strCache>
                <c:ptCount val="1"/>
                <c:pt idx="0">
                  <c:v>rok 2007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>
                  <c:v>7.4899999999999994E-2</c:v>
                </c:pt>
                <c:pt idx="1">
                  <c:v>7.4800000000000005E-2</c:v>
                </c:pt>
                <c:pt idx="2">
                  <c:v>7.4899999999999994E-2</c:v>
                </c:pt>
                <c:pt idx="3">
                  <c:v>7.4399999999999994E-2</c:v>
                </c:pt>
                <c:pt idx="4">
                  <c:v>7.2900000000000006E-2</c:v>
                </c:pt>
                <c:pt idx="5">
                  <c:v>7.1599999999999997E-2</c:v>
                </c:pt>
                <c:pt idx="6">
                  <c:v>6.9900000000000004E-2</c:v>
                </c:pt>
                <c:pt idx="7">
                  <c:v>6.59E-2</c:v>
                </c:pt>
                <c:pt idx="8">
                  <c:v>6.6299999999999998E-2</c:v>
                </c:pt>
                <c:pt idx="9">
                  <c:v>6.5199999999999994E-2</c:v>
                </c:pt>
                <c:pt idx="10">
                  <c:v>6.4799999999999996E-2</c:v>
                </c:pt>
                <c:pt idx="11">
                  <c:v>6.4500000000000002E-2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rok 2008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Sheet1!$B$4:$M$4</c:f>
              <c:numCache>
                <c:formatCode>General</c:formatCode>
                <c:ptCount val="12"/>
                <c:pt idx="0">
                  <c:v>6.3399999999999998E-2</c:v>
                </c:pt>
                <c:pt idx="1">
                  <c:v>6.3100000000000003E-2</c:v>
                </c:pt>
                <c:pt idx="2">
                  <c:v>6.2700000000000006E-2</c:v>
                </c:pt>
                <c:pt idx="3">
                  <c:v>6.1800000000000001E-2</c:v>
                </c:pt>
                <c:pt idx="4">
                  <c:v>6.08E-2</c:v>
                </c:pt>
                <c:pt idx="5">
                  <c:v>5.8900000000000001E-2</c:v>
                </c:pt>
                <c:pt idx="6">
                  <c:v>5.74E-2</c:v>
                </c:pt>
                <c:pt idx="7">
                  <c:v>5.3499999999999999E-2</c:v>
                </c:pt>
                <c:pt idx="8">
                  <c:v>5.3400000000000003E-2</c:v>
                </c:pt>
                <c:pt idx="9">
                  <c:v>5.2999999999999999E-2</c:v>
                </c:pt>
                <c:pt idx="10">
                  <c:v>5.2999999999999999E-2</c:v>
                </c:pt>
                <c:pt idx="11">
                  <c:v>5.3400000000000003E-2</c:v>
                </c:pt>
              </c:numCache>
            </c:numRef>
          </c:val>
          <c:smooth val="0"/>
        </c:ser>
        <c:ser>
          <c:idx val="1"/>
          <c:order val="3"/>
          <c:tx>
            <c:strRef>
              <c:f>Sheet1!$A$5</c:f>
              <c:strCache>
                <c:ptCount val="1"/>
                <c:pt idx="0">
                  <c:v>rok 2009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Sheet1!$B$5:$M$5</c:f>
              <c:numCache>
                <c:formatCode>General</c:formatCode>
                <c:ptCount val="12"/>
                <c:pt idx="0">
                  <c:v>5.45E-2</c:v>
                </c:pt>
                <c:pt idx="1">
                  <c:v>5.2499999999999998E-2</c:v>
                </c:pt>
                <c:pt idx="2">
                  <c:v>5.5500000000000001E-2</c:v>
                </c:pt>
                <c:pt idx="3">
                  <c:v>5.7500000000000002E-2</c:v>
                </c:pt>
                <c:pt idx="4">
                  <c:v>5.8500000000000003E-2</c:v>
                </c:pt>
                <c:pt idx="5">
                  <c:v>5.9400000000000001E-2</c:v>
                </c:pt>
                <c:pt idx="6">
                  <c:v>6.0199999999999997E-2</c:v>
                </c:pt>
                <c:pt idx="7">
                  <c:v>6.0999999999999999E-2</c:v>
                </c:pt>
                <c:pt idx="8">
                  <c:v>6.1899999999999997E-2</c:v>
                </c:pt>
                <c:pt idx="9">
                  <c:v>6.2300000000000001E-2</c:v>
                </c:pt>
                <c:pt idx="10">
                  <c:v>6.3399999999999998E-2</c:v>
                </c:pt>
                <c:pt idx="11">
                  <c:v>6.5100000000000005E-2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rok 2010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Sheet1!$B$6:$M$6</c:f>
              <c:numCache>
                <c:formatCode>General</c:formatCode>
                <c:ptCount val="12"/>
                <c:pt idx="0">
                  <c:v>6.5799999999999997E-2</c:v>
                </c:pt>
                <c:pt idx="1">
                  <c:v>6.6699999999999995E-2</c:v>
                </c:pt>
                <c:pt idx="2">
                  <c:v>6.88E-2</c:v>
                </c:pt>
                <c:pt idx="3">
                  <c:v>6.9800000000000001E-2</c:v>
                </c:pt>
                <c:pt idx="4">
                  <c:v>6.9900000000000004E-2</c:v>
                </c:pt>
                <c:pt idx="5">
                  <c:v>6.9699999999999998E-2</c:v>
                </c:pt>
                <c:pt idx="6">
                  <c:v>6.9400000000000003E-2</c:v>
                </c:pt>
                <c:pt idx="7">
                  <c:v>6.9099999999999995E-2</c:v>
                </c:pt>
                <c:pt idx="8">
                  <c:v>6.93E-2</c:v>
                </c:pt>
                <c:pt idx="9">
                  <c:v>6.93E-2</c:v>
                </c:pt>
                <c:pt idx="10">
                  <c:v>6.9199999999999998E-2</c:v>
                </c:pt>
                <c:pt idx="11">
                  <c:v>6.9400000000000003E-2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9321984"/>
        <c:axId val="129327872"/>
      </c:lineChart>
      <c:catAx>
        <c:axId val="1293219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 rot="-2700000" vert="horz"/>
          <a:lstStyle/>
          <a:p>
            <a:pPr>
              <a:defRPr/>
            </a:pPr>
            <a:endParaRPr lang="sk-SK"/>
          </a:p>
        </c:txPr>
        <c:crossAx val="129327872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129327872"/>
        <c:scaling>
          <c:orientation val="minMax"/>
          <c:max val="8.0000000000000043E-2"/>
          <c:min val="0.05"/>
        </c:scaling>
        <c:delete val="0"/>
        <c:axPos val="l"/>
        <c:majorGridlines/>
        <c:numFmt formatCode="0.0%" sourceLinked="0"/>
        <c:majorTickMark val="none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29321984"/>
        <c:crosses val="autoZero"/>
        <c:crossBetween val="between"/>
        <c:majorUnit val="5.0000000000000044E-3"/>
        <c:minorUnit val="5.0000000000000044E-3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sk-SK"/>
              <a:t>Vývoj  čerpania finančných prostriedkov na dávku
 v hmotnej núdzi a príspevky k dávke  v  €</a:t>
            </a:r>
          </a:p>
        </c:rich>
      </c:tx>
      <c:layout>
        <c:manualLayout>
          <c:xMode val="edge"/>
          <c:yMode val="edge"/>
          <c:x val="0.23243243243243286"/>
          <c:y val="2.0454545454545451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3243243243243283"/>
          <c:y val="0.16818181818181818"/>
          <c:w val="0.78648648648648645"/>
          <c:h val="0.55681818181818177"/>
        </c:manualLayout>
      </c:layout>
      <c:lineChart>
        <c:grouping val="standard"/>
        <c:varyColors val="0"/>
        <c:ser>
          <c:idx val="2"/>
          <c:order val="0"/>
          <c:tx>
            <c:strRef>
              <c:f>Sheet1!$A$2</c:f>
              <c:strCache>
                <c:ptCount val="1"/>
                <c:pt idx="0">
                  <c:v>rok 2011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Sheet1!$B$2:$M$2</c:f>
              <c:numCache>
                <c:formatCode>#,##0</c:formatCode>
                <c:ptCount val="12"/>
                <c:pt idx="0">
                  <c:v>23596913</c:v>
                </c:pt>
                <c:pt idx="1">
                  <c:v>23061141</c:v>
                </c:pt>
                <c:pt idx="2">
                  <c:v>23089920</c:v>
                </c:pt>
                <c:pt idx="3">
                  <c:v>23154598</c:v>
                </c:pt>
                <c:pt idx="4">
                  <c:v>23039950</c:v>
                </c:pt>
                <c:pt idx="5">
                  <c:v>22800357</c:v>
                </c:pt>
              </c:numCache>
            </c:numRef>
          </c:val>
          <c:smooth val="0"/>
        </c:ser>
        <c:ser>
          <c:idx val="3"/>
          <c:order val="1"/>
          <c:tx>
            <c:strRef>
              <c:f>Sheet1!$A$3</c:f>
              <c:strCache>
                <c:ptCount val="1"/>
                <c:pt idx="0">
                  <c:v>rok 2007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Sheet1!$B$3:$M$3</c:f>
              <c:numCache>
                <c:formatCode>#,##0</c:formatCode>
                <c:ptCount val="12"/>
                <c:pt idx="0">
                  <c:v>22799675</c:v>
                </c:pt>
                <c:pt idx="1">
                  <c:v>22399057</c:v>
                </c:pt>
                <c:pt idx="2">
                  <c:v>22792438</c:v>
                </c:pt>
                <c:pt idx="3">
                  <c:v>22735013</c:v>
                </c:pt>
                <c:pt idx="4">
                  <c:v>22247460</c:v>
                </c:pt>
                <c:pt idx="5">
                  <c:v>21820222</c:v>
                </c:pt>
                <c:pt idx="6">
                  <c:v>21110967</c:v>
                </c:pt>
                <c:pt idx="7">
                  <c:v>20017825</c:v>
                </c:pt>
                <c:pt idx="8">
                  <c:v>20118569</c:v>
                </c:pt>
                <c:pt idx="9">
                  <c:v>20265253</c:v>
                </c:pt>
                <c:pt idx="10">
                  <c:v>20199362</c:v>
                </c:pt>
                <c:pt idx="11">
                  <c:v>19450773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rok 2008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Sheet1!$B$4:$M$4</c:f>
              <c:numCache>
                <c:formatCode>#,##0</c:formatCode>
                <c:ptCount val="12"/>
                <c:pt idx="0">
                  <c:v>19450773</c:v>
                </c:pt>
                <c:pt idx="1">
                  <c:v>19159331</c:v>
                </c:pt>
                <c:pt idx="2">
                  <c:v>19137556</c:v>
                </c:pt>
                <c:pt idx="3">
                  <c:v>18870544</c:v>
                </c:pt>
                <c:pt idx="4">
                  <c:v>18652758</c:v>
                </c:pt>
                <c:pt idx="5">
                  <c:v>16889531</c:v>
                </c:pt>
                <c:pt idx="6">
                  <c:v>16512746</c:v>
                </c:pt>
                <c:pt idx="7">
                  <c:v>15335258</c:v>
                </c:pt>
                <c:pt idx="8">
                  <c:v>15227909</c:v>
                </c:pt>
                <c:pt idx="9">
                  <c:v>16213902</c:v>
                </c:pt>
                <c:pt idx="10">
                  <c:v>16264157</c:v>
                </c:pt>
                <c:pt idx="11">
                  <c:v>15822280</c:v>
                </c:pt>
              </c:numCache>
            </c:numRef>
          </c:val>
          <c:smooth val="0"/>
        </c:ser>
        <c:ser>
          <c:idx val="1"/>
          <c:order val="3"/>
          <c:tx>
            <c:strRef>
              <c:f>Sheet1!$A$5</c:f>
              <c:strCache>
                <c:ptCount val="1"/>
                <c:pt idx="0">
                  <c:v>rok 2009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Sheet1!$B$5:$M$5</c:f>
              <c:numCache>
                <c:formatCode>General</c:formatCode>
                <c:ptCount val="12"/>
                <c:pt idx="0" formatCode="#,##0">
                  <c:v>16043562</c:v>
                </c:pt>
                <c:pt idx="1">
                  <c:v>16763043</c:v>
                </c:pt>
                <c:pt idx="2">
                  <c:v>17654921</c:v>
                </c:pt>
                <c:pt idx="3">
                  <c:v>18304378</c:v>
                </c:pt>
                <c:pt idx="4" formatCode="#,##0">
                  <c:v>18848499.710000001</c:v>
                </c:pt>
                <c:pt idx="5" formatCode="#,##0">
                  <c:v>19289873</c:v>
                </c:pt>
                <c:pt idx="6" formatCode="#,##0">
                  <c:v>19604384</c:v>
                </c:pt>
                <c:pt idx="7">
                  <c:v>19825119</c:v>
                </c:pt>
                <c:pt idx="8">
                  <c:v>20097126</c:v>
                </c:pt>
                <c:pt idx="9">
                  <c:v>21222739</c:v>
                </c:pt>
                <c:pt idx="10">
                  <c:v>21564643</c:v>
                </c:pt>
                <c:pt idx="11">
                  <c:v>22135887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rok 2010</c:v>
                </c:pt>
              </c:strCache>
            </c:strRef>
          </c:tx>
          <c:cat>
            <c:strRef>
              <c:f>Sheet1!$B$1:$M$1</c:f>
              <c:strCache>
                <c:ptCount val="12"/>
                <c:pt idx="0">
                  <c:v>Január </c:v>
                </c:pt>
                <c:pt idx="1">
                  <c:v>Február</c:v>
                </c:pt>
                <c:pt idx="2">
                  <c:v>Marec</c:v>
                </c:pt>
                <c:pt idx="3">
                  <c:v>Appríl</c:v>
                </c:pt>
                <c:pt idx="4">
                  <c:v>Máj</c:v>
                </c:pt>
                <c:pt idx="5">
                  <c:v>Jún</c:v>
                </c:pt>
                <c:pt idx="6">
                  <c:v>Júl</c:v>
                </c:pt>
                <c:pt idx="7">
                  <c:v>August</c:v>
                </c:pt>
                <c:pt idx="8">
                  <c:v>September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Sheet1!$B$6:$M$6</c:f>
              <c:numCache>
                <c:formatCode>#,##0</c:formatCode>
                <c:ptCount val="12"/>
                <c:pt idx="0">
                  <c:v>22437658</c:v>
                </c:pt>
                <c:pt idx="1">
                  <c:v>22455773</c:v>
                </c:pt>
                <c:pt idx="2">
                  <c:v>23188906</c:v>
                </c:pt>
                <c:pt idx="3" formatCode="General">
                  <c:v>23666971</c:v>
                </c:pt>
                <c:pt idx="4" formatCode="General">
                  <c:v>23809389</c:v>
                </c:pt>
                <c:pt idx="5">
                  <c:v>23841849</c:v>
                </c:pt>
                <c:pt idx="6">
                  <c:v>23746415</c:v>
                </c:pt>
                <c:pt idx="7">
                  <c:v>23610303</c:v>
                </c:pt>
                <c:pt idx="8">
                  <c:v>23654795</c:v>
                </c:pt>
                <c:pt idx="9">
                  <c:v>23635327</c:v>
                </c:pt>
                <c:pt idx="10">
                  <c:v>23637746</c:v>
                </c:pt>
                <c:pt idx="11">
                  <c:v>23715818.210000001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9347584"/>
        <c:axId val="129349120"/>
      </c:lineChart>
      <c:catAx>
        <c:axId val="1293475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2700000" vert="horz"/>
          <a:lstStyle/>
          <a:p>
            <a:pPr>
              <a:defRPr/>
            </a:pPr>
            <a:endParaRPr lang="sk-SK"/>
          </a:p>
        </c:txPr>
        <c:crossAx val="129349120"/>
        <c:crossesAt val="14000000"/>
        <c:auto val="1"/>
        <c:lblAlgn val="ctr"/>
        <c:lblOffset val="100"/>
        <c:tickLblSkip val="1"/>
        <c:tickMarkSkip val="1"/>
        <c:noMultiLvlLbl val="0"/>
      </c:catAx>
      <c:valAx>
        <c:axId val="129349120"/>
        <c:scaling>
          <c:orientation val="minMax"/>
          <c:max val="25000000"/>
          <c:min val="14000000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29347584"/>
        <c:crosses val="autoZero"/>
        <c:crossBetween val="between"/>
        <c:majorUnit val="1000000"/>
        <c:minorUnit val="100000"/>
      </c:valAx>
    </c:plotArea>
    <c:legend>
      <c:legendPos val="b"/>
      <c:layout>
        <c:manualLayout>
          <c:xMode val="edge"/>
          <c:yMode val="edge"/>
          <c:x val="0.17702702702702716"/>
          <c:y val="0.93181818181818177"/>
          <c:w val="0.6959459459459455"/>
          <c:h val="5.9090909090909124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title>
      <c:tx>
        <c:rich>
          <a:bodyPr/>
          <a:lstStyle/>
          <a:p>
            <a:pPr>
              <a:defRPr/>
            </a:pPr>
            <a:r>
              <a:rPr lang="sk-SK" sz="1600"/>
              <a:t>Vývoj  počtu poberateľov  resocializačného príspevku</a:t>
            </a:r>
          </a:p>
        </c:rich>
      </c:tx>
      <c:layout/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Resocializačný príspevok</c:v>
                </c:pt>
              </c:strCache>
            </c:strRef>
          </c:tx>
          <c:cat>
            <c:strRef>
              <c:f>Sheet1!$N$1:$AQ$1</c:f>
              <c:strCache>
                <c:ptCount val="30"/>
                <c:pt idx="0">
                  <c:v>I.09</c:v>
                </c:pt>
                <c:pt idx="1">
                  <c:v>II.09</c:v>
                </c:pt>
                <c:pt idx="2">
                  <c:v>III.09</c:v>
                </c:pt>
                <c:pt idx="3">
                  <c:v>IV.09</c:v>
                </c:pt>
                <c:pt idx="4">
                  <c:v>V.09</c:v>
                </c:pt>
                <c:pt idx="5">
                  <c:v>VI.09</c:v>
                </c:pt>
                <c:pt idx="6">
                  <c:v>VII.09</c:v>
                </c:pt>
                <c:pt idx="7">
                  <c:v>VIII.09</c:v>
                </c:pt>
                <c:pt idx="8">
                  <c:v>IX.09</c:v>
                </c:pt>
                <c:pt idx="9">
                  <c:v>X.09</c:v>
                </c:pt>
                <c:pt idx="10">
                  <c:v>XI.09</c:v>
                </c:pt>
                <c:pt idx="11">
                  <c:v>XII.09</c:v>
                </c:pt>
                <c:pt idx="12">
                  <c:v>I.10</c:v>
                </c:pt>
                <c:pt idx="13">
                  <c:v>II.10</c:v>
                </c:pt>
                <c:pt idx="14">
                  <c:v>III.10</c:v>
                </c:pt>
                <c:pt idx="15">
                  <c:v>IV.10</c:v>
                </c:pt>
                <c:pt idx="16">
                  <c:v>V.10</c:v>
                </c:pt>
                <c:pt idx="17">
                  <c:v>VI.10</c:v>
                </c:pt>
                <c:pt idx="18">
                  <c:v>VII.10</c:v>
                </c:pt>
                <c:pt idx="19">
                  <c:v>VIII.10</c:v>
                </c:pt>
                <c:pt idx="20">
                  <c:v>IX.10</c:v>
                </c:pt>
                <c:pt idx="21">
                  <c:v>X.10</c:v>
                </c:pt>
                <c:pt idx="22">
                  <c:v>XI.10</c:v>
                </c:pt>
                <c:pt idx="23">
                  <c:v>XII.10</c:v>
                </c:pt>
                <c:pt idx="24">
                  <c:v>I.11</c:v>
                </c:pt>
                <c:pt idx="25">
                  <c:v>II.11</c:v>
                </c:pt>
                <c:pt idx="26">
                  <c:v>III.11</c:v>
                </c:pt>
                <c:pt idx="27">
                  <c:v>IV.11</c:v>
                </c:pt>
                <c:pt idx="28">
                  <c:v>V.11</c:v>
                </c:pt>
                <c:pt idx="29">
                  <c:v>VI.</c:v>
                </c:pt>
              </c:strCache>
            </c:strRef>
          </c:cat>
          <c:val>
            <c:numRef>
              <c:f>Sheet1!$N$2:$AQ$2</c:f>
              <c:numCache>
                <c:formatCode>General</c:formatCode>
                <c:ptCount val="30"/>
                <c:pt idx="0">
                  <c:v>183</c:v>
                </c:pt>
                <c:pt idx="1">
                  <c:v>193</c:v>
                </c:pt>
                <c:pt idx="2">
                  <c:v>231</c:v>
                </c:pt>
                <c:pt idx="3">
                  <c:v>168</c:v>
                </c:pt>
                <c:pt idx="4">
                  <c:v>206</c:v>
                </c:pt>
                <c:pt idx="5">
                  <c:v>249</c:v>
                </c:pt>
                <c:pt idx="6">
                  <c:v>200</c:v>
                </c:pt>
                <c:pt idx="7">
                  <c:v>198</c:v>
                </c:pt>
                <c:pt idx="8">
                  <c:v>205</c:v>
                </c:pt>
                <c:pt idx="9">
                  <c:v>207</c:v>
                </c:pt>
                <c:pt idx="10">
                  <c:v>195</c:v>
                </c:pt>
                <c:pt idx="11">
                  <c:v>213</c:v>
                </c:pt>
                <c:pt idx="12">
                  <c:v>205</c:v>
                </c:pt>
                <c:pt idx="13">
                  <c:v>193</c:v>
                </c:pt>
                <c:pt idx="14">
                  <c:v>244</c:v>
                </c:pt>
                <c:pt idx="15">
                  <c:v>226</c:v>
                </c:pt>
                <c:pt idx="16">
                  <c:v>229</c:v>
                </c:pt>
                <c:pt idx="17">
                  <c:v>250</c:v>
                </c:pt>
                <c:pt idx="18">
                  <c:v>224</c:v>
                </c:pt>
                <c:pt idx="19">
                  <c:v>219</c:v>
                </c:pt>
                <c:pt idx="20">
                  <c:v>267</c:v>
                </c:pt>
                <c:pt idx="21">
                  <c:v>245</c:v>
                </c:pt>
                <c:pt idx="22">
                  <c:v>251</c:v>
                </c:pt>
                <c:pt idx="23">
                  <c:v>277</c:v>
                </c:pt>
                <c:pt idx="24">
                  <c:v>200</c:v>
                </c:pt>
                <c:pt idx="25">
                  <c:v>219</c:v>
                </c:pt>
                <c:pt idx="26">
                  <c:v>287</c:v>
                </c:pt>
                <c:pt idx="27">
                  <c:v>260</c:v>
                </c:pt>
                <c:pt idx="28">
                  <c:v>287</c:v>
                </c:pt>
                <c:pt idx="29">
                  <c:v>259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9468288"/>
        <c:axId val="129469824"/>
      </c:lineChart>
      <c:catAx>
        <c:axId val="1294682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2700000" vert="horz"/>
          <a:lstStyle/>
          <a:p>
            <a:pPr>
              <a:defRPr/>
            </a:pPr>
            <a:endParaRPr lang="sk-SK"/>
          </a:p>
        </c:txPr>
        <c:crossAx val="129469824"/>
        <c:crossesAt val="0"/>
        <c:auto val="1"/>
        <c:lblAlgn val="ctr"/>
        <c:lblOffset val="100"/>
        <c:tickLblSkip val="2"/>
        <c:tickMarkSkip val="1"/>
        <c:noMultiLvlLbl val="0"/>
      </c:catAx>
      <c:valAx>
        <c:axId val="129469824"/>
        <c:scaling>
          <c:orientation val="minMax"/>
          <c:max val="450"/>
          <c:min val="0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txPr>
          <a:bodyPr rot="0" vert="horz"/>
          <a:lstStyle/>
          <a:p>
            <a:pPr>
              <a:defRPr/>
            </a:pPr>
            <a:endParaRPr lang="sk-SK"/>
          </a:p>
        </c:txPr>
        <c:crossAx val="129468288"/>
        <c:crosses val="autoZero"/>
        <c:crossBetween val="between"/>
        <c:majorUnit val="50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EAD58-FADE-4DB8-ABC5-2E9FDC30D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12</Pages>
  <Words>68</Words>
  <Characters>848</Characters>
  <Application>Microsoft Office Word</Application>
  <DocSecurity>0</DocSecurity>
  <Lines>7</Lines>
  <Paragraphs>1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GRNUP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filadelfiova</dc:creator>
  <cp:keywords/>
  <dc:description/>
  <cp:lastModifiedBy>lakota</cp:lastModifiedBy>
  <cp:revision>3</cp:revision>
  <cp:lastPrinted>2011-02-28T08:43:00Z</cp:lastPrinted>
  <dcterms:created xsi:type="dcterms:W3CDTF">2011-07-14T09:11:00Z</dcterms:created>
  <dcterms:modified xsi:type="dcterms:W3CDTF">2011-07-14T11:31:00Z</dcterms:modified>
</cp:coreProperties>
</file>