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</w:t>
      </w:r>
      <w:r>
        <w:rPr>
          <w:sz w:val="22"/>
        </w:rPr>
        <w:tab/>
        <w:t xml:space="preserve">               Vybavuje                              Bratislava</w:t>
      </w:r>
    </w:p>
    <w:p>
      <w:pPr>
        <w:tabs>
          <w:tab w:val="left" w:pos="1985"/>
          <w:tab w:val="left" w:pos="5103"/>
          <w:tab w:val="left" w:pos="7938"/>
        </w:tabs>
      </w:pPr>
      <w:r>
        <w:t xml:space="preserve">                         BA1/RSK/ZAM/2024/69224-2024/323227       Mgr. Vaculčiaková</w:t>
      </w:r>
      <w:r>
        <w:tab/>
        <w:t xml:space="preserve">        03.07.2024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  <w:t>Július Erik Bunda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13.11.2003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 xml:space="preserve">Fialková 16, 900 42 Dunajská Lužná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</w:r>
      <w:proofErr w:type="spellStart"/>
      <w:r>
        <w:t>Dvojkrížna</w:t>
      </w:r>
      <w:proofErr w:type="spellEnd"/>
      <w:r>
        <w:t xml:space="preserve"> 6, 821 07 Bratislava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Výzva účastníkovi konania - číslo BA1/RSK/ZAM/</w:t>
      </w:r>
      <w:r>
        <w:t xml:space="preserve">2024/69224-2024/323227       </w:t>
      </w:r>
      <w:r>
        <w:t>zo dňa 24.06</w:t>
      </w:r>
      <w:bookmarkStart w:id="0" w:name="_GoBack"/>
      <w:bookmarkEnd w:id="0"/>
      <w:r>
        <w:t>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riaditeľka OSZ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03.07.2024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18.07.2024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Vaculčiaková Lucia</cp:lastModifiedBy>
  <cp:revision>2</cp:revision>
  <cp:lastPrinted>2024-07-03T11:30:00Z</cp:lastPrinted>
  <dcterms:created xsi:type="dcterms:W3CDTF">2024-07-03T11:31:00Z</dcterms:created>
  <dcterms:modified xsi:type="dcterms:W3CDTF">2024-07-03T11:31:00Z</dcterms:modified>
</cp:coreProperties>
</file>