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Odsekzoznamu"/>
        <w:tabs>
          <w:tab w:val="left" w:pos="1703"/>
        </w:tabs>
        <w:spacing w:after="120" w:line="240" w:lineRule="auto"/>
        <w:ind w:left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>
      <w:pPr>
        <w:pStyle w:val="Odsekzoznamu"/>
        <w:spacing w:after="120" w:line="240" w:lineRule="auto"/>
        <w:ind w:left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Odsekzoznamu"/>
        <w:spacing w:after="120" w:line="240" w:lineRule="auto"/>
        <w:ind w:left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ÚRAD PRÁCE, SOCIÁLNYCH VECÍ A RODINY  BRATISLAVA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ANALÝZA A PROGNÓZA O VÝVOJI TRHU PRÁCE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územnom obvode úradu práce, sociálnych vecí a rodiny podľa § 13 ods. 1 písm. y) zákona č. 5/2004 Z. z. o službách zamestnanosti a o zmene a doplnení niektorých zákonov v znení neskorších predpisov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Odsekzoznamu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Analýza trhu práce </w:t>
      </w:r>
      <w:r>
        <w:rPr>
          <w:rFonts w:ascii="Times New Roman" w:hAnsi="Times New Roman" w:cs="Times New Roman"/>
          <w:sz w:val="24"/>
          <w:szCs w:val="24"/>
        </w:rPr>
        <w:t>(ďalej len „TP“)</w:t>
      </w:r>
      <w:r>
        <w:rPr>
          <w:rFonts w:ascii="Times New Roman" w:hAnsi="Times New Roman" w:cs="Times New Roman"/>
          <w:b/>
          <w:sz w:val="24"/>
          <w:szCs w:val="24"/>
        </w:rPr>
        <w:t xml:space="preserve"> a zhodnotenie uplatňovania AOTP</w:t>
      </w:r>
      <w:r>
        <w:rPr>
          <w:rFonts w:ascii="Times New Roman" w:hAnsi="Times New Roman" w:cs="Times New Roman"/>
          <w:sz w:val="24"/>
          <w:szCs w:val="24"/>
        </w:rPr>
        <w:t xml:space="preserve"> (vrátane projektov a programov) </w:t>
      </w:r>
      <w:r>
        <w:rPr>
          <w:rFonts w:ascii="Times New Roman" w:hAnsi="Times New Roman" w:cs="Times New Roman"/>
          <w:b/>
          <w:sz w:val="24"/>
          <w:szCs w:val="24"/>
        </w:rPr>
        <w:t>v územnom obvode úradu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práce, sociálnych vecí a rodiny</w:t>
      </w:r>
      <w:r>
        <w:rPr>
          <w:rFonts w:ascii="Times New Roman" w:hAnsi="Times New Roman" w:cs="Times New Roman"/>
          <w:sz w:val="24"/>
          <w:szCs w:val="24"/>
        </w:rPr>
        <w:t xml:space="preserve"> (ďalej len „úrad“) </w:t>
      </w:r>
      <w:r>
        <w:rPr>
          <w:rFonts w:ascii="Times New Roman" w:hAnsi="Times New Roman" w:cs="Times New Roman"/>
          <w:b/>
          <w:sz w:val="24"/>
          <w:szCs w:val="24"/>
        </w:rPr>
        <w:t>za rok 2025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6238875" cy="5043344"/>
            <wp:effectExtent l="0" t="0" r="0" b="508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251" cy="504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Odsekzoznamu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Prognóza vývoja TP (určenie a kvantifikácia hlavných cieľov) a uplatňovania AOTP v územnom obvode úradu pre rok 2026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Vývoj trhu práce je ovplyvnený hospodárskou situáciou, demografickými zmenami, technologickým pokrokom a politikou štátu v oblasti zamestnanosti. 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Trh práce v Bratislave sa vyznačuje najmä:</w:t>
      </w:r>
    </w:p>
    <w:p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nízkou mierou nezamestnanosti,</w:t>
      </w:r>
    </w:p>
    <w:p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vysokou koncentráciou pracovných miest v sektore služieb,</w:t>
      </w:r>
    </w:p>
    <w:p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vysokým dopytom po kvalifikovanej pracovnej sile.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Medzi najvýznamnejšie sektory zamestnanosti v Bratislave patria najmä informačné technológie, finančné služby, obchod, administratíva, logistika a stavebníctvo.</w:t>
      </w:r>
    </w:p>
    <w:p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Prognóza vývoja trhu práce v roku 2026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Predpokladá sa, že trh práce v Bratislave bude v roku 2026 relatívne stabilný, avšak ovplyvnený viacerými ekonomickými a spoločenskými faktormi.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Ekonomické faktory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Ekonomický rast Slovenska môže v roku 2026 mierne spomaliť, čo môže ovplyvniť aj tempo vytvárania nových pracovných miest. Niektoré podniky budú pri nábore zamestnancov opatrnejšie, najmä v dôsledku rastu nákladov a neistoty na medzinárodných trhoch.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Nedostatok kvalifikovanej pracovnej sily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Aj napriek stabilnej situácii na trhu práce pretrváva nedostatok kvalifikovaných pracovníkov. Zamestnávatelia najčastejšie hľadajú odborníkov v oblastiach:</w:t>
      </w:r>
    </w:p>
    <w:p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informačné technológie,</w:t>
      </w:r>
    </w:p>
    <w:p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technické a inžinierske profesie,</w:t>
      </w:r>
    </w:p>
    <w:p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zdravotníctvo,</w:t>
      </w:r>
    </w:p>
    <w:p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stavebníctvo a remeslá.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Tento problém môže viesť k zvýšenej potrebe rekvalifikácie a ďalšieho vzdelávania pracovníkov.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Demografické zmeny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Významným faktorom ovplyvňujúcim trh práce je demografický vývoj. Populácia Slovenska starne a počet ľudí v produktívnom veku postupne klesá. Tento trend môže v budúcnosti spôsobiť nedostatok pracovnej sily, najmä v niektorých profesiách.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Technologické zmeny a digitalizácia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Technologický pokrok, automatizácia, digitalizácia a vplyv umelej inteligencie menia charakter mnohých pracovných pozícií. Rastie dopyt po pracovníkoch s digitálnymi zručnosťami, schopnosťou pracovať s modernými technológiami a analyzovať dáta. Naopak, niektoré rutinné pracovné činnosti môžu postupne zaniknúť alebo sa výrazne transformovať. 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Hlavným cieľom Aktívnej politiky na trhu práce (AOTP) je pomôcť uchádzačom o zamestnanie nájsť si pracovné miesto a zároveň podporiť zamestnávateľov pri vytváraní nových pracovných príležitostí.</w:t>
      </w:r>
    </w:p>
    <w:p>
      <w:pPr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Uplatňovanie AOTP v Bratislave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Dôležitú úlohu zohrávajú najmä:</w:t>
      </w:r>
    </w:p>
    <w:p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rekvalifikačné programy,</w:t>
      </w:r>
    </w:p>
    <w:p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zamestnávania absolventov,</w:t>
      </w:r>
    </w:p>
    <w:p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podpora mobility pracovníkov. </w:t>
      </w:r>
    </w:p>
    <w:p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Medzi hlavné výzvy patrí nedostatok kvalifikovanej pracovnej sily a potreba prispôsobiť pracovnú silu novým požiadavkám trhu práce.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Politika aktívnych opatrení trhu práce zohráva dôležitú úlohu pri riešení týchto problémov. Prostredníctvom rekvalifikácií, finančných príspevkov a podpory zamestnanosti pomáha zvyšovať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zamestnateľnosť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obyvateľstva a podporuje rozvoj pracovného trhu.</w:t>
      </w:r>
    </w:p>
    <w:p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Nástroje aktívnej politiky trhu práce sú  významný mechanizmus podpory zamestnanosti, pričom osobitný dôraz sa kladie na rekvalifikáciu uchádzačov o zamestnanie, podporu zamestnávania absolventov a zvyšovanie mobility pracovnej sily. </w:t>
      </w:r>
    </w:p>
    <w:p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Významnú úlohu v tejto oblasti zohrávajú projekty zamerané na rozvoj pracovných zručností, predovšetkým národný projekt „Zručnosti pre trh práce“. V roku 2026 bude zároveň realizovaný aj projekt „Pripravený na prácu v priemysle“, ktorý bude orientovaný na odbornú prípravu pracovníkov podľa aktuálnych potrieb trhu práce. </w:t>
      </w:r>
    </w:p>
    <w:p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Vzhľadom na dynamický technologický rozvoj a meniacu sa štruktúru dopytu po pracovnej sile sa zároveň čoraz výraznejšie ukazuje potreba podpory ďalšieho vzdelávania, predovšetkým v oblasti informačných technológií, digitálnych kompetencií a využívania nástrojov umelej inteligencie. Rozširovanie AI do pracovného prostredia totiž zvyšuje požiadavky na adaptabilitu pracovníkov, ich technické zručnosti a schopnosť priebežne si osvojovať nové poznatky a pracovné postupy.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jc w:val="both"/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Investori v regióne a hromadné prepúšťanie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3"/>
      </w:tblGrid>
      <w:tr>
        <w:trPr>
          <w:trHeight w:val="326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Najväčší zamestnávatelia v Bratislave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Ministerstvo vnútra Slovenskej republiky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Ministerstvo obrany Slovenskej republiky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Železnice Slovenskej republiky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VOLKSWAGEN SLOVAKIA, a.s.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Kaufland Slovenská republika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v.o.s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TESCO STORES SR, a.s.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Univerzitná nemocnica Bratislava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Lidl Slovenská republika,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v.o.s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Sociálna poisťovňa</w:t>
            </w:r>
          </w:p>
        </w:tc>
      </w:tr>
      <w:tr>
        <w:trPr>
          <w:trHeight w:val="311"/>
        </w:trPr>
        <w:tc>
          <w:tcPr>
            <w:tcW w:w="6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Železničná spoločnosť Slovensko, a.s.</w:t>
            </w:r>
          </w:p>
        </w:tc>
      </w:tr>
    </w:tbl>
    <w:p/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Hromadné prepúšťanie nahlásilo v regióne Bratislava v roku 2025 celkovo </w:t>
      </w:r>
      <w:r>
        <w:rPr>
          <w:rFonts w:ascii="Times New Roman" w:hAnsi="Times New Roman" w:cs="Times New Roman"/>
          <w:b/>
          <w:sz w:val="24"/>
          <w:szCs w:val="24"/>
        </w:rPr>
        <w:t>22 s</w:t>
      </w:r>
      <w:r>
        <w:rPr>
          <w:rFonts w:ascii="Times New Roman" w:hAnsi="Times New Roman" w:cs="Times New Roman"/>
          <w:sz w:val="24"/>
          <w:szCs w:val="24"/>
        </w:rPr>
        <w:t xml:space="preserve">poločností a ohrozených bolo </w:t>
      </w:r>
      <w:r>
        <w:rPr>
          <w:rFonts w:ascii="Times New Roman" w:hAnsi="Times New Roman" w:cs="Times New Roman"/>
          <w:b/>
          <w:sz w:val="24"/>
          <w:szCs w:val="24"/>
        </w:rPr>
        <w:t>2521</w:t>
      </w:r>
      <w:r>
        <w:rPr>
          <w:rFonts w:ascii="Times New Roman" w:hAnsi="Times New Roman" w:cs="Times New Roman"/>
          <w:sz w:val="24"/>
          <w:szCs w:val="24"/>
        </w:rPr>
        <w:t xml:space="preserve"> zamestnancov.</w:t>
      </w:r>
    </w:p>
    <w:p/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Iné relevantné údaje, informácie, udalosti a aktivity, v územnom obvode úradu za uplynulý rok 2025 a očakávané, resp. pripravované udalosti na TP v roku 2026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Udalosti a aktivity na TP v roku 2025</w:t>
      </w:r>
    </w:p>
    <w:p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 rámci aktivít </w:t>
      </w:r>
      <w:r>
        <w:rPr>
          <w:rFonts w:ascii="Times New Roman" w:hAnsi="Times New Roman" w:cs="Times New Roman"/>
          <w:sz w:val="24"/>
          <w:szCs w:val="24"/>
          <w:u w:val="single"/>
        </w:rPr>
        <w:t>Národného projektu Spoločne hľadáme prácu III</w:t>
      </w:r>
      <w:r>
        <w:rPr>
          <w:rFonts w:ascii="Times New Roman" w:hAnsi="Times New Roman" w:cs="Times New Roman"/>
          <w:sz w:val="24"/>
          <w:szCs w:val="24"/>
        </w:rPr>
        <w:t xml:space="preserve">., realizoval  Úrad práce, sociálnych vecí a rodiny Bratislava </w:t>
      </w:r>
      <w:r>
        <w:rPr>
          <w:rFonts w:ascii="Times New Roman" w:hAnsi="Times New Roman" w:cs="Times New Roman"/>
          <w:b/>
          <w:sz w:val="24"/>
          <w:szCs w:val="24"/>
        </w:rPr>
        <w:t>25.09.2025</w:t>
      </w:r>
      <w:r>
        <w:rPr>
          <w:rFonts w:ascii="Times New Roman" w:hAnsi="Times New Roman" w:cs="Times New Roman"/>
          <w:sz w:val="24"/>
          <w:szCs w:val="24"/>
        </w:rPr>
        <w:t xml:space="preserve"> v spolupráci s ÚPSVR Malacky a s ÚPSVR Pezinok </w:t>
      </w:r>
      <w:r>
        <w:rPr>
          <w:rFonts w:ascii="Times New Roman" w:hAnsi="Times New Roman" w:cs="Times New Roman"/>
          <w:b/>
          <w:sz w:val="24"/>
          <w:szCs w:val="24"/>
        </w:rPr>
        <w:t>Regionálnu burzu práce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aktivitu bolo pozvaných celkovo  99 zamestnávateľov z rôznych oblastí. Počet návštevníkov bol celkovo (vrátane uchádzačov o zamestnanie ) 9298 a počet zúčastnených uchádzačov o zamestnanie bol 7 318. Podujatie bolo podporované sprievodnými aktivitami. Návštevníci mohli plnohodnotne využiť čas pri hľadaní vhodného zamestnania a zároveň im boli poskytnuté vyhľadávané a atraktívne sprievodné akcie.</w:t>
      </w:r>
      <w:r>
        <w:rPr>
          <w:rFonts w:ascii="Times New Roman" w:hAnsi="Times New Roman" w:cs="Times New Roman"/>
          <w:b/>
          <w:sz w:val="24"/>
          <w:szCs w:val="24"/>
        </w:rPr>
        <w:t xml:space="preserve"> Sprievodné  služby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odborní poradcovia úradu práce a  kariérne poradkyne EUROPASS</w:t>
      </w:r>
      <w:r>
        <w:rPr>
          <w:rFonts w:ascii="Times New Roman" w:hAnsi="Times New Roman" w:cs="Times New Roman"/>
          <w:sz w:val="24"/>
          <w:szCs w:val="24"/>
        </w:rPr>
        <w:t xml:space="preserve">:   poskytovali individuálne konzultácie, praktické cvičenia na témy- mapa kariérnych cieľov, kariérne kotvy, osobnostný profil - Uchádzača o zamestnanie konzultácie a pomoc s úpravou životopisu a  motivačného listu,   reč tela na pracovnom pohovore, vhodné otázky na pracovnom pohovore, profilácia  silných stránok,  dotazník osobnostného štýlu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Craiga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Akčné ženy</w:t>
      </w:r>
      <w:r>
        <w:rPr>
          <w:rFonts w:ascii="Times New Roman" w:hAnsi="Times New Roman" w:cs="Times New Roman"/>
          <w:sz w:val="24"/>
          <w:szCs w:val="24"/>
        </w:rPr>
        <w:t xml:space="preserve">, poskytovali  </w:t>
      </w:r>
      <w:proofErr w:type="spellStart"/>
      <w:r>
        <w:rPr>
          <w:rFonts w:ascii="Times New Roman" w:hAnsi="Times New Roman" w:cs="Times New Roman"/>
          <w:sz w:val="24"/>
          <w:szCs w:val="24"/>
        </w:rPr>
        <w:t>koučovací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stôl - aktivity zamerané hlavne pre znevýhodnených uchádzačov o zamestnanie, ženy po rodičovskej dovolenke. </w:t>
      </w:r>
      <w:r>
        <w:rPr>
          <w:rFonts w:ascii="Times New Roman" w:hAnsi="Times New Roman" w:cs="Times New Roman"/>
          <w:b/>
          <w:sz w:val="24"/>
          <w:szCs w:val="24"/>
        </w:rPr>
        <w:t>EURES</w:t>
      </w:r>
      <w:r>
        <w:rPr>
          <w:rFonts w:ascii="Times New Roman" w:hAnsi="Times New Roman" w:cs="Times New Roman"/>
          <w:sz w:val="24"/>
          <w:szCs w:val="24"/>
        </w:rPr>
        <w:t xml:space="preserve"> Slovensko, Česko, Nemecko, Rakúsko, Holandsko, Dánsko, Švédsko ponúkali práce v zahraničí,  </w:t>
      </w:r>
      <w:r>
        <w:rPr>
          <w:rFonts w:ascii="Times New Roman" w:hAnsi="Times New Roman" w:cs="Times New Roman"/>
          <w:b/>
          <w:sz w:val="24"/>
          <w:szCs w:val="24"/>
        </w:rPr>
        <w:t>Poradne komplexnej pomoci</w:t>
      </w:r>
      <w:r>
        <w:rPr>
          <w:rFonts w:ascii="Times New Roman" w:hAnsi="Times New Roman" w:cs="Times New Roman"/>
          <w:sz w:val="24"/>
          <w:szCs w:val="24"/>
        </w:rPr>
        <w:t xml:space="preserve">- prezentovali vlastné aktivity a mini workshopy na tému finančná gramotnosť, </w:t>
      </w:r>
      <w:r>
        <w:rPr>
          <w:rFonts w:ascii="Times New Roman" w:hAnsi="Times New Roman" w:cs="Times New Roman"/>
          <w:b/>
          <w:sz w:val="24"/>
          <w:szCs w:val="24"/>
        </w:rPr>
        <w:t>Železničná spoločnosť Slovensko, a.s.,</w:t>
      </w:r>
      <w:r>
        <w:rPr>
          <w:rFonts w:ascii="Times New Roman" w:hAnsi="Times New Roman" w:cs="Times New Roman"/>
          <w:sz w:val="24"/>
          <w:szCs w:val="24"/>
        </w:rPr>
        <w:t xml:space="preserve"> priniesla virtuálnu realitu - prehliadku železničného vozňa,  </w:t>
      </w:r>
      <w:r>
        <w:rPr>
          <w:rFonts w:ascii="Times New Roman" w:hAnsi="Times New Roman" w:cs="Times New Roman"/>
          <w:b/>
          <w:sz w:val="24"/>
          <w:szCs w:val="24"/>
        </w:rPr>
        <w:t>Ministerstvo vnútra SR</w:t>
      </w:r>
      <w:r>
        <w:rPr>
          <w:rFonts w:ascii="Times New Roman" w:hAnsi="Times New Roman" w:cs="Times New Roman"/>
          <w:sz w:val="24"/>
          <w:szCs w:val="24"/>
        </w:rPr>
        <w:t xml:space="preserve"> prezentovalo  nové zásahové vozidlo a motocykel príslušníkov PZ, </w:t>
      </w:r>
      <w:r>
        <w:rPr>
          <w:rFonts w:ascii="Times New Roman" w:hAnsi="Times New Roman" w:cs="Times New Roman"/>
          <w:b/>
          <w:sz w:val="24"/>
          <w:szCs w:val="24"/>
        </w:rPr>
        <w:t>Všeobecná zdravotná poisťovňa</w:t>
      </w:r>
      <w:r>
        <w:rPr>
          <w:rFonts w:ascii="Times New Roman" w:hAnsi="Times New Roman" w:cs="Times New Roman"/>
          <w:sz w:val="24"/>
          <w:szCs w:val="24"/>
        </w:rPr>
        <w:t xml:space="preserve"> ponúkala meranie krvného tlaku, cholesterolu a cukru z krvi.    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ďalších aktivít </w:t>
      </w:r>
      <w:r>
        <w:rPr>
          <w:rFonts w:ascii="Times New Roman" w:hAnsi="Times New Roman" w:cs="Times New Roman"/>
          <w:sz w:val="24"/>
          <w:szCs w:val="24"/>
          <w:u w:val="single"/>
        </w:rPr>
        <w:t>Národného projektu Spoločne hľadáme prácu III</w:t>
      </w:r>
      <w:r>
        <w:rPr>
          <w:rFonts w:ascii="Times New Roman" w:hAnsi="Times New Roman" w:cs="Times New Roman"/>
          <w:sz w:val="24"/>
          <w:szCs w:val="24"/>
        </w:rPr>
        <w:t xml:space="preserve">. realizoval  Úrad práce, sociálnych vecí a rodiny Bratislava - </w:t>
      </w:r>
      <w:r>
        <w:rPr>
          <w:rFonts w:ascii="Times New Roman" w:hAnsi="Times New Roman" w:cs="Times New Roman"/>
          <w:b/>
          <w:sz w:val="24"/>
          <w:szCs w:val="24"/>
        </w:rPr>
        <w:t>Raňajky so zamestnávateľmi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Zamestnávatelia boli oboznámení o zmenách v legislatíve - zmena zákona o pobyte cudzincov a zákona o službách zamestnanosti, zmena podmienok vysokokvalifikovaného zamestnania v súvislosti s transpozíciou smernice 2021/1883 o podmienkach vstupu a pobytu štátnych príslušníkov tretích krajín na účely vysokokvalifikovaného zamestnania. </w:t>
      </w: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Zamestnávatelia boli tiež informovaní o možnostiach realizovania výberových konaní v spolupráci s Úradom práce, sociálnych vecí a rodiny Bratislava. Zároveň im boli  prezentované  informácie o aktívnych opatreniach trhu práce, ktoré sa implementujú prostredníctvom národných projektov. </w:t>
      </w: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Udalosti a aktivity na TP v roku 2026</w:t>
      </w: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 roku 2026 plánuje Úrad práce, sociálnych vecí a rodiny pokračovať v aktivitách v rámci národného projektu </w:t>
      </w:r>
      <w:r>
        <w:rPr>
          <w:rStyle w:val="Zvraznenie"/>
          <w:rFonts w:ascii="Times New Roman" w:hAnsi="Times New Roman" w:cs="Times New Roman"/>
          <w:i w:val="0"/>
          <w:sz w:val="24"/>
          <w:szCs w:val="24"/>
        </w:rPr>
        <w:t>Spoločne hľadáme prácu III</w:t>
      </w:r>
      <w:r>
        <w:rPr>
          <w:rStyle w:val="Zvraznenie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Plánujeme  organizovať mini burzy práce a skupinové výberové konania  pre vybraných zamestnávateľov. Budeme naďalej posilňovať spolupráce s rôznymi inštitúciami, ako podporu  znevýhodneným uchádzačom o zamestnanie nájsť si pracovné uplatnenie.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rámci spolupráce so strednými školami budeme zabezpečovať pre absolventov poradenské aktivity zamerané na ich orientáciu a uplatnenie na trhu práce.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31. 12. 2025 pracovalo v Bratislave celkovo 9 271 občanov Ukrajiny so štatútom odídenca.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2026 očakávame, že trh práce bude naďalej ovplyvňovať mimoriadna situácia v súvislosti s vojnovým konfliktom na Ukrajine.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9"/>
      <w:footerReference w:type="even" r:id="rId10"/>
      <w:footerReference w:type="default" r:id="rId11"/>
      <w:pgSz w:w="11906" w:h="16838"/>
      <w:pgMar w:top="1134" w:right="1134" w:bottom="992" w:left="1276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ta"/>
      <w:jc w:val="right"/>
    </w:pPr>
    <w:r>
      <w:t>2</w:t>
    </w:r>
  </w:p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2876"/>
      <w:docPartObj>
        <w:docPartGallery w:val="Page Numbers (Bottom of Page)"/>
        <w:docPartUnique/>
      </w:docPartObj>
    </w:sdtPr>
    <w:sdtContent>
      <w:p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>
    <w:pPr>
      <w:pStyle w:val="Pta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-132301</wp:posOffset>
          </wp:positionV>
          <wp:extent cx="2609215" cy="810895"/>
          <wp:effectExtent l="0" t="0" r="635" b="825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3504565</wp:posOffset>
              </wp:positionH>
              <wp:positionV relativeFrom="paragraph">
                <wp:posOffset>-344805</wp:posOffset>
              </wp:positionV>
              <wp:extent cx="2484120" cy="895350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Hlavika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2133600" cy="675005"/>
                                <wp:effectExtent l="0" t="0" r="0" b="0"/>
                                <wp:docPr id="2" name="Obrázok 2" descr="C:\Users\sebovamar\Desktop\Mima loga\Mima loga\Urad prac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12" descr="C:\Users\sebovamar\Desktop\Mima loga\Mima loga\Urad prac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3600" cy="675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rPr>
                              <w:lang w:val="en-US"/>
                            </w:rPr>
                          </w:pPr>
                        </w:p>
                        <w:p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275.95pt;margin-top:-27.15pt;width:195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xhwIAAAwFAAAOAAAAZHJzL2Uyb0RvYy54bWysVOtu0zAU/o/EO1j+3+VCujVR02ndKEIa&#10;F2njAdzEaSwcH2O7TQbigXgOXoxjp+3KAAkh8sPx5fg7l+87nl8OnSQ7bqwAVdLkLKaEqwpqoTYl&#10;/XC/mswosY6pmklQvKQP3NLLxfNn814XPIUWZM0NQRBli16XtHVOF1Fkq5Z3zJ6B5goPGzAdc7g0&#10;m6g2rEf0TkZpHJ9HPZhaG6i4tbh7Mx7SRcBvGl65d01juSOypBibC6MJ49qP0WLOio1huhXVPgz2&#10;D1F0TCh0eoS6YY6RrRG/QHWiMmChcWcVdBE0jah4yAGzSeIn2dy1TPOQCxbH6mOZ7P+Drd7u3hsi&#10;6pLmlCjWIUX3fHCw+/6NaJCc5L5EvbYFWt5ptHXDEgakOqRr9S1UHy1RcN0yteFXxkDfclZjiIm/&#10;GZ1cHXGsB1n3b6BGX2zrIAANjel8/bAiBNGRqocjPRgPqXAzzWZZkuJRhWezfPpiGviLWHG4rY11&#10;rzh0xE9KapD+gM52t9b5aFhxMPHOLEhRr4SUYWE262tpyI6hVFbhCwk8MZPKGyvw10bEcQeDRB/+&#10;zIcbqP+SJ2kWL9N8sjqfXUyyVTad5BfxbBIn+TI/j7M8u1l99QEmWdGKuubqVih+kGGS/R3N+4YY&#10;BRSESHqkc5pOR4r+mGQcvt8l2QmHXSlFh3U+GrHCE/tS1Zg2KxwTcpxHP4cfqow1OPxDVYIMPPOj&#10;BtywHhDFa2MN9QMKwgDyhdTiU4KTFsxnSnpsy5LaT1tmOCXytUJR+R4Ok2x64aVgDrvr012mKoQo&#10;qaNknF67see32ohNix5G+Sq4QgE2ImjjMZq9bLHlQhL758H39Ok6WD0+YosfAAAA//8DAFBLAwQU&#10;AAYACAAAACEAk1wizuIAAAAKAQAADwAAAGRycy9kb3ducmV2LnhtbEyPy07DMBBF90j8gzVI7Fon&#10;tGnTEKdCCBAVXfTBprtpPCQR8TjEbhv+HrOC5ege3XsmXw6mFWfqXWNZQTyOQBCXVjdcKXjfP49S&#10;EM4ja2wtk4JvcrAsrq9yzLS98JbOO1+JUMIuQwW1910mpStrMujGtiMO2YftDfpw9pXUPV5CuWnl&#10;XRTNpMGGw0KNHT3WVH7uTkbB6yHdv9HqpU43TzinDbsveVgrdXszPNyD8DT4Pxh+9YM6FMHpaE+s&#10;nWgVJEm8CKiCUTKdgAjEYjqJQRwVpLM5yCKX/18ofgAAAP//AwBQSwECLQAUAAYACAAAACEAtoM4&#10;kv4AAADhAQAAEwAAAAAAAAAAAAAAAAAAAAAAW0NvbnRlbnRfVHlwZXNdLnhtbFBLAQItABQABgAI&#10;AAAAIQA4/SH/1gAAAJQBAAALAAAAAAAAAAAAAAAAAC8BAABfcmVscy8ucmVsc1BLAQItABQABgAI&#10;AAAAIQBnOYAxhwIAAAwFAAAOAAAAAAAAAAAAAAAAAC4CAABkcnMvZTJvRG9jLnhtbFBLAQItABQA&#10;BgAIAAAAIQCTXCLO4gAAAAoBAAAPAAAAAAAAAAAAAAAAAOEEAABkcnMvZG93bnJldi54bWxQSwUG&#10;AAAAAAQABADzAAAA8AUAAAAA&#10;" o:allowincell="f" stroked="f">
              <v:textbox inset="0,,0">
                <w:txbxContent>
                  <w:p>
                    <w:pPr>
                      <w:pStyle w:val="Hlavika"/>
                      <w:jc w:val="right"/>
                      <w:rPr>
                        <w:b/>
                        <w:sz w:val="24"/>
                        <w:szCs w:val="24"/>
                      </w:rPr>
                    </w:pPr>
                  </w:p>
                  <w:p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2133600" cy="675005"/>
                          <wp:effectExtent l="0" t="0" r="0" b="0"/>
                          <wp:docPr id="2" name="Obrázok 2" descr="C:\Users\sebovamar\Desktop\Mima loga\Mima loga\Urad prac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12" descr="C:\Users\sebovamar\Desktop\Mima loga\Mima loga\Urad prac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675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rPr>
                        <w:lang w:val="en-US"/>
                      </w:rPr>
                    </w:pPr>
                  </w:p>
                  <w:p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33"/>
    <w:multiLevelType w:val="hybridMultilevel"/>
    <w:tmpl w:val="8A545BBC"/>
    <w:lvl w:ilvl="0" w:tplc="97FAF3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900"/>
    <w:multiLevelType w:val="hybridMultilevel"/>
    <w:tmpl w:val="87AE9E4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5081"/>
    <w:multiLevelType w:val="multilevel"/>
    <w:tmpl w:val="58D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A41B7"/>
    <w:multiLevelType w:val="multilevel"/>
    <w:tmpl w:val="B3A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E6D3B"/>
    <w:multiLevelType w:val="multilevel"/>
    <w:tmpl w:val="9A24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7C7F5E-7DC5-4FD1-9412-2AD53B0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">
    <w:name w:val="Základní text"/>
    <w:basedOn w:val="Default"/>
    <w:next w:val="Default"/>
    <w:uiPriority w:val="99"/>
    <w:rPr>
      <w:color w:val="auto"/>
    </w:rPr>
  </w:style>
  <w:style w:type="paragraph" w:customStyle="1" w:styleId="Normln">
    <w:name w:val="Normální"/>
    <w:basedOn w:val="Default"/>
    <w:next w:val="Default"/>
    <w:uiPriority w:val="99"/>
    <w:rPr>
      <w:color w:val="auto"/>
    </w:rPr>
  </w:style>
  <w:style w:type="paragraph" w:styleId="Hlavika">
    <w:name w:val="header"/>
    <w:basedOn w:val="Normlny"/>
    <w:link w:val="HlavikaChar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zpyqfadein">
    <w:name w:val="bz_pyq_fadein"/>
    <w:basedOn w:val="Predvolenpsmoodseku"/>
  </w:style>
  <w:style w:type="character" w:styleId="Zvraznenie">
    <w:name w:val="Emphasis"/>
    <w:basedOn w:val="Predvolenpsmoodsek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5CD6-5905-4140-861E-92CBC6B5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Sotníková Katarína</cp:lastModifiedBy>
  <cp:revision>8</cp:revision>
  <cp:lastPrinted>2026-03-18T09:15:00Z</cp:lastPrinted>
  <dcterms:created xsi:type="dcterms:W3CDTF">2026-03-18T14:51:00Z</dcterms:created>
  <dcterms:modified xsi:type="dcterms:W3CDTF">2026-03-19T11:56:00Z</dcterms:modified>
</cp:coreProperties>
</file>