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Odsekzoznamu"/>
        <w:tabs>
          <w:tab w:val="left" w:pos="0"/>
        </w:tabs>
        <w:spacing w:after="240"/>
        <w:ind w:left="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Poučenie</w:t>
      </w:r>
    </w:p>
    <w:p>
      <w:pPr>
        <w:ind w:firstLine="567"/>
        <w:jc w:val="both"/>
      </w:pPr>
      <w:r>
        <w:t>Príspevok na podporu mobility za prácou je samostatným typom príspevku, ktorý je súčasťou aktívnych opatrení na trhu práce.</w:t>
      </w:r>
    </w:p>
    <w:p>
      <w:pPr>
        <w:ind w:firstLine="567"/>
        <w:jc w:val="both"/>
      </w:pPr>
      <w:r>
        <w:t xml:space="preserve">Na poskytnutie príspevku na podporu mobility za prácou </w:t>
      </w:r>
      <w:r>
        <w:rPr>
          <w:u w:val="single"/>
        </w:rPr>
        <w:t>je právny nárok</w:t>
      </w:r>
      <w:r>
        <w:t>.</w:t>
      </w:r>
    </w:p>
    <w:p>
      <w:pPr>
        <w:ind w:firstLine="567"/>
        <w:jc w:val="both"/>
      </w:pPr>
    </w:p>
    <w:p>
      <w:pPr>
        <w:ind w:firstLine="567"/>
        <w:jc w:val="both"/>
      </w:pPr>
      <w:r>
        <w:rPr>
          <w:bCs/>
        </w:rPr>
        <w:t xml:space="preserve">Úrad práce, sociálnych vecí a rodiny poskytuje </w:t>
      </w:r>
      <w:r>
        <w:rPr>
          <w:bCs/>
          <w:u w:val="single"/>
        </w:rPr>
        <w:t>mesačne</w:t>
      </w:r>
      <w:r>
        <w:rPr>
          <w:bCs/>
        </w:rPr>
        <w:t xml:space="preserve"> príspevok na podporu mobility za prácou na </w:t>
      </w:r>
      <w:r>
        <w:rPr>
          <w:bCs/>
          <w:i/>
        </w:rPr>
        <w:t xml:space="preserve">úhradu časti výdavkov na bývanie súvisiacich so zmenou pobytu </w:t>
      </w:r>
      <w:r>
        <w:rPr>
          <w:bCs/>
          <w:i/>
          <w:u w:val="single"/>
        </w:rPr>
        <w:t>v súvislosti so získaním zamestnania najmenej na šesť mesiacov</w:t>
      </w:r>
      <w:r>
        <w:rPr>
          <w:bCs/>
        </w:rPr>
        <w:t xml:space="preserve"> zamestnancovi, ktorý bol </w:t>
      </w:r>
      <w:r>
        <w:rPr>
          <w:bCs/>
          <w:u w:val="single"/>
        </w:rPr>
        <w:t>uchádzačom o zamestnanie vedeným v evidencii uchádzačov o zamestnanie najmenej tri mesiace</w:t>
      </w:r>
      <w:r>
        <w:rPr>
          <w:bCs/>
        </w:rPr>
        <w:t xml:space="preserve"> a ktorý bol vyradený z evidencie uchádzačov o zamestnanie </w:t>
      </w:r>
      <w:r>
        <w:rPr>
          <w:bCs/>
          <w:u w:val="single"/>
        </w:rPr>
        <w:t>z dôvodu podľa § 36 ods. 1 písm. a)</w:t>
      </w:r>
      <w:r>
        <w:rPr>
          <w:bCs/>
        </w:rPr>
        <w:t xml:space="preserve">, ak o príspevok na podporu mobility za prácou </w:t>
      </w:r>
      <w:r>
        <w:rPr>
          <w:bCs/>
          <w:u w:val="single"/>
        </w:rPr>
        <w:t>písomne</w:t>
      </w:r>
      <w:r>
        <w:rPr>
          <w:bCs/>
        </w:rPr>
        <w:t xml:space="preserve"> požiada </w:t>
      </w:r>
      <w:r>
        <w:rPr>
          <w:bCs/>
          <w:u w:val="single"/>
        </w:rPr>
        <w:t>najneskôr do troch mesiacov odo dňa vyradenia z evidencie uchádzačov o zamestnanie</w:t>
      </w:r>
      <w:r>
        <w:rPr>
          <w:bCs/>
        </w:rPr>
        <w:t>.</w:t>
      </w:r>
    </w:p>
    <w:p>
      <w:pPr>
        <w:ind w:firstLine="567"/>
        <w:jc w:val="both"/>
      </w:pPr>
    </w:p>
    <w:p>
      <w:pPr>
        <w:ind w:firstLine="567"/>
        <w:jc w:val="both"/>
      </w:pPr>
      <w:r>
        <w:rPr>
          <w:rStyle w:val="Siln"/>
          <w:bCs w:val="0"/>
          <w:i/>
          <w:iCs/>
          <w:u w:val="single"/>
        </w:rPr>
        <w:t>Účelom príspevku na podporu mobility za prácou</w:t>
      </w:r>
      <w:r>
        <w:rPr>
          <w:rStyle w:val="Siln"/>
          <w:b w:val="0"/>
        </w:rPr>
        <w:t xml:space="preserve"> je zabezpečiť </w:t>
      </w:r>
      <w:r>
        <w:t>využívanie podpory pracovnej mobility na riešenie nedostatku pracovníkov v regiónoch s absenciou, resp. nedostatkom pracovnej sily.</w:t>
      </w:r>
    </w:p>
    <w:p>
      <w:pPr>
        <w:ind w:firstLine="567"/>
        <w:jc w:val="both"/>
      </w:pPr>
    </w:p>
    <w:p>
      <w:pPr>
        <w:spacing w:after="120"/>
        <w:ind w:firstLine="567"/>
        <w:jc w:val="both"/>
      </w:pPr>
      <w:r>
        <w:rPr>
          <w:b/>
          <w:bCs/>
          <w:i/>
          <w:iCs/>
          <w:u w:val="single"/>
        </w:rPr>
        <w:t>Oprávneným žiadateľom</w:t>
      </w:r>
      <w:r>
        <w:t xml:space="preserve"> je zamestnanec, ktorý:</w:t>
      </w:r>
    </w:p>
    <w:p>
      <w:pPr>
        <w:pStyle w:val="Odsekzoznamu"/>
        <w:numPr>
          <w:ilvl w:val="0"/>
          <w:numId w:val="7"/>
        </w:numPr>
        <w:tabs>
          <w:tab w:val="clear" w:pos="3447"/>
          <w:tab w:val="num" w:pos="284"/>
        </w:tabs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bol uchádzačom o zamestnanie vedeným v evidencii uchádzačov o zamestnanie </w:t>
      </w:r>
      <w:r>
        <w:rPr>
          <w:b/>
          <w:bCs/>
          <w:sz w:val="24"/>
          <w:szCs w:val="24"/>
        </w:rPr>
        <w:t>najmenej tri mesiace</w:t>
      </w:r>
      <w:r>
        <w:rPr>
          <w:sz w:val="24"/>
          <w:szCs w:val="24"/>
        </w:rPr>
        <w:t>,</w:t>
      </w:r>
    </w:p>
    <w:p>
      <w:pPr>
        <w:pStyle w:val="Odsekzoznamu"/>
        <w:numPr>
          <w:ilvl w:val="0"/>
          <w:numId w:val="7"/>
        </w:numPr>
        <w:tabs>
          <w:tab w:val="clear" w:pos="3447"/>
          <w:tab w:val="num" w:pos="284"/>
        </w:tabs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bol vyradený z evidencie uchádzačov o zamestnanie z dôvodu </w:t>
      </w:r>
      <w:r>
        <w:rPr>
          <w:b/>
          <w:bCs/>
          <w:sz w:val="24"/>
          <w:szCs w:val="24"/>
        </w:rPr>
        <w:t>vzniku pracovného pomeru alebo obdobného pracovného vzťahu okrem pracovnoprávneho vzťahu založeného dohodami o prácach vykonávaných mimo pracovného pomeru</w:t>
      </w:r>
      <w:r>
        <w:rPr>
          <w:sz w:val="24"/>
          <w:szCs w:val="24"/>
        </w:rPr>
        <w:t xml:space="preserve"> (dohoda o vykonaní práce, dohoda o pracovnej činnosti, dohoda o brigádnickej práci študentov).</w:t>
      </w:r>
    </w:p>
    <w:p>
      <w:pPr>
        <w:jc w:val="both"/>
      </w:pPr>
    </w:p>
    <w:p>
      <w:pPr>
        <w:jc w:val="both"/>
        <w:rPr>
          <w:b/>
        </w:rPr>
      </w:pPr>
      <w:r>
        <w:rPr>
          <w:b/>
        </w:rPr>
        <w:t>Manželia žiadajú o príspevok na podporu mobility za prácou spoločnou žiadosťou ak obaja manželia spĺňajú podmienky pre poskytnutie príspevku.</w:t>
      </w:r>
    </w:p>
    <w:p>
      <w:pPr>
        <w:jc w:val="both"/>
      </w:pPr>
    </w:p>
    <w:p>
      <w:pPr>
        <w:tabs>
          <w:tab w:val="left" w:pos="567"/>
        </w:tabs>
        <w:spacing w:after="120"/>
        <w:jc w:val="both"/>
        <w:rPr>
          <w:b/>
          <w:bCs/>
          <w:i/>
          <w:iCs/>
          <w:u w:val="single"/>
        </w:rPr>
      </w:pPr>
      <w:r>
        <w:rPr>
          <w:bCs/>
          <w:iCs/>
        </w:rPr>
        <w:tab/>
      </w:r>
      <w:r>
        <w:rPr>
          <w:b/>
          <w:bCs/>
          <w:i/>
          <w:iCs/>
          <w:u w:val="single"/>
        </w:rPr>
        <w:t>Hmotnoprávne podmienky nevyhnutné pre vznik nároku na poskytnutie príspevku na podporu mobility za prácou:</w:t>
      </w:r>
    </w:p>
    <w:p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</w:pPr>
      <w:r>
        <w:t xml:space="preserve">prílohou žiadosti o poskytnutie príspevku na podporu mobility za prácou je okrem iného aj </w:t>
      </w:r>
      <w:r>
        <w:rPr>
          <w:bCs/>
        </w:rPr>
        <w:t>kópia dokladu o zmene trvalého pobytu alebo o nahlásení prechodného pobytu a kópia pracovnej zmluvy</w:t>
      </w:r>
      <w:r>
        <w:t xml:space="preserve"> uzatvorenej </w:t>
      </w:r>
      <w:r>
        <w:rPr>
          <w:u w:val="single"/>
        </w:rPr>
        <w:t>najmenej na šesť mesiacov</w:t>
      </w:r>
      <w:r>
        <w:rPr>
          <w:color w:val="000000"/>
        </w:rPr>
        <w:t>,</w:t>
      </w:r>
    </w:p>
    <w:p>
      <w:pPr>
        <w:numPr>
          <w:ilvl w:val="0"/>
          <w:numId w:val="6"/>
        </w:numPr>
        <w:ind w:left="340" w:hanging="340"/>
        <w:jc w:val="both"/>
      </w:pPr>
      <w:r>
        <w:t xml:space="preserve">príspevok na podporu mobility za prácou sa poskytuje na základe dohody o poskytnutí príspevku na podporu mobility za prácou, ktorá musí mať </w:t>
      </w:r>
      <w:r>
        <w:rPr>
          <w:u w:val="single"/>
        </w:rPr>
        <w:t>písomnú</w:t>
      </w:r>
      <w:r>
        <w:t xml:space="preserve"> formu,</w:t>
      </w:r>
    </w:p>
    <w:p>
      <w:pPr>
        <w:numPr>
          <w:ilvl w:val="0"/>
          <w:numId w:val="6"/>
        </w:numPr>
        <w:ind w:left="340" w:hanging="340"/>
        <w:jc w:val="both"/>
      </w:pPr>
      <w:r>
        <w:t xml:space="preserve">písomná žiadosť o poskytnutie príspevku na podporu mobility za prácou sa podáva </w:t>
      </w:r>
      <w:r>
        <w:rPr>
          <w:u w:val="single"/>
        </w:rPr>
        <w:t xml:space="preserve">na úrade práce, sociálnych vecí a rodiny, v ktorého evidencii uchádzačov o zamestnanie bol </w:t>
      </w:r>
      <w:r>
        <w:rPr>
          <w:u w:val="single"/>
        </w:rPr>
        <w:lastRenderedPageBreak/>
        <w:t>zamestnanec vedený</w:t>
      </w:r>
      <w:r>
        <w:t xml:space="preserve">, </w:t>
      </w:r>
      <w:r>
        <w:rPr>
          <w:u w:val="single"/>
        </w:rPr>
        <w:t xml:space="preserve">najneskôr </w:t>
      </w:r>
      <w:r>
        <w:rPr>
          <w:bCs/>
          <w:u w:val="single"/>
        </w:rPr>
        <w:t>do troch mesiacov odo dňa vyradenia z evidencie uchádzačov o zamestnanie</w:t>
      </w:r>
      <w:r>
        <w:t>.</w:t>
      </w:r>
    </w:p>
    <w:p>
      <w:pPr>
        <w:ind w:firstLine="567"/>
        <w:jc w:val="both"/>
      </w:pPr>
    </w:p>
    <w:p>
      <w:pPr>
        <w:tabs>
          <w:tab w:val="left" w:pos="567"/>
        </w:tabs>
        <w:autoSpaceDE w:val="0"/>
        <w:autoSpaceDN w:val="0"/>
        <w:adjustRightInd w:val="0"/>
        <w:jc w:val="both"/>
      </w:pPr>
      <w:r>
        <w:rPr>
          <w:bCs/>
          <w:iCs/>
        </w:rPr>
        <w:tab/>
      </w:r>
      <w:r>
        <w:rPr>
          <w:b/>
          <w:bCs/>
          <w:i/>
          <w:iCs/>
          <w:u w:val="single"/>
        </w:rPr>
        <w:t>Vznik nároku na poskytnutie príspevku na podporu mobility za prácou</w:t>
      </w:r>
      <w:r>
        <w:t xml:space="preserve"> je podmienený </w:t>
      </w:r>
      <w:r>
        <w:rPr>
          <w:bCs/>
        </w:rPr>
        <w:t>zmenou miesta trvalého pobytu alebo nahlásením prechodného pobytu</w:t>
      </w:r>
      <w:r>
        <w:t xml:space="preserve"> </w:t>
      </w:r>
      <w:r>
        <w:rPr>
          <w:i/>
          <w:u w:val="single"/>
        </w:rPr>
        <w:t>v súvislosti so získaním zamestnania</w:t>
      </w:r>
      <w:r>
        <w:rPr>
          <w:bCs/>
          <w:i/>
          <w:u w:val="single"/>
        </w:rPr>
        <w:t xml:space="preserve"> najmenej na šesť mesiacov</w:t>
      </w:r>
      <w:r>
        <w:t xml:space="preserve">, pričom </w:t>
      </w:r>
      <w:r>
        <w:rPr>
          <w:bCs/>
        </w:rPr>
        <w:t xml:space="preserve">miesto nového trvalého pobytu na území Slovenskej republiky musí byť vzdialené od miesta pôvodného trvalého pobytu </w:t>
      </w:r>
      <w:r>
        <w:rPr>
          <w:bCs/>
          <w:u w:val="single"/>
        </w:rPr>
        <w:t>najmenej 50 km</w:t>
      </w:r>
      <w:r>
        <w:rPr>
          <w:bCs/>
        </w:rPr>
        <w:t xml:space="preserve"> alebo miesto prechodného pobytu na území Slovenskej republiky musí byť vzdialené od miesta trvalého pobytu </w:t>
      </w:r>
      <w:r>
        <w:rPr>
          <w:bCs/>
          <w:u w:val="single"/>
        </w:rPr>
        <w:t>najmenej 50 km</w:t>
      </w:r>
      <w:r>
        <w:rPr>
          <w:bCs/>
        </w:rPr>
        <w:t>.</w:t>
      </w:r>
    </w:p>
    <w:p>
      <w:pPr>
        <w:autoSpaceDE w:val="0"/>
        <w:autoSpaceDN w:val="0"/>
        <w:adjustRightInd w:val="0"/>
        <w:jc w:val="both"/>
      </w:pPr>
    </w:p>
    <w:p>
      <w:pPr>
        <w:pStyle w:val="Nadpis3"/>
        <w:tabs>
          <w:tab w:val="left" w:pos="567"/>
        </w:tabs>
        <w:spacing w:after="120"/>
        <w:rPr>
          <w:b/>
          <w:bCs/>
          <w:i/>
          <w:iCs/>
          <w:u w:val="single"/>
        </w:rPr>
      </w:pPr>
      <w:r>
        <w:rPr>
          <w:bCs/>
          <w:iCs/>
        </w:rPr>
        <w:tab/>
      </w:r>
      <w:r>
        <w:rPr>
          <w:b/>
          <w:i/>
          <w:u w:val="single"/>
        </w:rPr>
        <w:t>Za výdavky na bývanie súvisiace so zmenou pobytu na účely poskytnutia príspevku na podporu mobility za prácou sa považujú preukázané mesačné výdavky na:</w:t>
      </w:r>
    </w:p>
    <w:p>
      <w:pPr>
        <w:numPr>
          <w:ilvl w:val="0"/>
          <w:numId w:val="38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bCs/>
        </w:rPr>
      </w:pPr>
      <w:r>
        <w:rPr>
          <w:bCs/>
        </w:rPr>
        <w:t xml:space="preserve">úhradu za plnenia poskytované s užívaním bytu </w:t>
      </w:r>
      <w:r>
        <w:rPr>
          <w:bCs/>
          <w:u w:val="single"/>
        </w:rPr>
        <w:t>alebo</w:t>
      </w:r>
    </w:p>
    <w:p>
      <w:pPr>
        <w:numPr>
          <w:ilvl w:val="0"/>
          <w:numId w:val="38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bCs/>
        </w:rPr>
      </w:pPr>
      <w:r>
        <w:rPr>
          <w:bCs/>
        </w:rPr>
        <w:t>nájomné.</w:t>
      </w:r>
    </w:p>
    <w:p>
      <w:pPr>
        <w:jc w:val="both"/>
      </w:pPr>
      <w:r>
        <w:tab/>
      </w:r>
    </w:p>
    <w:p>
      <w:pPr>
        <w:tabs>
          <w:tab w:val="left" w:pos="567"/>
        </w:tabs>
        <w:spacing w:after="120"/>
        <w:jc w:val="both"/>
        <w:rPr>
          <w:b/>
          <w:i/>
          <w:u w:val="single"/>
        </w:rPr>
      </w:pPr>
      <w:bookmarkStart w:id="1" w:name="_Toc69198883"/>
      <w:bookmarkStart w:id="2" w:name="_Toc69199000"/>
      <w:r>
        <w:rPr>
          <w:iCs/>
        </w:rPr>
        <w:tab/>
      </w:r>
      <w:bookmarkEnd w:id="1"/>
      <w:bookmarkEnd w:id="2"/>
      <w:r>
        <w:rPr>
          <w:b/>
          <w:i/>
          <w:u w:val="single"/>
        </w:rPr>
        <w:t>Za plnenia poskytované s užívaním bytu sa považujú najmä:</w:t>
      </w:r>
    </w:p>
    <w:p>
      <w:pPr>
        <w:numPr>
          <w:ilvl w:val="0"/>
          <w:numId w:val="39"/>
        </w:numPr>
        <w:ind w:left="357" w:hanging="357"/>
        <w:jc w:val="both"/>
      </w:pPr>
      <w:r>
        <w:t>dodávka tepla,</w:t>
      </w:r>
    </w:p>
    <w:p>
      <w:pPr>
        <w:numPr>
          <w:ilvl w:val="0"/>
          <w:numId w:val="39"/>
        </w:numPr>
        <w:ind w:left="357" w:hanging="357"/>
        <w:jc w:val="both"/>
      </w:pPr>
      <w:r>
        <w:t>dodávka teplej úžitkovej vody,</w:t>
      </w:r>
    </w:p>
    <w:p>
      <w:pPr>
        <w:numPr>
          <w:ilvl w:val="0"/>
          <w:numId w:val="39"/>
        </w:numPr>
        <w:ind w:left="357" w:hanging="357"/>
        <w:jc w:val="both"/>
      </w:pPr>
      <w:r>
        <w:t>dodávka pitnej vody,</w:t>
      </w:r>
    </w:p>
    <w:p>
      <w:pPr>
        <w:numPr>
          <w:ilvl w:val="0"/>
          <w:numId w:val="39"/>
        </w:numPr>
        <w:ind w:left="357" w:hanging="357"/>
        <w:jc w:val="both"/>
      </w:pPr>
      <w:r>
        <w:t>dodávka plynu,</w:t>
      </w:r>
    </w:p>
    <w:p>
      <w:pPr>
        <w:numPr>
          <w:ilvl w:val="0"/>
          <w:numId w:val="39"/>
        </w:numPr>
        <w:ind w:left="357" w:hanging="357"/>
        <w:jc w:val="both"/>
      </w:pPr>
      <w:r>
        <w:t>dodávka elektrickej energie,</w:t>
      </w:r>
    </w:p>
    <w:p>
      <w:pPr>
        <w:numPr>
          <w:ilvl w:val="0"/>
          <w:numId w:val="39"/>
        </w:numPr>
        <w:ind w:left="357" w:hanging="357"/>
        <w:jc w:val="both"/>
      </w:pPr>
      <w:r>
        <w:t>odvádzanie odpadových vôd a splaškov verejnými kanalizáciami alebo zabezpečovanie ich odvozu, poplatky za zrážkovú vodu,</w:t>
      </w:r>
    </w:p>
    <w:p>
      <w:pPr>
        <w:numPr>
          <w:ilvl w:val="0"/>
          <w:numId w:val="39"/>
        </w:numPr>
        <w:ind w:left="357" w:hanging="357"/>
        <w:jc w:val="both"/>
      </w:pPr>
      <w:r>
        <w:t>prevádzka výťahov,</w:t>
      </w:r>
    </w:p>
    <w:p>
      <w:pPr>
        <w:numPr>
          <w:ilvl w:val="0"/>
          <w:numId w:val="39"/>
        </w:numPr>
        <w:ind w:left="357" w:hanging="357"/>
        <w:jc w:val="both"/>
      </w:pPr>
      <w:r>
        <w:t>osvetlenie spoločných častí a spoločných zariadení domu,</w:t>
      </w:r>
    </w:p>
    <w:p>
      <w:pPr>
        <w:numPr>
          <w:ilvl w:val="0"/>
          <w:numId w:val="39"/>
        </w:numPr>
        <w:ind w:left="357" w:hanging="357"/>
        <w:jc w:val="both"/>
      </w:pPr>
      <w:r>
        <w:t>upratovanie spoločných častí a spoločných zariadení domu,</w:t>
      </w:r>
    </w:p>
    <w:p>
      <w:pPr>
        <w:numPr>
          <w:ilvl w:val="0"/>
          <w:numId w:val="39"/>
        </w:numPr>
        <w:ind w:left="357" w:hanging="357"/>
        <w:jc w:val="both"/>
      </w:pPr>
      <w:r>
        <w:t>čistenie prístupových chodníkov,</w:t>
      </w:r>
    </w:p>
    <w:p>
      <w:pPr>
        <w:numPr>
          <w:ilvl w:val="0"/>
          <w:numId w:val="39"/>
        </w:numPr>
        <w:ind w:left="357" w:hanging="357"/>
        <w:jc w:val="both"/>
      </w:pPr>
      <w:r>
        <w:t>poistenie bytového domu,</w:t>
      </w:r>
    </w:p>
    <w:p>
      <w:pPr>
        <w:numPr>
          <w:ilvl w:val="0"/>
          <w:numId w:val="39"/>
        </w:numPr>
        <w:ind w:left="357" w:hanging="357"/>
        <w:jc w:val="both"/>
      </w:pPr>
      <w:r>
        <w:t>likvidácia domového odpadu,</w:t>
      </w:r>
    </w:p>
    <w:p>
      <w:pPr>
        <w:numPr>
          <w:ilvl w:val="0"/>
          <w:numId w:val="39"/>
        </w:numPr>
        <w:ind w:left="357" w:hanging="357"/>
        <w:jc w:val="both"/>
      </w:pPr>
      <w:r>
        <w:t>fond prevádzky, údržby a opráv domu,</w:t>
      </w:r>
    </w:p>
    <w:p>
      <w:pPr>
        <w:numPr>
          <w:ilvl w:val="0"/>
          <w:numId w:val="39"/>
        </w:numPr>
        <w:ind w:left="357" w:hanging="357"/>
        <w:jc w:val="both"/>
      </w:pPr>
      <w:r>
        <w:t>poplatok za havarijnú službu,</w:t>
      </w:r>
    </w:p>
    <w:p>
      <w:pPr>
        <w:numPr>
          <w:ilvl w:val="0"/>
          <w:numId w:val="39"/>
        </w:numPr>
        <w:ind w:left="357" w:hanging="357"/>
        <w:jc w:val="both"/>
      </w:pPr>
      <w:r>
        <w:t>poplatok za výkon správcovskej činnosti,</w:t>
      </w:r>
    </w:p>
    <w:p>
      <w:pPr>
        <w:numPr>
          <w:ilvl w:val="0"/>
          <w:numId w:val="39"/>
        </w:numPr>
        <w:ind w:left="357" w:hanging="357"/>
        <w:jc w:val="both"/>
      </w:pPr>
      <w:r>
        <w:t>spracovanie vyúčtovania.</w:t>
      </w:r>
    </w:p>
    <w:p>
      <w:pPr>
        <w:numPr>
          <w:ilvl w:val="0"/>
          <w:numId w:val="39"/>
        </w:numPr>
        <w:ind w:left="357" w:hanging="357"/>
        <w:jc w:val="both"/>
      </w:pPr>
      <w:r>
        <w:t>iné</w:t>
      </w:r>
    </w:p>
    <w:p>
      <w:pPr>
        <w:tabs>
          <w:tab w:val="left" w:pos="567"/>
        </w:tabs>
        <w:jc w:val="both"/>
      </w:pPr>
    </w:p>
    <w:p>
      <w:pPr>
        <w:tabs>
          <w:tab w:val="left" w:pos="567"/>
        </w:tabs>
        <w:spacing w:after="120"/>
        <w:jc w:val="both"/>
      </w:pPr>
      <w:r>
        <w:tab/>
      </w:r>
      <w:r>
        <w:rPr>
          <w:u w:val="single"/>
        </w:rPr>
        <w:t>Písomnú</w:t>
      </w:r>
      <w:r>
        <w:t xml:space="preserve"> žiadosť o poskytnutie príspevku na podporu mobility za prácou vrátane príloh možno podať:</w:t>
      </w:r>
    </w:p>
    <w:p>
      <w:pPr>
        <w:pStyle w:val="Odstavecseseznamem2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osobne</w:t>
      </w:r>
      <w:r>
        <w:rPr>
          <w:sz w:val="24"/>
          <w:szCs w:val="24"/>
        </w:rPr>
        <w:t xml:space="preserve"> na úrade práce, sociálnych vecí a rodiny, v ktorého evidencii uchádzačov o zamestnanie bol zamestnanec vedený (rozhodujúci je dátum podania v podateľni príslušného úradu práce, sociálnych vecí a rodiny) alebo</w:t>
      </w:r>
    </w:p>
    <w:p>
      <w:pPr>
        <w:pStyle w:val="Odstavecseseznamem2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prostredníctvom inej osoby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na úrade práce, sociálnych vecí a rodiny, v ktorého evidencii uchádzačov o zamestnanie bol zamestnanec vedený (rozhodujúci je dátum podania v podateľni príslušného úradu práce, sociálnych vecí a rodiny), alebo</w:t>
      </w:r>
    </w:p>
    <w:p>
      <w:pPr>
        <w:pStyle w:val="Odstavecseseznamem2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poštou (doporučene)</w:t>
      </w:r>
      <w:r>
        <w:rPr>
          <w:sz w:val="24"/>
          <w:szCs w:val="24"/>
        </w:rPr>
        <w:t xml:space="preserve"> na adresu úradu práce, sociálnych vecí a rodiny, v ktorého evidencii uchádzačov o zamestnanie bol zamestnanec vedený (rozhodujúci je deň doručenia žiadosti </w:t>
      </w:r>
      <w:r>
        <w:rPr>
          <w:sz w:val="24"/>
          <w:szCs w:val="24"/>
        </w:rPr>
        <w:lastRenderedPageBreak/>
        <w:t>o poskytnutie príspevku na podporu mobility za prácou na úrad práce, sociálnych vecí            a rodiny).</w:t>
      </w:r>
    </w:p>
    <w:p>
      <w:pPr>
        <w:pStyle w:val="Odstavecseseznamem2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Elektronicky (s elektronickým podpisom)</w:t>
      </w:r>
    </w:p>
    <w:p>
      <w:pPr>
        <w:pStyle w:val="Odstavecseseznamem2"/>
        <w:autoSpaceDE w:val="0"/>
        <w:autoSpaceDN w:val="0"/>
        <w:adjustRightInd w:val="0"/>
        <w:ind w:left="357"/>
        <w:jc w:val="both"/>
        <w:rPr>
          <w:sz w:val="24"/>
          <w:szCs w:val="24"/>
        </w:rPr>
      </w:pPr>
    </w:p>
    <w:p>
      <w:pPr>
        <w:tabs>
          <w:tab w:val="left" w:pos="567"/>
        </w:tabs>
        <w:jc w:val="both"/>
        <w:rPr>
          <w:bCs/>
        </w:rPr>
      </w:pPr>
      <w:r>
        <w:rPr>
          <w:bCs/>
        </w:rPr>
        <w:tab/>
        <w:t xml:space="preserve">Príspevok sa </w:t>
      </w:r>
      <w:r>
        <w:rPr>
          <w:b/>
          <w:bCs/>
          <w:i/>
          <w:u w:val="single"/>
        </w:rPr>
        <w:t>neposkytuje</w:t>
      </w:r>
      <w:r>
        <w:rPr>
          <w:bCs/>
        </w:rPr>
        <w:t xml:space="preserve">, ak je zamestnancovi </w:t>
      </w:r>
      <w:r>
        <w:rPr>
          <w:bCs/>
          <w:i/>
        </w:rPr>
        <w:t>poskytovaný príspevok na dochádzku za prácou</w:t>
      </w:r>
      <w:r>
        <w:rPr>
          <w:bCs/>
        </w:rPr>
        <w:t>.</w:t>
      </w:r>
    </w:p>
    <w:p>
      <w:pPr>
        <w:jc w:val="both"/>
        <w:rPr>
          <w:bCs/>
        </w:rPr>
      </w:pPr>
    </w:p>
    <w:p>
      <w:pPr>
        <w:pStyle w:val="Odstavecseseznamem2"/>
        <w:tabs>
          <w:tab w:val="left" w:pos="0"/>
          <w:tab w:val="left" w:pos="567"/>
        </w:tabs>
        <w:spacing w:after="120"/>
        <w:ind w:left="0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  <w:u w:val="single"/>
        </w:rPr>
        <w:t>Obdobie poskytovania príspevku na podporu mobility za prácou</w:t>
      </w:r>
      <w:r>
        <w:rPr>
          <w:sz w:val="24"/>
          <w:szCs w:val="24"/>
        </w:rPr>
        <w:t xml:space="preserve"> je </w:t>
      </w:r>
      <w:r>
        <w:rPr>
          <w:sz w:val="24"/>
          <w:szCs w:val="24"/>
          <w:u w:val="single"/>
        </w:rPr>
        <w:t>najviac počas šiestich mesiacov</w:t>
      </w:r>
      <w:r>
        <w:rPr>
          <w:sz w:val="24"/>
          <w:szCs w:val="24"/>
        </w:rPr>
        <w:t>.</w:t>
      </w:r>
      <w:r>
        <w:rPr>
          <w:bCs/>
          <w:sz w:val="24"/>
          <w:szCs w:val="24"/>
        </w:rPr>
        <w:t xml:space="preserve"> Zamestnancovi, ktorý bol pred získaním zamestnania </w:t>
      </w:r>
      <w:r>
        <w:rPr>
          <w:b/>
          <w:bCs/>
          <w:sz w:val="24"/>
          <w:szCs w:val="24"/>
        </w:rPr>
        <w:t>znevýhodneným uchádzačom o zamestnanie</w:t>
      </w:r>
      <w:r>
        <w:rPr>
          <w:bCs/>
          <w:sz w:val="24"/>
          <w:szCs w:val="24"/>
        </w:rPr>
        <w:t xml:space="preserve">, sa príspevok na podporu mobility za prácou poskytuje </w:t>
      </w:r>
      <w:r>
        <w:rPr>
          <w:bCs/>
          <w:sz w:val="24"/>
          <w:szCs w:val="24"/>
          <w:u w:val="single"/>
        </w:rPr>
        <w:t>aj počas ďalších najviac šiestich mesiacov</w:t>
      </w:r>
      <w:r>
        <w:rPr>
          <w:bCs/>
          <w:sz w:val="24"/>
          <w:szCs w:val="24"/>
        </w:rPr>
        <w:t>.</w:t>
      </w:r>
    </w:p>
    <w:p>
      <w:pPr>
        <w:pStyle w:val="Odstavecseseznamem2"/>
        <w:tabs>
          <w:tab w:val="left" w:pos="0"/>
        </w:tabs>
        <w:ind w:left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V prípade, ak oprávneným žiadateľom je zamestnanec, ktorý bol pred získaním zamestnania znevýhodneným uchádzačom o zamestnanie, príspevok na podporu mobility za prácou sa mu poskytne najviac počas dvanástich mesiacov.</w:t>
      </w:r>
    </w:p>
    <w:p>
      <w:pPr>
        <w:tabs>
          <w:tab w:val="left" w:pos="567"/>
        </w:tabs>
        <w:jc w:val="both"/>
        <w:rPr>
          <w:bCs/>
          <w:iCs/>
        </w:rPr>
      </w:pPr>
    </w:p>
    <w:p>
      <w:pPr>
        <w:tabs>
          <w:tab w:val="left" w:pos="567"/>
        </w:tabs>
        <w:spacing w:after="120"/>
        <w:jc w:val="both"/>
      </w:pPr>
      <w:r>
        <w:rPr>
          <w:bCs/>
          <w:iCs/>
        </w:rPr>
        <w:tab/>
      </w:r>
      <w:r>
        <w:rPr>
          <w:b/>
          <w:bCs/>
          <w:i/>
          <w:iCs/>
          <w:u w:val="single"/>
        </w:rPr>
        <w:t>Mesačná výška príspevku na podporu mobility za prácou</w:t>
      </w:r>
      <w:r>
        <w:rPr>
          <w:bCs/>
          <w:iCs/>
        </w:rPr>
        <w:t xml:space="preserve"> </w:t>
      </w:r>
      <w:r>
        <w:t xml:space="preserve">je </w:t>
      </w:r>
      <w:r>
        <w:rPr>
          <w:b/>
        </w:rPr>
        <w:t>80 %</w:t>
      </w:r>
      <w:r>
        <w:t xml:space="preserve"> zo sumy preukázaných mesačných výdavkov na úhradu za plnenia poskytované s užívaním bytu alebo nájomné:</w:t>
      </w:r>
    </w:p>
    <w:p>
      <w:pPr>
        <w:numPr>
          <w:ilvl w:val="0"/>
          <w:numId w:val="18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lang w:eastAsia="en-US"/>
        </w:rPr>
      </w:pPr>
      <w:r>
        <w:rPr>
          <w:b/>
          <w:bCs/>
          <w:lang w:eastAsia="en-US"/>
        </w:rPr>
        <w:t>najviac 400 eur</w:t>
      </w:r>
      <w:r>
        <w:rPr>
          <w:bCs/>
          <w:lang w:eastAsia="en-US"/>
        </w:rPr>
        <w:t xml:space="preserve"> </w:t>
      </w:r>
      <w:r>
        <w:rPr>
          <w:bCs/>
          <w:u w:val="single"/>
        </w:rPr>
        <w:t>najviac počas šiestich mesiacov</w:t>
      </w:r>
      <w:r>
        <w:rPr>
          <w:bCs/>
        </w:rPr>
        <w:t xml:space="preserve"> oprávnenému žiadateľovi</w:t>
      </w:r>
      <w:r>
        <w:rPr>
          <w:lang w:eastAsia="en-US"/>
        </w:rPr>
        <w:t xml:space="preserve"> Ak obaja manželia spĺňajú podmienky na poskytnutie príspevku výška príspevku je najviac 600 eur.</w:t>
      </w:r>
    </w:p>
    <w:p>
      <w:pPr>
        <w:numPr>
          <w:ilvl w:val="0"/>
          <w:numId w:val="18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lang w:eastAsia="en-US"/>
        </w:rPr>
      </w:pPr>
      <w:r>
        <w:rPr>
          <w:b/>
          <w:bCs/>
        </w:rPr>
        <w:t xml:space="preserve">najviac 200 eur </w:t>
      </w:r>
      <w:r>
        <w:rPr>
          <w:bCs/>
          <w:u w:val="single"/>
        </w:rPr>
        <w:t>aj počas ďalších najviac šiestich mesiacov</w:t>
      </w:r>
      <w:r>
        <w:rPr>
          <w:bCs/>
        </w:rPr>
        <w:t xml:space="preserve"> oprávnenému žiadateľovi, </w:t>
      </w:r>
      <w:r>
        <w:rPr>
          <w:bCs/>
        </w:rPr>
        <w:tab/>
        <w:t xml:space="preserve">ktorý </w:t>
      </w:r>
      <w:r>
        <w:rPr>
          <w:bCs/>
        </w:rPr>
        <w:tab/>
        <w:t xml:space="preserve">bol pred získaním zamestnania </w:t>
      </w:r>
      <w:r>
        <w:rPr>
          <w:b/>
          <w:bCs/>
        </w:rPr>
        <w:t>znevýhodneným uchádzačom o zamestnanie</w:t>
      </w:r>
      <w:r>
        <w:rPr>
          <w:bCs/>
        </w:rPr>
        <w:t>. Ak bol aspoň jeden z manželov pred vyradením z evidencie uchádzačov o zamestnanie znevýhodneným uchádzačom o zamestnanie výška príspevku je najviac 300 eur.</w:t>
      </w:r>
    </w:p>
    <w:p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b/>
          <w:bCs/>
        </w:rPr>
      </w:pPr>
    </w:p>
    <w:p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lang w:eastAsia="en-US"/>
        </w:rPr>
      </w:pPr>
      <w:r>
        <w:rPr>
          <w:b/>
          <w:bCs/>
        </w:rPr>
        <w:t>V prípade, ak počas poskytovania príspevku jednému z manželov splní podmienky pre poskytnutie príspevku aj druhý manžel, Úrad práce, sociálnych vecí a rodiny preverí splnenie podmienok na poskytnutie príspevku druhého manžela. Ak podmienky spĺňa aj druhý manžel, úrad práce sociálnych vecí a rodiny prizná príspevok vo výške 80% výdavkov na bývanie najviac však 600 eur manželovi, ktorému je príspevok už poskytovaný.</w:t>
      </w:r>
    </w:p>
    <w:p>
      <w:pPr>
        <w:jc w:val="both"/>
        <w:rPr>
          <w:bCs/>
          <w:iCs/>
          <w:lang w:eastAsia="en-US"/>
        </w:rPr>
      </w:pPr>
    </w:p>
    <w:p>
      <w:pPr>
        <w:tabs>
          <w:tab w:val="left" w:pos="567"/>
        </w:tabs>
        <w:jc w:val="both"/>
        <w:rPr>
          <w:bCs/>
        </w:rPr>
      </w:pPr>
      <w:r>
        <w:rPr>
          <w:bCs/>
          <w:iCs/>
          <w:lang w:eastAsia="en-US"/>
        </w:rPr>
        <w:tab/>
      </w:r>
      <w:r>
        <w:rPr>
          <w:b/>
          <w:bCs/>
          <w:i/>
          <w:iCs/>
          <w:u w:val="single"/>
          <w:lang w:eastAsia="en-US"/>
        </w:rPr>
        <w:t>Poskytovateľom príspevku na podporu mobility za prácou</w:t>
      </w:r>
      <w:r>
        <w:rPr>
          <w:lang w:eastAsia="en-US"/>
        </w:rPr>
        <w:t xml:space="preserve"> je </w:t>
      </w:r>
      <w:r>
        <w:rPr>
          <w:u w:val="single"/>
        </w:rPr>
        <w:t>úrad práce, sociálnych vecí  a rodiny, v ktorého evidencii uchádzačov o zamestnanie bol zamestnanec vedený</w:t>
      </w:r>
      <w:r>
        <w:t xml:space="preserve">. Úrad práce, sociálnych vecí a rodiny poskytuje príspevok na podporu mobility za prácou </w:t>
      </w:r>
      <w:r>
        <w:rPr>
          <w:b/>
          <w:bCs/>
        </w:rPr>
        <w:t>do 30 kalendárnych dní od preukázania trvania zamestnania</w:t>
      </w:r>
      <w:r>
        <w:rPr>
          <w:bCs/>
        </w:rPr>
        <w:t>, ktoré sa preukazuje</w:t>
      </w:r>
      <w:r>
        <w:rPr>
          <w:b/>
          <w:bCs/>
        </w:rPr>
        <w:t xml:space="preserve"> „Potvrdením zamestnávateľa o trvaní pracovného pomeru zamestnanca“</w:t>
      </w:r>
      <w:r>
        <w:rPr>
          <w:bCs/>
        </w:rPr>
        <w:t xml:space="preserve"> a </w:t>
      </w:r>
      <w:r>
        <w:rPr>
          <w:b/>
          <w:bCs/>
        </w:rPr>
        <w:t xml:space="preserve">výdavkov na bývanie súvisiacich so zmenou pobytu </w:t>
      </w:r>
      <w:r>
        <w:rPr>
          <w:bCs/>
        </w:rPr>
        <w:t xml:space="preserve">iba v prípade, ak tieto skutočnosti zamestnanec preukáže </w:t>
      </w:r>
      <w:r>
        <w:rPr>
          <w:bCs/>
          <w:u w:val="single"/>
        </w:rPr>
        <w:t>najneskôr do 30 kalendárnych dní od uplynutia mesiaca, za ktorý sa príspevok na podporu mobility za prácou poskytuje</w:t>
      </w:r>
      <w:r>
        <w:rPr>
          <w:bCs/>
        </w:rPr>
        <w:t>.</w:t>
      </w:r>
    </w:p>
    <w:p>
      <w:pPr>
        <w:jc w:val="both"/>
        <w:rPr>
          <w:bCs/>
        </w:rPr>
      </w:pPr>
    </w:p>
    <w:p>
      <w:pPr>
        <w:tabs>
          <w:tab w:val="left" w:pos="0"/>
          <w:tab w:val="left" w:pos="567"/>
        </w:tabs>
        <w:jc w:val="both"/>
      </w:pPr>
      <w:r>
        <w:tab/>
        <w:t xml:space="preserve">Žiadateľ je povinný doložiť doklady preukazujúce oprávnenosť výdavkov na bývanie súvisiacich so zmenou pobytu. Pri preukazovaní výdavkov na bývanie súvisiacich so zmenou pobytu žiadateľ je povinný doložiť doklady o ich úhrade vystavené na </w:t>
      </w:r>
      <w:r>
        <w:rPr>
          <w:u w:val="single"/>
        </w:rPr>
        <w:t>meno žiadateľa</w:t>
      </w:r>
      <w:r>
        <w:t xml:space="preserve">. Ak žiadateľ, ktorý žije v manželskom zväzku, doloží doklady o uhradených platbách vystavené na meno manžela/manželky, zamestnanec úradu preverí rodinný vzťah (manžel - manželka). Ak preverovaný rodinný vzťah súhlasí, zamestnanec úradu práce, sociálnych vecí a rodiny bude </w:t>
      </w:r>
      <w:r>
        <w:lastRenderedPageBreak/>
        <w:t xml:space="preserve">považovať tieto výdavky za </w:t>
      </w:r>
      <w:r>
        <w:rPr>
          <w:b/>
        </w:rPr>
        <w:t>oprávnené</w:t>
      </w:r>
      <w:r>
        <w:t xml:space="preserve">. Ak žiadateľ doloží doklady o uhradených platbách vystavené na iné meno ako meno žiadateľa (napr. na meno rodinného príslušníka), zamestnanec úradu práce, sociálnych vecí a rodiny bude považovať tieto výdavky za </w:t>
      </w:r>
      <w:r>
        <w:rPr>
          <w:b/>
        </w:rPr>
        <w:t>neoprávnené</w:t>
      </w:r>
      <w:r>
        <w:t xml:space="preserve">. </w:t>
      </w:r>
    </w:p>
    <w:p>
      <w:pPr>
        <w:tabs>
          <w:tab w:val="left" w:pos="0"/>
          <w:tab w:val="left" w:pos="567"/>
        </w:tabs>
        <w:jc w:val="both"/>
      </w:pPr>
    </w:p>
    <w:p>
      <w:pPr>
        <w:jc w:val="both"/>
      </w:pPr>
    </w:p>
    <w:p>
      <w:pPr>
        <w:tabs>
          <w:tab w:val="left" w:pos="550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rPr>
          <w:b/>
          <w:bCs/>
        </w:rPr>
        <w:t>Svojím podpisom potvrdzujem, že som poučeniu v plnom rozsahu porozumel(a).</w:t>
      </w:r>
    </w:p>
    <w:p>
      <w:pPr>
        <w:autoSpaceDE w:val="0"/>
        <w:autoSpaceDN w:val="0"/>
        <w:adjustRightInd w:val="0"/>
        <w:ind w:firstLine="720"/>
        <w:jc w:val="both"/>
      </w:pPr>
    </w:p>
    <w:p>
      <w:pPr>
        <w:autoSpaceDE w:val="0"/>
        <w:autoSpaceDN w:val="0"/>
        <w:adjustRightInd w:val="0"/>
        <w:ind w:firstLine="567"/>
        <w:jc w:val="both"/>
      </w:pPr>
      <w:r>
        <w:t>V .................................................. dňa ....................</w:t>
      </w:r>
    </w:p>
    <w:p>
      <w:pPr>
        <w:autoSpaceDE w:val="0"/>
        <w:autoSpaceDN w:val="0"/>
        <w:adjustRightInd w:val="0"/>
        <w:ind w:firstLine="567"/>
        <w:jc w:val="both"/>
      </w:pPr>
    </w:p>
    <w:p>
      <w:pPr>
        <w:autoSpaceDE w:val="0"/>
        <w:autoSpaceDN w:val="0"/>
        <w:adjustRightInd w:val="0"/>
        <w:ind w:firstLine="720"/>
        <w:jc w:val="both"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–––––––––––––––––––––––</w:t>
      </w:r>
    </w:p>
    <w:p>
      <w:pPr>
        <w:autoSpaceDE w:val="0"/>
        <w:autoSpaceDN w:val="0"/>
        <w:adjustRightInd w:val="0"/>
        <w:ind w:firstLine="720"/>
        <w:jc w:val="both"/>
        <w:rPr>
          <w:bCs/>
          <w:lang w:eastAsia="cs-CZ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tab/>
      </w:r>
      <w:r>
        <w:tab/>
        <w:t xml:space="preserve">        podpis</w:t>
      </w:r>
    </w:p>
    <w:sectPr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9" w:footer="888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  <w:jc w:val="right"/>
      <w:rPr>
        <w:sz w:val="18"/>
        <w:szCs w:val="18"/>
      </w:rPr>
    </w:pPr>
    <w:r>
      <w:rPr>
        <w:sz w:val="18"/>
        <w:szCs w:val="18"/>
      </w:rPr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4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z 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uppressAutoHyphens/>
      <w:jc w:val="center"/>
      <w:rPr>
        <w:bCs/>
        <w:i/>
        <w:kern w:val="2"/>
        <w:sz w:val="20"/>
        <w:szCs w:val="20"/>
        <w:lang w:eastAsia="cs-CZ"/>
      </w:rPr>
    </w:pPr>
  </w:p>
  <w:p>
    <w:pPr>
      <w:tabs>
        <w:tab w:val="center" w:pos="4536"/>
        <w:tab w:val="right" w:pos="9072"/>
      </w:tabs>
      <w:suppressAutoHyphens/>
      <w:spacing w:before="120"/>
      <w:jc w:val="center"/>
      <w:rPr>
        <w:bCs/>
        <w:i/>
        <w:kern w:val="2"/>
        <w:sz w:val="20"/>
        <w:szCs w:val="20"/>
        <w:lang w:eastAsia="cs-CZ"/>
      </w:rPr>
    </w:pPr>
    <w:r>
      <w:rPr>
        <w:bCs/>
        <w:i/>
        <w:kern w:val="2"/>
        <w:sz w:val="20"/>
        <w:szCs w:val="20"/>
        <w:lang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uppressAutoHyphens/>
      <w:jc w:val="center"/>
      <w:rPr>
        <w:bCs/>
        <w:i/>
        <w:kern w:val="2"/>
        <w:sz w:val="20"/>
        <w:szCs w:val="20"/>
        <w:lang w:eastAsia="cs-CZ"/>
      </w:rPr>
    </w:pPr>
    <w:r>
      <w:rPr>
        <w:bCs/>
        <w:i/>
        <w:kern w:val="2"/>
        <w:sz w:val="20"/>
        <w:szCs w:val="20"/>
        <w:lang w:eastAsia="cs-CZ"/>
      </w:rPr>
      <w:t>sa realizuje vďaka podpore z Európskeho sociálneho fondu v rámci Operačného programu Ľudské zdroje</w:t>
    </w:r>
  </w:p>
  <w:p>
    <w:pPr>
      <w:pStyle w:val="Pta"/>
      <w:jc w:val="center"/>
      <w:rPr>
        <w:sz w:val="18"/>
        <w:szCs w:val="18"/>
      </w:rPr>
    </w:pPr>
    <w:r>
      <w:rPr>
        <w:bCs/>
        <w:i/>
        <w:color w:val="4F81BD"/>
        <w:sz w:val="20"/>
        <w:szCs w:val="20"/>
        <w:lang w:eastAsia="cs-CZ"/>
      </w:rPr>
      <w:t>www.employment.gov.sk / www.esf.gov.sk</w:t>
    </w:r>
  </w:p>
  <w:p>
    <w:pPr>
      <w:pStyle w:val="Pta"/>
      <w:jc w:val="right"/>
      <w:rPr>
        <w:sz w:val="18"/>
        <w:szCs w:val="18"/>
      </w:rPr>
    </w:pPr>
    <w:r>
      <w:rPr>
        <w:sz w:val="18"/>
        <w:szCs w:val="18"/>
      </w:rPr>
      <w:t>Strana 1 z 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Nzov"/>
      <w:jc w:val="right"/>
      <w:rPr>
        <w:b w:val="0"/>
        <w:sz w:val="18"/>
        <w:szCs w:val="18"/>
      </w:rPr>
    </w:pPr>
    <w:r>
      <w:rPr>
        <w:b w:val="0"/>
        <w:sz w:val="18"/>
        <w:szCs w:val="18"/>
      </w:rPr>
      <w:t>Príloha 2a</w:t>
    </w:r>
  </w:p>
  <w:p>
    <w:pPr>
      <w:pStyle w:val="Nzov"/>
      <w:jc w:val="right"/>
      <w:rPr>
        <w:b w:val="0"/>
        <w:sz w:val="18"/>
        <w:szCs w:val="18"/>
      </w:rPr>
    </w:pPr>
  </w:p>
  <w:p>
    <w:pPr>
      <w:pStyle w:val="Hlavika"/>
      <w:jc w:val="right"/>
      <w:rPr>
        <w:sz w:val="20"/>
        <w:szCs w:val="20"/>
      </w:rPr>
    </w:pPr>
    <w:r>
      <w:rPr>
        <w:sz w:val="20"/>
        <w:szCs w:val="20"/>
      </w:rPr>
      <w:t>Kód ITMS2014+: .............................</w:t>
    </w:r>
  </w:p>
  <w:p>
    <w:pPr>
      <w:pStyle w:val="Hlavika"/>
      <w:jc w:val="right"/>
      <w:rPr>
        <w:sz w:val="20"/>
        <w:szCs w:val="20"/>
      </w:rPr>
    </w:pPr>
  </w:p>
  <w:p>
    <w:pPr>
      <w:pStyle w:val="Hlavika"/>
      <w:tabs>
        <w:tab w:val="clear" w:pos="9072"/>
        <w:tab w:val="right" w:pos="9406"/>
      </w:tabs>
      <w:spacing w:after="120"/>
      <w:jc w:val="right"/>
      <w:rPr>
        <w:sz w:val="20"/>
        <w:szCs w:val="20"/>
      </w:rPr>
    </w:pPr>
    <w:r>
      <w:rPr>
        <w:b/>
        <w:noProof/>
        <w:color w:val="000000"/>
      </w:rPr>
      <w:drawing>
        <wp:inline distT="0" distB="0" distL="0" distR="0">
          <wp:extent cx="4991100" cy="428625"/>
          <wp:effectExtent l="19050" t="0" r="0" b="0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ab/>
    </w:r>
  </w:p>
  <w:p>
    <w:pPr>
      <w:pStyle w:val="Hlavika"/>
      <w:tabs>
        <w:tab w:val="clear" w:pos="9072"/>
        <w:tab w:val="right" w:pos="9406"/>
      </w:tabs>
      <w:spacing w:after="120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rFonts w:ascii="Arial" w:hAnsi="Arial" w:cs="Arial"/>
        <w:color w:val="333333"/>
        <w:sz w:val="20"/>
        <w:szCs w:val="20"/>
      </w:rPr>
      <w:t xml:space="preserve">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C9D"/>
    <w:multiLevelType w:val="hybridMultilevel"/>
    <w:tmpl w:val="1156854E"/>
    <w:lvl w:ilvl="0" w:tplc="84F659C0">
      <w:start w:val="1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hint="default"/>
        <w:b/>
      </w:rPr>
    </w:lvl>
    <w:lvl w:ilvl="1" w:tplc="083AFD6A">
      <w:start w:val="1"/>
      <w:numFmt w:val="lowerLetter"/>
      <w:lvlText w:val="%2)"/>
      <w:lvlJc w:val="left"/>
      <w:pPr>
        <w:tabs>
          <w:tab w:val="num" w:pos="1803"/>
        </w:tabs>
        <w:ind w:left="1803" w:hanging="360"/>
      </w:pPr>
      <w:rPr>
        <w:rFonts w:hint="default"/>
        <w:b/>
      </w:rPr>
    </w:lvl>
    <w:lvl w:ilvl="2" w:tplc="BF40ABC2">
      <w:start w:val="1"/>
      <w:numFmt w:val="decimal"/>
      <w:lvlText w:val="%3."/>
      <w:lvlJc w:val="left"/>
      <w:pPr>
        <w:ind w:left="2703" w:hanging="360"/>
      </w:pPr>
      <w:rPr>
        <w:rFonts w:cs="Times New Roman" w:hint="default"/>
        <w:b/>
        <w:i w:val="0"/>
        <w:sz w:val="24"/>
        <w:szCs w:val="24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074E5EBB"/>
    <w:multiLevelType w:val="hybridMultilevel"/>
    <w:tmpl w:val="6EF2DAA0"/>
    <w:lvl w:ilvl="0" w:tplc="AB64A0D0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>
    <w:nsid w:val="0A9B7E57"/>
    <w:multiLevelType w:val="hybridMultilevel"/>
    <w:tmpl w:val="5DB453DC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CD336ED"/>
    <w:multiLevelType w:val="hybridMultilevel"/>
    <w:tmpl w:val="23FE23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52E3B"/>
    <w:multiLevelType w:val="hybridMultilevel"/>
    <w:tmpl w:val="8456595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C001E"/>
    <w:multiLevelType w:val="hybridMultilevel"/>
    <w:tmpl w:val="BFD26D68"/>
    <w:lvl w:ilvl="0" w:tplc="CDFE00A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64A419D"/>
    <w:multiLevelType w:val="hybridMultilevel"/>
    <w:tmpl w:val="C300904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197B4A93"/>
    <w:multiLevelType w:val="hybridMultilevel"/>
    <w:tmpl w:val="436CFBB2"/>
    <w:lvl w:ilvl="0" w:tplc="041B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cs="Wingdings" w:hint="default"/>
      </w:rPr>
    </w:lvl>
  </w:abstractNum>
  <w:abstractNum w:abstractNumId="8">
    <w:nsid w:val="1AE0376D"/>
    <w:multiLevelType w:val="hybridMultilevel"/>
    <w:tmpl w:val="081C6554"/>
    <w:lvl w:ilvl="0" w:tplc="4BBA77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735" w:hanging="360"/>
      </w:pPr>
    </w:lvl>
    <w:lvl w:ilvl="2" w:tplc="0409001B">
      <w:start w:val="1"/>
      <w:numFmt w:val="lowerRoman"/>
      <w:lvlText w:val="%3."/>
      <w:lvlJc w:val="right"/>
      <w:pPr>
        <w:ind w:left="1455" w:hanging="180"/>
      </w:pPr>
    </w:lvl>
    <w:lvl w:ilvl="3" w:tplc="0409000F">
      <w:start w:val="1"/>
      <w:numFmt w:val="decimal"/>
      <w:lvlText w:val="%4."/>
      <w:lvlJc w:val="left"/>
      <w:pPr>
        <w:ind w:left="2175" w:hanging="360"/>
      </w:pPr>
    </w:lvl>
    <w:lvl w:ilvl="4" w:tplc="04090019">
      <w:start w:val="1"/>
      <w:numFmt w:val="lowerLetter"/>
      <w:lvlText w:val="%5."/>
      <w:lvlJc w:val="left"/>
      <w:pPr>
        <w:ind w:left="2895" w:hanging="360"/>
      </w:pPr>
    </w:lvl>
    <w:lvl w:ilvl="5" w:tplc="0409001B">
      <w:start w:val="1"/>
      <w:numFmt w:val="lowerRoman"/>
      <w:lvlText w:val="%6."/>
      <w:lvlJc w:val="right"/>
      <w:pPr>
        <w:ind w:left="3615" w:hanging="180"/>
      </w:pPr>
    </w:lvl>
    <w:lvl w:ilvl="6" w:tplc="0409000F">
      <w:start w:val="1"/>
      <w:numFmt w:val="decimal"/>
      <w:lvlText w:val="%7."/>
      <w:lvlJc w:val="left"/>
      <w:pPr>
        <w:ind w:left="4335" w:hanging="360"/>
      </w:pPr>
    </w:lvl>
    <w:lvl w:ilvl="7" w:tplc="04090019">
      <w:start w:val="1"/>
      <w:numFmt w:val="lowerLetter"/>
      <w:lvlText w:val="%8."/>
      <w:lvlJc w:val="left"/>
      <w:pPr>
        <w:ind w:left="5055" w:hanging="360"/>
      </w:pPr>
    </w:lvl>
    <w:lvl w:ilvl="8" w:tplc="0409001B">
      <w:start w:val="1"/>
      <w:numFmt w:val="lowerRoman"/>
      <w:lvlText w:val="%9."/>
      <w:lvlJc w:val="right"/>
      <w:pPr>
        <w:ind w:left="5775" w:hanging="180"/>
      </w:pPr>
    </w:lvl>
  </w:abstractNum>
  <w:abstractNum w:abstractNumId="9">
    <w:nsid w:val="1D7848A6"/>
    <w:multiLevelType w:val="hybridMultilevel"/>
    <w:tmpl w:val="930485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DDF2A35"/>
    <w:multiLevelType w:val="hybridMultilevel"/>
    <w:tmpl w:val="59B6F9F4"/>
    <w:lvl w:ilvl="0" w:tplc="A76C818E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1778F9"/>
    <w:multiLevelType w:val="hybridMultilevel"/>
    <w:tmpl w:val="6CFC670A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16F4153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23466B61"/>
    <w:multiLevelType w:val="hybridMultilevel"/>
    <w:tmpl w:val="8934086A"/>
    <w:lvl w:ilvl="0" w:tplc="041B0017">
      <w:start w:val="1"/>
      <w:numFmt w:val="lowerLetter"/>
      <w:lvlText w:val="%1)"/>
      <w:lvlJc w:val="left"/>
      <w:pPr>
        <w:tabs>
          <w:tab w:val="num" w:pos="2040"/>
        </w:tabs>
        <w:ind w:left="204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13">
    <w:nsid w:val="2E2A2BAC"/>
    <w:multiLevelType w:val="hybridMultilevel"/>
    <w:tmpl w:val="497461E6"/>
    <w:lvl w:ilvl="0" w:tplc="ABF6A640">
      <w:start w:val="1"/>
      <w:numFmt w:val="lowerLetter"/>
      <w:lvlText w:val="%1)"/>
      <w:lvlJc w:val="left"/>
      <w:pPr>
        <w:tabs>
          <w:tab w:val="num" w:pos="766"/>
        </w:tabs>
        <w:ind w:left="766" w:hanging="3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526"/>
        </w:tabs>
        <w:ind w:left="1526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246"/>
        </w:tabs>
        <w:ind w:left="2246" w:hanging="180"/>
      </w:pPr>
    </w:lvl>
    <w:lvl w:ilvl="3" w:tplc="041B000F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86"/>
        </w:tabs>
        <w:ind w:left="3686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06"/>
        </w:tabs>
        <w:ind w:left="4406" w:hanging="180"/>
      </w:pPr>
    </w:lvl>
    <w:lvl w:ilvl="6" w:tplc="041B000F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846"/>
        </w:tabs>
        <w:ind w:left="5846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566"/>
        </w:tabs>
        <w:ind w:left="6566" w:hanging="180"/>
      </w:pPr>
    </w:lvl>
  </w:abstractNum>
  <w:abstractNum w:abstractNumId="14">
    <w:nsid w:val="31A53795"/>
    <w:multiLevelType w:val="hybridMultilevel"/>
    <w:tmpl w:val="F5D80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8F1274C"/>
    <w:multiLevelType w:val="hybridMultilevel"/>
    <w:tmpl w:val="46C434EC"/>
    <w:lvl w:ilvl="0" w:tplc="D3F05A2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FB378E"/>
    <w:multiLevelType w:val="hybridMultilevel"/>
    <w:tmpl w:val="07524448"/>
    <w:lvl w:ilvl="0" w:tplc="AC8028F4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B6F4BC6"/>
    <w:multiLevelType w:val="hybridMultilevel"/>
    <w:tmpl w:val="66F2A6EE"/>
    <w:lvl w:ilvl="0" w:tplc="CDFE00A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BDA59D2"/>
    <w:multiLevelType w:val="hybridMultilevel"/>
    <w:tmpl w:val="5E9019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>
    <w:nsid w:val="3E13142C"/>
    <w:multiLevelType w:val="hybridMultilevel"/>
    <w:tmpl w:val="2B24799A"/>
    <w:lvl w:ilvl="0" w:tplc="5006669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F543AA2"/>
    <w:multiLevelType w:val="hybridMultilevel"/>
    <w:tmpl w:val="18AE16DC"/>
    <w:lvl w:ilvl="0" w:tplc="B35C4608">
      <w:start w:val="1"/>
      <w:numFmt w:val="lowerLetter"/>
      <w:lvlText w:val="%1)"/>
      <w:lvlJc w:val="left"/>
      <w:pPr>
        <w:tabs>
          <w:tab w:val="num" w:pos="1680"/>
        </w:tabs>
        <w:ind w:left="1680" w:hanging="360"/>
      </w:pPr>
      <w:rPr>
        <w:b/>
        <w:bCs/>
      </w:rPr>
    </w:lvl>
    <w:lvl w:ilvl="1" w:tplc="041B0017">
      <w:start w:val="1"/>
      <w:numFmt w:val="lowerLetter"/>
      <w:lvlText w:val="%2)"/>
      <w:lvlJc w:val="left"/>
      <w:pPr>
        <w:tabs>
          <w:tab w:val="num" w:pos="2400"/>
        </w:tabs>
        <w:ind w:left="2400" w:hanging="360"/>
      </w:pPr>
      <w:rPr>
        <w:b/>
        <w:bCs/>
      </w:rPr>
    </w:lvl>
    <w:lvl w:ilvl="2" w:tplc="041B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21">
    <w:nsid w:val="3FE73A0E"/>
    <w:multiLevelType w:val="hybridMultilevel"/>
    <w:tmpl w:val="23FE23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4A0D3B"/>
    <w:multiLevelType w:val="hybridMultilevel"/>
    <w:tmpl w:val="881AC642"/>
    <w:lvl w:ilvl="0" w:tplc="54E0A8E6">
      <w:start w:val="2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59D6694"/>
    <w:multiLevelType w:val="hybridMultilevel"/>
    <w:tmpl w:val="DE04D0DE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5AC0E87"/>
    <w:multiLevelType w:val="hybridMultilevel"/>
    <w:tmpl w:val="1E3C2D14"/>
    <w:lvl w:ilvl="0" w:tplc="CCA693B2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EC401AE"/>
    <w:multiLevelType w:val="hybridMultilevel"/>
    <w:tmpl w:val="3A9E27E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3C16AC2"/>
    <w:multiLevelType w:val="hybridMultilevel"/>
    <w:tmpl w:val="B6A2D4BE"/>
    <w:lvl w:ilvl="0" w:tplc="041B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7">
    <w:nsid w:val="54057B59"/>
    <w:multiLevelType w:val="hybridMultilevel"/>
    <w:tmpl w:val="411EAA60"/>
    <w:lvl w:ilvl="0" w:tplc="433E029E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cs="Symbol" w:hint="default"/>
        <w:sz w:val="20"/>
        <w:szCs w:val="20"/>
      </w:rPr>
    </w:lvl>
    <w:lvl w:ilvl="1" w:tplc="041B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  <w:sz w:val="20"/>
        <w:szCs w:val="20"/>
      </w:rPr>
    </w:lvl>
    <w:lvl w:ilvl="2" w:tplc="041B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28">
    <w:nsid w:val="5BAC216E"/>
    <w:multiLevelType w:val="hybridMultilevel"/>
    <w:tmpl w:val="BCD6F50C"/>
    <w:lvl w:ilvl="0" w:tplc="C00645AC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677A5524">
      <w:start w:val="1"/>
      <w:numFmt w:val="lowerLetter"/>
      <w:lvlText w:val="%4)"/>
      <w:lvlJc w:val="left"/>
      <w:pPr>
        <w:tabs>
          <w:tab w:val="num" w:pos="3447"/>
        </w:tabs>
        <w:ind w:left="3447" w:hanging="360"/>
      </w:pPr>
      <w:rPr>
        <w:i w:val="0"/>
        <w:iCs w:val="0"/>
      </w:rPr>
    </w:lvl>
    <w:lvl w:ilvl="4" w:tplc="040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>
    <w:nsid w:val="5DC109E1"/>
    <w:multiLevelType w:val="hybridMultilevel"/>
    <w:tmpl w:val="B54461F0"/>
    <w:lvl w:ilvl="0" w:tplc="37DC6E58">
      <w:start w:val="1"/>
      <w:numFmt w:val="lowerLetter"/>
      <w:lvlText w:val="%1)"/>
      <w:lvlJc w:val="left"/>
      <w:pPr>
        <w:tabs>
          <w:tab w:val="num" w:pos="766"/>
        </w:tabs>
        <w:ind w:left="766" w:hanging="34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166"/>
        </w:tabs>
        <w:ind w:left="11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86"/>
        </w:tabs>
        <w:ind w:left="1886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606"/>
        </w:tabs>
        <w:ind w:left="2606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326"/>
        </w:tabs>
        <w:ind w:left="33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046"/>
        </w:tabs>
        <w:ind w:left="4046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766"/>
        </w:tabs>
        <w:ind w:left="4766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86"/>
        </w:tabs>
        <w:ind w:left="54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206"/>
        </w:tabs>
        <w:ind w:left="6206" w:hanging="360"/>
      </w:pPr>
      <w:rPr>
        <w:rFonts w:ascii="Wingdings" w:hAnsi="Wingdings" w:cs="Wingdings" w:hint="default"/>
      </w:rPr>
    </w:lvl>
  </w:abstractNum>
  <w:abstractNum w:abstractNumId="30">
    <w:nsid w:val="608C3499"/>
    <w:multiLevelType w:val="hybridMultilevel"/>
    <w:tmpl w:val="413E573C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1">
    <w:nsid w:val="645D1349"/>
    <w:multiLevelType w:val="hybridMultilevel"/>
    <w:tmpl w:val="37AE9628"/>
    <w:lvl w:ilvl="0" w:tplc="677A5524">
      <w:start w:val="1"/>
      <w:numFmt w:val="lowerLetter"/>
      <w:lvlText w:val="%1)"/>
      <w:lvlJc w:val="left"/>
      <w:pPr>
        <w:tabs>
          <w:tab w:val="num" w:pos="3447"/>
        </w:tabs>
        <w:ind w:left="3447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D97AE3"/>
    <w:multiLevelType w:val="hybridMultilevel"/>
    <w:tmpl w:val="6486F5D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F34C1A"/>
    <w:multiLevelType w:val="hybridMultilevel"/>
    <w:tmpl w:val="0660D168"/>
    <w:lvl w:ilvl="0" w:tplc="09A41F5C">
      <w:start w:val="1"/>
      <w:numFmt w:val="lowerLetter"/>
      <w:lvlText w:val="%1)"/>
      <w:lvlJc w:val="left"/>
      <w:pPr>
        <w:ind w:left="360" w:hanging="360"/>
      </w:pPr>
      <w:rPr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B45747A"/>
    <w:multiLevelType w:val="hybridMultilevel"/>
    <w:tmpl w:val="41663264"/>
    <w:lvl w:ilvl="0" w:tplc="16F415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B945718"/>
    <w:multiLevelType w:val="hybridMultilevel"/>
    <w:tmpl w:val="FECEC0E4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36">
    <w:nsid w:val="73084CFD"/>
    <w:multiLevelType w:val="hybridMultilevel"/>
    <w:tmpl w:val="B57E364E"/>
    <w:lvl w:ilvl="0" w:tplc="9B42C7C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>
      <w:start w:val="1"/>
      <w:numFmt w:val="lowerRoman"/>
      <w:lvlText w:val="%3."/>
      <w:lvlJc w:val="right"/>
      <w:pPr>
        <w:ind w:left="2302" w:hanging="180"/>
      </w:pPr>
    </w:lvl>
    <w:lvl w:ilvl="3" w:tplc="0409000F">
      <w:start w:val="1"/>
      <w:numFmt w:val="decimal"/>
      <w:lvlText w:val="%4."/>
      <w:lvlJc w:val="left"/>
      <w:pPr>
        <w:ind w:left="3022" w:hanging="360"/>
      </w:pPr>
    </w:lvl>
    <w:lvl w:ilvl="4" w:tplc="04090019">
      <w:start w:val="1"/>
      <w:numFmt w:val="lowerLetter"/>
      <w:lvlText w:val="%5."/>
      <w:lvlJc w:val="left"/>
      <w:pPr>
        <w:ind w:left="3742" w:hanging="360"/>
      </w:pPr>
    </w:lvl>
    <w:lvl w:ilvl="5" w:tplc="0409001B">
      <w:start w:val="1"/>
      <w:numFmt w:val="lowerRoman"/>
      <w:lvlText w:val="%6."/>
      <w:lvlJc w:val="right"/>
      <w:pPr>
        <w:ind w:left="4462" w:hanging="180"/>
      </w:pPr>
    </w:lvl>
    <w:lvl w:ilvl="6" w:tplc="0409000F">
      <w:start w:val="1"/>
      <w:numFmt w:val="decimal"/>
      <w:lvlText w:val="%7."/>
      <w:lvlJc w:val="left"/>
      <w:pPr>
        <w:ind w:left="5182" w:hanging="360"/>
      </w:pPr>
    </w:lvl>
    <w:lvl w:ilvl="7" w:tplc="04090019">
      <w:start w:val="1"/>
      <w:numFmt w:val="lowerLetter"/>
      <w:lvlText w:val="%8."/>
      <w:lvlJc w:val="left"/>
      <w:pPr>
        <w:ind w:left="5902" w:hanging="360"/>
      </w:pPr>
    </w:lvl>
    <w:lvl w:ilvl="8" w:tplc="0409001B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7566826"/>
    <w:multiLevelType w:val="hybridMultilevel"/>
    <w:tmpl w:val="DCEA925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C8D73A6"/>
    <w:multiLevelType w:val="hybridMultilevel"/>
    <w:tmpl w:val="0BC2895E"/>
    <w:lvl w:ilvl="0" w:tplc="4E20AE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2"/>
  </w:num>
  <w:num w:numId="3">
    <w:abstractNumId w:val="36"/>
  </w:num>
  <w:num w:numId="4">
    <w:abstractNumId w:val="17"/>
  </w:num>
  <w:num w:numId="5">
    <w:abstractNumId w:val="28"/>
  </w:num>
  <w:num w:numId="6">
    <w:abstractNumId w:val="8"/>
  </w:num>
  <w:num w:numId="7">
    <w:abstractNumId w:val="31"/>
  </w:num>
  <w:num w:numId="8">
    <w:abstractNumId w:val="24"/>
  </w:num>
  <w:num w:numId="9">
    <w:abstractNumId w:val="27"/>
  </w:num>
  <w:num w:numId="10">
    <w:abstractNumId w:val="20"/>
  </w:num>
  <w:num w:numId="11">
    <w:abstractNumId w:val="35"/>
  </w:num>
  <w:num w:numId="12">
    <w:abstractNumId w:val="38"/>
  </w:num>
  <w:num w:numId="13">
    <w:abstractNumId w:val="23"/>
  </w:num>
  <w:num w:numId="14">
    <w:abstractNumId w:val="30"/>
  </w:num>
  <w:num w:numId="15">
    <w:abstractNumId w:val="3"/>
  </w:num>
  <w:num w:numId="16">
    <w:abstractNumId w:val="25"/>
  </w:num>
  <w:num w:numId="17">
    <w:abstractNumId w:val="19"/>
  </w:num>
  <w:num w:numId="18">
    <w:abstractNumId w:val="21"/>
  </w:num>
  <w:num w:numId="19">
    <w:abstractNumId w:val="18"/>
  </w:num>
  <w:num w:numId="20">
    <w:abstractNumId w:val="33"/>
  </w:num>
  <w:num w:numId="21">
    <w:abstractNumId w:val="37"/>
  </w:num>
  <w:num w:numId="22">
    <w:abstractNumId w:val="7"/>
  </w:num>
  <w:num w:numId="23">
    <w:abstractNumId w:val="11"/>
  </w:num>
  <w:num w:numId="24">
    <w:abstractNumId w:val="5"/>
  </w:num>
  <w:num w:numId="25">
    <w:abstractNumId w:val="9"/>
  </w:num>
  <w:num w:numId="26">
    <w:abstractNumId w:val="4"/>
  </w:num>
  <w:num w:numId="27">
    <w:abstractNumId w:val="15"/>
  </w:num>
  <w:num w:numId="28">
    <w:abstractNumId w:val="14"/>
  </w:num>
  <w:num w:numId="29">
    <w:abstractNumId w:val="10"/>
  </w:num>
  <w:num w:numId="30">
    <w:abstractNumId w:val="0"/>
  </w:num>
  <w:num w:numId="31">
    <w:abstractNumId w:val="12"/>
  </w:num>
  <w:num w:numId="32">
    <w:abstractNumId w:val="26"/>
  </w:num>
  <w:num w:numId="33">
    <w:abstractNumId w:val="1"/>
  </w:num>
  <w:num w:numId="34">
    <w:abstractNumId w:val="6"/>
  </w:num>
  <w:num w:numId="35">
    <w:abstractNumId w:val="29"/>
  </w:num>
  <w:num w:numId="36">
    <w:abstractNumId w:val="16"/>
  </w:num>
  <w:num w:numId="37">
    <w:abstractNumId w:val="13"/>
  </w:num>
  <w:num w:numId="38">
    <w:abstractNumId w:val="32"/>
  </w:num>
  <w:num w:numId="39">
    <w:abstractNumId w:val="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jc w:val="both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jc w:val="both"/>
      <w:outlineLvl w:val="1"/>
    </w:pPr>
    <w:rPr>
      <w:u w:val="single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jc w:val="both"/>
      <w:outlineLvl w:val="2"/>
    </w:pPr>
  </w:style>
  <w:style w:type="paragraph" w:styleId="Nadpis4">
    <w:name w:val="heading 4"/>
    <w:basedOn w:val="Normlny"/>
    <w:next w:val="Normlny"/>
    <w:link w:val="Nadpis4Char"/>
    <w:uiPriority w:val="99"/>
    <w:qFormat/>
    <w:pPr>
      <w:keepNext/>
      <w:outlineLvl w:val="3"/>
    </w:pPr>
  </w:style>
  <w:style w:type="paragraph" w:styleId="Nadpis5">
    <w:name w:val="heading 5"/>
    <w:basedOn w:val="Normlny"/>
    <w:next w:val="Normlny"/>
    <w:link w:val="Nadpis5Char"/>
    <w:uiPriority w:val="99"/>
    <w:qFormat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Nadpis9">
    <w:name w:val="heading 9"/>
    <w:basedOn w:val="Normlny"/>
    <w:next w:val="Normlny"/>
    <w:link w:val="Nadpis9Char"/>
    <w:uiPriority w:val="99"/>
    <w:qFormat/>
    <w:pPr>
      <w:keepNext/>
      <w:jc w:val="center"/>
      <w:outlineLvl w:val="8"/>
    </w:pPr>
    <w:rPr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Times New Roman" w:hAnsi="Times New Roman" w:cs="Times New Roman"/>
      <w:b/>
      <w:bCs/>
      <w:sz w:val="24"/>
      <w:szCs w:val="24"/>
      <w:lang w:val="sk-SK" w:eastAsia="sk-SK"/>
    </w:rPr>
  </w:style>
  <w:style w:type="character" w:customStyle="1" w:styleId="Nadpis2Char">
    <w:name w:val="Nadpis 2 Char"/>
    <w:link w:val="Nadpis2"/>
    <w:uiPriority w:val="99"/>
    <w:locked/>
    <w:rPr>
      <w:rFonts w:ascii="Times New Roman" w:hAnsi="Times New Roman" w:cs="Times New Roman"/>
      <w:sz w:val="24"/>
      <w:szCs w:val="24"/>
      <w:u w:val="single"/>
      <w:lang w:val="sk-SK" w:eastAsia="sk-SK"/>
    </w:rPr>
  </w:style>
  <w:style w:type="character" w:customStyle="1" w:styleId="Nadpis3Char">
    <w:name w:val="Nadpis 3 Char"/>
    <w:link w:val="Nadpis3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character" w:customStyle="1" w:styleId="Nadpis4Char">
    <w:name w:val="Nadpis 4 Char"/>
    <w:link w:val="Nadpis4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character" w:customStyle="1" w:styleId="Nadpis5Char">
    <w:name w:val="Nadpis 5 Char"/>
    <w:link w:val="Nadpis5"/>
    <w:uiPriority w:val="99"/>
    <w:semiHidden/>
    <w:locked/>
    <w:rPr>
      <w:rFonts w:ascii="Cambria" w:hAnsi="Cambria" w:cs="Cambria"/>
      <w:color w:val="243F60"/>
      <w:sz w:val="24"/>
      <w:szCs w:val="24"/>
      <w:lang w:val="sk-SK" w:eastAsia="sk-SK"/>
    </w:rPr>
  </w:style>
  <w:style w:type="character" w:customStyle="1" w:styleId="Nadpis9Char">
    <w:name w:val="Nadpis 9 Char"/>
    <w:link w:val="Nadpis9"/>
    <w:uiPriority w:val="99"/>
    <w:locked/>
    <w:rPr>
      <w:rFonts w:ascii="Times New Roman" w:hAnsi="Times New Roman" w:cs="Times New Roman"/>
      <w:b/>
      <w:bCs/>
      <w:i/>
      <w:iCs/>
      <w:sz w:val="28"/>
      <w:szCs w:val="28"/>
      <w:lang w:val="sk-SK" w:eastAsia="sk-SK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Zkladntext">
    <w:name w:val="Body Text"/>
    <w:basedOn w:val="Normlny"/>
    <w:link w:val="ZkladntextChar"/>
    <w:uiPriority w:val="99"/>
    <w:pPr>
      <w:jc w:val="both"/>
    </w:pPr>
  </w:style>
  <w:style w:type="character" w:customStyle="1" w:styleId="ZkladntextChar">
    <w:name w:val="Základný text Char"/>
    <w:link w:val="Zkladntext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703"/>
        <w:tab w:val="right" w:pos="9406"/>
      </w:tabs>
    </w:pPr>
  </w:style>
  <w:style w:type="character" w:customStyle="1" w:styleId="PtaChar">
    <w:name w:val="Päta Char"/>
    <w:link w:val="Pta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Nzov">
    <w:name w:val="Title"/>
    <w:basedOn w:val="Normlny"/>
    <w:link w:val="NzovChar"/>
    <w:qFormat/>
    <w:pPr>
      <w:jc w:val="center"/>
    </w:pPr>
    <w:rPr>
      <w:b/>
      <w:bCs/>
      <w:lang w:eastAsia="cs-CZ"/>
    </w:rPr>
  </w:style>
  <w:style w:type="character" w:customStyle="1" w:styleId="NzovChar">
    <w:name w:val="Názov Char"/>
    <w:link w:val="Nzov"/>
    <w:locked/>
    <w:rPr>
      <w:rFonts w:ascii="Times New Roman" w:hAnsi="Times New Roman" w:cs="Times New Roman"/>
      <w:b/>
      <w:bCs/>
      <w:sz w:val="24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99"/>
    <w:semiHidden/>
    <w:pPr>
      <w:tabs>
        <w:tab w:val="left" w:pos="709"/>
        <w:tab w:val="right" w:leader="dot" w:pos="9498"/>
      </w:tabs>
      <w:jc w:val="both"/>
    </w:pPr>
    <w:rPr>
      <w:rFonts w:eastAsia="Calibri"/>
      <w:lang w:eastAsia="en-US"/>
    </w:rPr>
  </w:style>
  <w:style w:type="paragraph" w:styleId="Obsah3">
    <w:name w:val="toc 3"/>
    <w:basedOn w:val="Normlny"/>
    <w:next w:val="Normlny"/>
    <w:autoRedefine/>
    <w:uiPriority w:val="99"/>
    <w:semiHidden/>
    <w:pPr>
      <w:tabs>
        <w:tab w:val="right" w:leader="dot" w:pos="9498"/>
      </w:tabs>
      <w:jc w:val="both"/>
    </w:pPr>
    <w:rPr>
      <w:lang w:eastAsia="en-US"/>
    </w:rPr>
  </w:style>
  <w:style w:type="paragraph" w:customStyle="1" w:styleId="Normlny12pt">
    <w:name w:val="Normálny + 12 pt"/>
    <w:aliases w:val="Podľa okraja,Riadkovanie:  1,5 riadka"/>
    <w:basedOn w:val="Normlny"/>
    <w:uiPriority w:val="99"/>
    <w:pPr>
      <w:spacing w:line="360" w:lineRule="auto"/>
      <w:jc w:val="both"/>
    </w:pPr>
    <w:rPr>
      <w:sz w:val="28"/>
      <w:szCs w:val="28"/>
      <w:lang w:eastAsia="cs-CZ"/>
    </w:rPr>
  </w:style>
  <w:style w:type="character" w:styleId="Hypertextovprepojenie">
    <w:name w:val="Hyperlink"/>
    <w:uiPriority w:val="99"/>
    <w:rPr>
      <w:color w:val="0000FF"/>
      <w:u w:val="single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Pr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locked/>
    <w:rPr>
      <w:rFonts w:ascii="Times New Roman" w:hAnsi="Times New Roman" w:cs="Times New Roman"/>
      <w:sz w:val="20"/>
      <w:szCs w:val="20"/>
      <w:lang w:val="sk-SK" w:eastAsia="cs-CZ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Odsekzoznamu">
    <w:name w:val="List Paragraph"/>
    <w:basedOn w:val="Normlny"/>
    <w:uiPriority w:val="99"/>
    <w:qFormat/>
    <w:pPr>
      <w:ind w:left="708"/>
    </w:pPr>
    <w:rPr>
      <w:sz w:val="20"/>
      <w:szCs w:val="20"/>
    </w:rPr>
  </w:style>
  <w:style w:type="paragraph" w:customStyle="1" w:styleId="NormlnsWWW">
    <w:name w:val="Normální (síť WWW)"/>
    <w:basedOn w:val="Norm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Siln">
    <w:name w:val="Strong"/>
    <w:uiPriority w:val="99"/>
    <w:qFormat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pPr>
      <w:spacing w:after="120" w:line="480" w:lineRule="auto"/>
    </w:pPr>
  </w:style>
  <w:style w:type="character" w:customStyle="1" w:styleId="Zkladntext2Char">
    <w:name w:val="Základný text 2 Char"/>
    <w:link w:val="Zkladntext2"/>
    <w:uiPriority w:val="99"/>
    <w:semiHidden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customStyle="1" w:styleId="iz">
    <w:name w:val="iz"/>
    <w:basedOn w:val="Normlny"/>
    <w:uiPriority w:val="99"/>
    <w:pPr>
      <w:spacing w:before="100" w:beforeAutospacing="1" w:after="100" w:afterAutospacing="1"/>
    </w:pPr>
  </w:style>
  <w:style w:type="paragraph" w:styleId="Obyajntext">
    <w:name w:val="Plain Text"/>
    <w:basedOn w:val="Normlny"/>
    <w:link w:val="ObyajntextChar"/>
    <w:uiPriority w:val="99"/>
    <w:semiHidden/>
    <w:rPr>
      <w:rFonts w:eastAsia="Calibri"/>
      <w:lang w:eastAsia="en-US"/>
    </w:rPr>
  </w:style>
  <w:style w:type="character" w:customStyle="1" w:styleId="ObyajntextChar">
    <w:name w:val="Obyčajný text Char"/>
    <w:link w:val="Obyajntext"/>
    <w:uiPriority w:val="99"/>
    <w:semiHidden/>
    <w:locked/>
    <w:rPr>
      <w:rFonts w:ascii="Times New Roman" w:hAnsi="Times New Roman" w:cs="Times New Roman"/>
      <w:sz w:val="21"/>
      <w:szCs w:val="21"/>
      <w:lang w:val="sk-SK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  <w:rPr>
      <w:rFonts w:ascii="Times New Roman" w:hAnsi="Times New Roman" w:cs="Times New Roman"/>
      <w:sz w:val="20"/>
      <w:szCs w:val="20"/>
      <w:lang w:val="sk-SK" w:eastAsia="sk-SK"/>
    </w:rPr>
  </w:style>
  <w:style w:type="table" w:styleId="Mriekatabuky">
    <w:name w:val="Table Grid"/>
    <w:basedOn w:val="Normlnatabuka"/>
    <w:uiPriority w:val="59"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tavecseseznamem1">
    <w:name w:val="Odstavec se seznamem1"/>
    <w:basedOn w:val="Normlny"/>
    <w:pPr>
      <w:ind w:left="708"/>
    </w:pPr>
    <w:rPr>
      <w:rFonts w:eastAsia="Calibri"/>
      <w:sz w:val="20"/>
      <w:szCs w:val="20"/>
    </w:rPr>
  </w:style>
  <w:style w:type="paragraph" w:customStyle="1" w:styleId="Normlnweb1">
    <w:name w:val="Normální (web)1"/>
    <w:basedOn w:val="Normlny"/>
    <w:uiPriority w:val="99"/>
    <w:pPr>
      <w:spacing w:before="100" w:after="100"/>
    </w:pPr>
    <w:rPr>
      <w:rFonts w:ascii="Arial Unicode MS" w:eastAsia="Arial Unicode MS" w:hAnsi="Arial Unicode MS" w:cs="Arial Unicode MS"/>
      <w:lang w:eastAsia="en-GB"/>
    </w:rPr>
  </w:style>
  <w:style w:type="paragraph" w:customStyle="1" w:styleId="Odstavecseseznamem2">
    <w:name w:val="Odstavec se seznamem2"/>
    <w:basedOn w:val="Normlny"/>
    <w:pPr>
      <w:ind w:left="708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0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3C30A-5F19-4DA3-A9AC-99568EB10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1639</TotalTime>
  <Pages>4</Pages>
  <Words>1178</Words>
  <Characters>6716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JUDr. Derevjaníková</dc:creator>
  <cp:lastModifiedBy>Moravčíková Jana</cp:lastModifiedBy>
  <cp:revision>311</cp:revision>
  <cp:lastPrinted>2015-01-07T11:49:00Z</cp:lastPrinted>
  <dcterms:created xsi:type="dcterms:W3CDTF">2015-01-08T09:28:00Z</dcterms:created>
  <dcterms:modified xsi:type="dcterms:W3CDTF">2018-04-23T13:31:00Z</dcterms:modified>
</cp:coreProperties>
</file>