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  <w:sz w:val="36"/>
          <w:szCs w:val="36"/>
        </w:rPr>
      </w:pPr>
      <w:r>
        <w:rPr>
          <w:b/>
          <w:sz w:val="36"/>
          <w:szCs w:val="36"/>
        </w:rPr>
        <w:t>§53a – Príspevok na podporu mobility za prácou</w:t>
      </w:r>
    </w:p>
    <w:p>
      <w:pPr>
        <w:rPr>
          <w:b/>
          <w:sz w:val="18"/>
          <w:szCs w:val="18"/>
        </w:rPr>
      </w:pPr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  <w:t>Poskytuje sa  odo dňa podania žiadosti</w:t>
      </w:r>
    </w:p>
    <w:p>
      <w:pPr>
        <w:tabs>
          <w:tab w:val="left" w:pos="567"/>
        </w:tabs>
        <w:jc w:val="both"/>
        <w:rPr>
          <w:bCs/>
        </w:rPr>
      </w:pPr>
      <w:r>
        <w:rPr>
          <w:bCs/>
        </w:rPr>
        <w:t xml:space="preserve">V prípade ak žiadosť nie je kompletná alebo doklady, ktoré sú prílohou žiadosti majú nejaké faktické alebo právne </w:t>
      </w:r>
      <w:proofErr w:type="spellStart"/>
      <w:r>
        <w:rPr>
          <w:bCs/>
        </w:rPr>
        <w:t>vady</w:t>
      </w:r>
      <w:proofErr w:type="spellEnd"/>
      <w:r>
        <w:rPr>
          <w:bCs/>
        </w:rPr>
        <w:t xml:space="preserve"> alebo neboli predložené, obdobie poskytovania sa určí odo dňa, keď žiadateľ predložil doklady bez </w:t>
      </w:r>
      <w:proofErr w:type="spellStart"/>
      <w:r>
        <w:rPr>
          <w:bCs/>
        </w:rPr>
        <w:t>vád</w:t>
      </w:r>
      <w:proofErr w:type="spellEnd"/>
      <w:r>
        <w:rPr>
          <w:bCs/>
        </w:rPr>
        <w:t xml:space="preserve"> a kompletné.</w:t>
      </w:r>
    </w:p>
    <w:p>
      <w:pPr>
        <w:tabs>
          <w:tab w:val="left" w:pos="709"/>
        </w:tabs>
        <w:jc w:val="both"/>
        <w:rPr>
          <w:bCs/>
          <w:iCs/>
        </w:rPr>
      </w:pPr>
      <w:r>
        <w:rPr>
          <w:bCs/>
          <w:iCs/>
        </w:rPr>
        <w:t>V prípade žiadateľov podľa § 53a ods. 6 je potrebné určiť obdobie poskytovania od podania žiadosti o poskytnutie príspevku. V takomto prípade sa príspevok podľa § 53 prestane poskytovať odo dňa podania žiadosti o poskytnutie príspevku (dohoda podľa § 53 s takouto skutočnosťou počíta).</w:t>
      </w:r>
    </w:p>
    <w:p>
      <w:pPr>
        <w:tabs>
          <w:tab w:val="left" w:pos="567"/>
        </w:tabs>
        <w:jc w:val="both"/>
        <w:rPr>
          <w:b/>
          <w:bCs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Podmienky poskytnutia</w:t>
      </w:r>
    </w:p>
    <w:p>
      <w:pPr>
        <w:pStyle w:val="Odsekzoznamu"/>
        <w:numPr>
          <w:ilvl w:val="0"/>
          <w:numId w:val="1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Zmena pobytu o 50 km ďalej (trvalý alebo prechodný pobyt)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dĺžka evidencie 3 mesiace nepretržite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pracovná zmluva najmenej na 6 mesiacov a  vyradenie podľa §36 ods. 1 písm. a)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požiadať do troch mesiacov od dňa vyradenia z evidencie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dĺžka poskytovania – 6 mesiacov, pri znevýhodnenom UoZ  - 12 mesiacov.</w:t>
      </w:r>
    </w:p>
    <w:p>
      <w:pPr>
        <w:pStyle w:val="Odsekzoznamu"/>
        <w:numPr>
          <w:ilvl w:val="0"/>
          <w:numId w:val="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Výška príspevku 80% zo sumy výdavkov, max 400 EUR počas prvých šiestich mesiacov a potom maximálne 200 EUR</w:t>
      </w:r>
    </w:p>
    <w:p>
      <w:pPr>
        <w:pStyle w:val="Odsekzoznamu1"/>
        <w:numPr>
          <w:ilvl w:val="0"/>
          <w:numId w:val="2"/>
        </w:numPr>
        <w:spacing w:after="120"/>
        <w:ind w:left="426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alebo ktorý požiada o poskytnutie príspevku počas poberania príspevku podľa § 53,</w:t>
      </w:r>
    </w:p>
    <w:p>
      <w:pPr>
        <w:pStyle w:val="Odsekzoznamu1"/>
        <w:numPr>
          <w:ilvl w:val="0"/>
          <w:numId w:val="2"/>
        </w:numPr>
        <w:spacing w:after="120"/>
        <w:ind w:left="426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alebo požiada o poskytnutie príspevku do jedného mesiaca od skončenia poskytovania príspevku podľa § 53.</w:t>
      </w:r>
    </w:p>
    <w:p>
      <w:pPr>
        <w:pStyle w:val="Nadpis3"/>
        <w:spacing w:after="120"/>
        <w:rPr>
          <w:rFonts w:asciiTheme="minorHAnsi" w:hAnsiTheme="minorHAnsi"/>
        </w:rPr>
      </w:pPr>
      <w:bookmarkStart w:id="0" w:name="_Toc69198883"/>
      <w:bookmarkStart w:id="1" w:name="_Toc69199000"/>
      <w:r>
        <w:rPr>
          <w:rFonts w:asciiTheme="minorHAnsi" w:hAnsiTheme="minorHAnsi"/>
        </w:rPr>
        <w:t xml:space="preserve">Za výdavky na bývanie súvisiace so zmenou pobytu na účely poskytnutia príspevku na podporu mobility za prácou </w:t>
      </w:r>
      <w:bookmarkEnd w:id="0"/>
      <w:bookmarkEnd w:id="1"/>
      <w:r>
        <w:rPr>
          <w:rFonts w:asciiTheme="minorHAnsi" w:hAnsiTheme="minorHAnsi"/>
        </w:rPr>
        <w:t xml:space="preserve">sa považujú preukázané mesačné výdavky na: úhradu za plnenia poskytované s užívaním bytu </w:t>
      </w:r>
      <w:r>
        <w:rPr>
          <w:rFonts w:asciiTheme="minorHAnsi" w:hAnsiTheme="minorHAnsi"/>
          <w:u w:val="single"/>
        </w:rPr>
        <w:t>alebo</w:t>
      </w:r>
      <w:r>
        <w:rPr>
          <w:rFonts w:asciiTheme="minorHAnsi" w:hAnsiTheme="minorHAnsi"/>
          <w:bCs w:val="0"/>
          <w:u w:val="single"/>
        </w:rPr>
        <w:t xml:space="preserve"> </w:t>
      </w:r>
      <w:r>
        <w:rPr>
          <w:rFonts w:asciiTheme="minorHAnsi" w:hAnsiTheme="minorHAnsi"/>
        </w:rPr>
        <w:t>nájomné.</w:t>
      </w:r>
    </w:p>
    <w:p>
      <w:pPr>
        <w:jc w:val="both"/>
        <w:rPr>
          <w:i/>
        </w:rPr>
      </w:pPr>
    </w:p>
    <w:p>
      <w:pPr>
        <w:pStyle w:val="Odsekzoznamu1"/>
        <w:tabs>
          <w:tab w:val="left" w:pos="0"/>
        </w:tabs>
        <w:spacing w:after="120"/>
        <w:ind w:left="0"/>
        <w:jc w:val="both"/>
        <w:rPr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>Obdobie poskytovania príspevku na podporu mobility za prácou</w:t>
      </w:r>
      <w:r>
        <w:rPr>
          <w:sz w:val="24"/>
          <w:szCs w:val="24"/>
        </w:rPr>
        <w:t xml:space="preserve"> je </w:t>
      </w:r>
      <w:r>
        <w:rPr>
          <w:sz w:val="24"/>
          <w:szCs w:val="24"/>
          <w:u w:val="single"/>
        </w:rPr>
        <w:t>najviac počas šiestich mesiacov</w:t>
      </w:r>
      <w:r>
        <w:rPr>
          <w:sz w:val="24"/>
          <w:szCs w:val="24"/>
        </w:rPr>
        <w:t>.</w:t>
      </w:r>
      <w:r>
        <w:rPr>
          <w:bCs/>
          <w:sz w:val="24"/>
          <w:szCs w:val="24"/>
        </w:rPr>
        <w:t xml:space="preserve"> Zamestnancovi, ktorý bol pred získaním zamestnania </w:t>
      </w:r>
      <w:r>
        <w:rPr>
          <w:b/>
          <w:bCs/>
          <w:sz w:val="24"/>
          <w:szCs w:val="24"/>
        </w:rPr>
        <w:t>znevýhodneným uchádzačom o zamestnanie</w:t>
      </w:r>
      <w:r>
        <w:rPr>
          <w:bCs/>
          <w:sz w:val="24"/>
          <w:szCs w:val="24"/>
        </w:rPr>
        <w:t xml:space="preserve">, sa príspevok na podporu mobility za prácou poskytuje </w:t>
      </w:r>
      <w:r>
        <w:rPr>
          <w:bCs/>
          <w:sz w:val="24"/>
          <w:szCs w:val="24"/>
          <w:u w:val="single"/>
        </w:rPr>
        <w:t>aj počas ďalších najviac šiestich mesiacov</w:t>
      </w:r>
      <w:r>
        <w:rPr>
          <w:bCs/>
          <w:sz w:val="24"/>
          <w:szCs w:val="24"/>
        </w:rPr>
        <w:t>.</w:t>
      </w:r>
    </w:p>
    <w:p>
      <w:pPr>
        <w:pStyle w:val="Odsekzoznamu1"/>
        <w:tabs>
          <w:tab w:val="left" w:pos="0"/>
        </w:tabs>
        <w:spacing w:after="12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prípade žiadateľov podľa § 53a ods. 6 je obdobie poskytovania nasledovné:</w:t>
      </w:r>
    </w:p>
    <w:p>
      <w:pPr>
        <w:pStyle w:val="Odsekzoznamu1"/>
        <w:numPr>
          <w:ilvl w:val="0"/>
          <w:numId w:val="6"/>
        </w:numPr>
        <w:tabs>
          <w:tab w:val="left" w:pos="0"/>
        </w:tabs>
        <w:spacing w:after="120"/>
        <w:ind w:left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ak žiadateľ požiada o poskytnutie príspevku počas obdobia poskytovania príspevku podľa § 53,</w:t>
      </w:r>
      <w:r>
        <w:rPr>
          <w:rFonts w:eastAsia="Times New Roman"/>
          <w:sz w:val="24"/>
          <w:szCs w:val="24"/>
        </w:rPr>
        <w:t xml:space="preserve"> príspevok sa poskytuje počas obdobia zostávajúceho do uplynutia obdobia poskytovania príspevku podľa § 53,</w:t>
      </w:r>
    </w:p>
    <w:p>
      <w:pPr>
        <w:pStyle w:val="Odsekzoznamu1"/>
        <w:numPr>
          <w:ilvl w:val="0"/>
          <w:numId w:val="6"/>
        </w:numPr>
        <w:tabs>
          <w:tab w:val="left" w:pos="0"/>
        </w:tabs>
        <w:spacing w:after="120"/>
        <w:ind w:left="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ak žiadateľ požiada o poskytnutie príspevku do jedného mesiaca od ukončenia poskytovania príspevku podľa § 53, príspevok sa poskytuje najviac počas troch mesiacov.</w:t>
      </w:r>
    </w:p>
    <w:p>
      <w:pPr>
        <w:pStyle w:val="Odsekzoznamu"/>
        <w:spacing w:line="276" w:lineRule="auto"/>
        <w:ind w:left="0"/>
        <w:rPr>
          <w:rFonts w:ascii="Times New Roman" w:hAnsi="Times New Roman"/>
          <w:sz w:val="24"/>
          <w:szCs w:val="24"/>
        </w:rPr>
      </w:pPr>
    </w:p>
    <w:p>
      <w:pPr>
        <w:pStyle w:val="Odsekzoznamu"/>
        <w:spacing w:line="276" w:lineRule="auto"/>
        <w:ind w:left="0"/>
        <w:jc w:val="both"/>
        <w:rPr>
          <w:b/>
          <w:bCs/>
        </w:rPr>
      </w:pPr>
      <w:r>
        <w:rPr>
          <w:b/>
          <w:bCs/>
        </w:rPr>
        <w:t>Podľa § 53a ods. 6 zákona o službách zamestnanosti, zamestnancovi, ktorý písomne požiada o príspevok počas poberania príspevku podľa § 53, sa príspevok poskytuje počas obdobia zostávajúceho do uplynutia obdobia poskytovania príspevku podľa § 53, a zamestnancovi, ktorý písomne požiada o príspevok do jedného mesiaca od skončenia poberania príspevku podľa § 53, sa príspevok poskytuje najviac počas troch mesiacov. Zamestnancovi podľa prvej vety sa príspevok poskytuje vo výške podľa odseku 4 písm. b); ustanovenia odseku 4 druhej vety a tretej vety sa nepoužijú.</w:t>
      </w:r>
    </w:p>
    <w:p>
      <w:pPr>
        <w:jc w:val="both"/>
        <w:rPr>
          <w:bCs/>
        </w:rPr>
      </w:pPr>
      <w:r>
        <w:t>Podľa § 53a ods. 8 zákona o službách zamestnanosti</w:t>
      </w:r>
      <w:r>
        <w:rPr>
          <w:bCs/>
        </w:rPr>
        <w:t xml:space="preserve"> úrad </w:t>
      </w:r>
      <w:r>
        <w:rPr>
          <w:b/>
          <w:bCs/>
        </w:rPr>
        <w:t>opätovne</w:t>
      </w:r>
      <w:r>
        <w:rPr>
          <w:bCs/>
        </w:rPr>
        <w:t xml:space="preserve"> poskytne príspevok na podporu mobility za prácou </w:t>
      </w:r>
      <w:r>
        <w:rPr>
          <w:bCs/>
          <w:u w:val="single"/>
        </w:rPr>
        <w:t>najskôr po uplynutí jedného roka od ukončenia obdobia jeho poskytovania</w:t>
      </w:r>
      <w:r>
        <w:rPr>
          <w:bCs/>
        </w:rPr>
        <w:t>.</w:t>
      </w:r>
    </w:p>
    <w:p>
      <w:pPr>
        <w:pStyle w:val="Odsekzoznamu"/>
        <w:spacing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>
      <w:pPr>
        <w:tabs>
          <w:tab w:val="left" w:pos="567"/>
        </w:tabs>
        <w:spacing w:after="120"/>
        <w:jc w:val="both"/>
      </w:pPr>
      <w:r>
        <w:rPr>
          <w:b/>
          <w:bCs/>
          <w:i/>
          <w:iCs/>
          <w:u w:val="single"/>
        </w:rPr>
        <w:t>Mesačná výška príspevku na podporu mobility za prácou:</w:t>
      </w:r>
    </w:p>
    <w:p>
      <w:pPr>
        <w:pStyle w:val="Odsekzoznamu1"/>
        <w:numPr>
          <w:ilvl w:val="0"/>
          <w:numId w:val="8"/>
        </w:numPr>
        <w:ind w:left="0" w:hanging="357"/>
        <w:jc w:val="both"/>
        <w:rPr>
          <w:sz w:val="24"/>
          <w:szCs w:val="24"/>
        </w:rPr>
      </w:pPr>
      <w:r>
        <w:rPr>
          <w:sz w:val="24"/>
          <w:szCs w:val="24"/>
        </w:rPr>
        <w:t>vychádza zo sumy mesačných v</w:t>
      </w:r>
      <w:r>
        <w:rPr>
          <w:bCs/>
          <w:sz w:val="24"/>
          <w:szCs w:val="24"/>
        </w:rPr>
        <w:t>ýdavkov na bývanie súvisiacich so zmenou miesta trvalého pobytu alebo nahlásením prechodného pobytu</w:t>
      </w:r>
      <w:r>
        <w:rPr>
          <w:sz w:val="24"/>
          <w:szCs w:val="24"/>
        </w:rPr>
        <w:t xml:space="preserve"> v súvislosti so získaním zamestnania,</w:t>
      </w:r>
    </w:p>
    <w:p>
      <w:pPr>
        <w:pStyle w:val="Odsekzoznamu"/>
        <w:numPr>
          <w:ilvl w:val="0"/>
          <w:numId w:val="7"/>
        </w:num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mesačná výška príspevku je 80 % zo sumy výdavkov podľa § 53a odsek 3, najviac:</w:t>
      </w:r>
    </w:p>
    <w:p>
      <w:pPr>
        <w:jc w:val="both"/>
      </w:pPr>
      <w:r>
        <w:t>a) 400 eur, a ak obaja manželia spĺňajú podmienky na poskytnutie príspevku, najviac 600 eur, počas obdobia prvých šiestich mesiacov,</w:t>
      </w:r>
    </w:p>
    <w:p>
      <w:pPr>
        <w:jc w:val="both"/>
        <w:rPr>
          <w:i/>
        </w:rPr>
      </w:pPr>
    </w:p>
    <w:p>
      <w:pPr>
        <w:jc w:val="both"/>
      </w:pPr>
      <w:r>
        <w:lastRenderedPageBreak/>
        <w:t>b) 200 eur, a ak obaja manželia spĺňajú podmienky na poskytnutie príspevku a aspoň jeden z manželov bol pred získaním zamestnania znevýhodneným uchádzačom o zamestnanie, najviac 300 eur, počas ďalších šiestich mesiacov.</w:t>
      </w:r>
    </w:p>
    <w:p>
      <w:pPr>
        <w:jc w:val="both"/>
        <w:rPr>
          <w:sz w:val="24"/>
        </w:rPr>
      </w:pPr>
      <w:r>
        <w:rPr>
          <w:sz w:val="24"/>
        </w:rPr>
        <w:t>V prípade, ak sa príspevok poskytuje žiadateľovi podľa § 53a ods. 6, výška príspevku je najviac: 200 eur.</w:t>
      </w:r>
    </w:p>
    <w:p>
      <w:pPr>
        <w:spacing w:line="276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bCs/>
          <w:iCs/>
        </w:rPr>
        <w:tab/>
        <w:t xml:space="preserve">Ak žiadateľ bude vyradený z evidencie uchádzačov o zamestnanie </w:t>
      </w:r>
      <w:r>
        <w:rPr>
          <w:b/>
          <w:bCs/>
          <w:iCs/>
        </w:rPr>
        <w:t xml:space="preserve">1. mája 2018 </w:t>
      </w:r>
      <w:r>
        <w:rPr>
          <w:bCs/>
          <w:iCs/>
        </w:rPr>
        <w:t xml:space="preserve">a </w:t>
      </w:r>
      <w:r>
        <w:rPr>
          <w:color w:val="000000"/>
        </w:rPr>
        <w:t xml:space="preserve">„Žiadosť o poskytnutie príspevku na podporu mobility za prácou“ si podá </w:t>
      </w:r>
      <w:r>
        <w:rPr>
          <w:b/>
          <w:color w:val="000000"/>
        </w:rPr>
        <w:t xml:space="preserve">25. mája </w:t>
      </w:r>
      <w:r>
        <w:rPr>
          <w:color w:val="000000"/>
        </w:rPr>
        <w:t xml:space="preserve">úrad v dohode o poskytnutí vyznačí obdobie poskytovania príspevku od </w:t>
      </w:r>
      <w:r>
        <w:rPr>
          <w:b/>
          <w:color w:val="000000"/>
        </w:rPr>
        <w:t>25. mája 2018.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b/>
          <w:color w:val="000000"/>
        </w:rPr>
      </w:pPr>
      <w:r>
        <w:rPr>
          <w:bCs/>
          <w:iCs/>
        </w:rPr>
        <w:tab/>
        <w:t xml:space="preserve">Ak žiadateľ bude vyradený z evidencie uchádzačov o zamestnanie </w:t>
      </w:r>
      <w:r>
        <w:rPr>
          <w:b/>
          <w:bCs/>
          <w:iCs/>
        </w:rPr>
        <w:t xml:space="preserve">15. mája 2018  </w:t>
      </w:r>
      <w:r>
        <w:rPr>
          <w:bCs/>
          <w:iCs/>
        </w:rPr>
        <w:t xml:space="preserve"> a </w:t>
      </w:r>
      <w:r>
        <w:rPr>
          <w:color w:val="000000"/>
        </w:rPr>
        <w:t xml:space="preserve">„Žiadosť o poskytnutie príspevku na podporu mobility za prácou“ si podá </w:t>
      </w:r>
      <w:r>
        <w:rPr>
          <w:b/>
          <w:color w:val="000000"/>
        </w:rPr>
        <w:t>25. júla</w:t>
      </w:r>
      <w:r>
        <w:rPr>
          <w:color w:val="000000"/>
        </w:rPr>
        <w:t xml:space="preserve">, úrad v dohode o poskytnutí vyznačí obdobie poskytovania príspevku od </w:t>
      </w:r>
      <w:r>
        <w:rPr>
          <w:b/>
          <w:color w:val="000000"/>
        </w:rPr>
        <w:t>25. júla 2018.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pStyle w:val="Odsekzoznamu"/>
        <w:tabs>
          <w:tab w:val="left" w:pos="709"/>
        </w:tabs>
        <w:ind w:left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V prípadoch, keď nie je doba poskytovania príspevku určená od prvého dňa kalendárneho mesiaca úrad vypláca alikvotnú čiastku príspevku. Alikvotná čiastka sa vypočíta za dni v konkrétnom kalendárnom mesiaci, za ktoré žiadateľovi vznikli výdavky. Suma celého príspevku v úhrne nesmie prevýšiť maximálnu sumu príspevku za obdobie poskytovania t. j. 6x400 = 2400 Eur.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  <w:u w:val="single"/>
        </w:rPr>
        <w:t>Alikvotná čiastka príspevku</w:t>
      </w:r>
      <w:r>
        <w:rPr>
          <w:color w:val="000000"/>
        </w:rPr>
        <w:t xml:space="preserve"> sa vypočíta nasledovne: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Obdobie poskytovania : 15. máj 2018 -  14. november 2018.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Alikvotná čiastka príspevku </w:t>
      </w:r>
      <w:r>
        <w:rPr>
          <w:color w:val="000000"/>
          <w:u w:val="single"/>
        </w:rPr>
        <w:t>za máj</w:t>
      </w:r>
      <w:r>
        <w:rPr>
          <w:color w:val="000000"/>
        </w:rPr>
        <w:t xml:space="preserve"> sa vypočíta z </w:t>
      </w:r>
      <w:r>
        <w:rPr>
          <w:color w:val="000000"/>
          <w:u w:val="single"/>
        </w:rPr>
        <w:t>denného nákladu</w:t>
      </w:r>
      <w:r>
        <w:rPr>
          <w:color w:val="000000"/>
        </w:rPr>
        <w:t xml:space="preserve">, ktorý sa určí nasledovne: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80% z výdavkov, maximálne 400 Eur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  <w:u w:val="single"/>
        </w:rPr>
        <w:t>_________________________________________</w:t>
      </w:r>
      <w:r>
        <w:rPr>
          <w:color w:val="000000"/>
        </w:rPr>
        <w:t xml:space="preserve"> (/ podiel) = denný náklad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počet dní v mesiaci (31 dní za máj v tomto príklade)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Následne </w:t>
      </w:r>
      <w:r>
        <w:rPr>
          <w:color w:val="000000"/>
          <w:u w:val="single"/>
        </w:rPr>
        <w:t>alikvotná čiastka príspevku predstavuje</w:t>
      </w:r>
      <w:r>
        <w:rPr>
          <w:color w:val="000000"/>
        </w:rPr>
        <w:t>:</w:t>
      </w:r>
    </w:p>
    <w:p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Denný náklad </w:t>
      </w:r>
      <w:r>
        <w:rPr>
          <w:b/>
          <w:color w:val="000000"/>
        </w:rPr>
        <w:t>x (krát)</w:t>
      </w:r>
      <w:r>
        <w:rPr>
          <w:color w:val="000000"/>
        </w:rPr>
        <w:t xml:space="preserve"> počet dní za ktoré sa náklad uhrádza v danom mesiaci (V tomto príklade  31 – 15 = 16 dní) </w:t>
      </w:r>
    </w:p>
    <w:p>
      <w:pPr>
        <w:tabs>
          <w:tab w:val="left" w:pos="709"/>
        </w:tabs>
        <w:jc w:val="both"/>
        <w:rPr>
          <w:color w:val="000000"/>
        </w:rPr>
      </w:pPr>
    </w:p>
    <w:p>
      <w:pPr>
        <w:tabs>
          <w:tab w:val="left" w:pos="709"/>
        </w:tabs>
        <w:jc w:val="both"/>
        <w:rPr>
          <w:b/>
          <w:color w:val="000000"/>
        </w:rPr>
      </w:pPr>
      <w:r>
        <w:rPr>
          <w:b/>
          <w:color w:val="000000"/>
        </w:rPr>
        <w:t>Koniec obdobia poskytovania, úrad určí podľa trvania pracovného pomeru. V prípade ak je pracovný pomer dohodnutý na dobu neurčitú úrad obdobie poskytovania schváli na 6 mesiacov/12 mesiacov, ak bol žiadateľ pred vyradením znevýhodneným uchádzačom o zamestnanie. V prípade, ak je pracovný pomer dohodnutý na dobu určitú najmenej na 6 mesiacov, úrad určí koniec obdobia poskytovania do skončenia trvania pracovného pomeru, ak nastane skôr ako obdobie skončenia poskytovania príspevku.</w:t>
      </w:r>
    </w:p>
    <w:p>
      <w:pPr>
        <w:spacing w:line="276" w:lineRule="auto"/>
        <w:rPr>
          <w:rFonts w:ascii="Times New Roman" w:hAnsi="Times New Roman"/>
          <w:sz w:val="24"/>
          <w:szCs w:val="24"/>
        </w:rPr>
      </w:pPr>
    </w:p>
    <w:p>
      <w:pPr>
        <w:jc w:val="both"/>
        <w:rPr>
          <w:i/>
          <w:iCs/>
        </w:rPr>
      </w:pPr>
      <w:r>
        <w:rPr>
          <w:i/>
          <w:iCs/>
        </w:rPr>
        <w:t>Príspevok na podporu mobility za prácou za príslušný mesiac sa zaokrúhľuje matematicky na dve desatinné čísla.</w:t>
      </w:r>
    </w:p>
    <w:p>
      <w:pPr>
        <w:pStyle w:val="Odsekzoznamu"/>
        <w:ind w:left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  <w:t>Žiadosť a jej Prílohy</w:t>
      </w:r>
    </w:p>
    <w:p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  <w:t>Prílohy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Kópia dokladu o zmene trvalého pobytu alebo o nahlásení prechodného pobytu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Kópia pracovnej zmluvy, (voliteľná možnosť predložiť potvrdenie zamestnávateľa o trvaní pracovného pomeru za predchádzajúce obdobie)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4"/>
          <w:lang w:eastAsia="sk-SK"/>
        </w:rPr>
        <w:t>Kópia dokladu preukazujúceho náklady spojené s užívaním  bytu</w:t>
      </w:r>
      <w:r>
        <w:rPr>
          <w:rFonts w:ascii="Times New Roman" w:hAnsi="Times New Roman"/>
          <w:sz w:val="20"/>
          <w:szCs w:val="20"/>
          <w:lang w:eastAsia="sk-SK"/>
        </w:rPr>
        <w:t>/Kópia nájomnej zmluvy/Kópia zmluvy o podnájme bytu (časti bytu) /Zmluva o ubytovaní</w:t>
      </w:r>
      <w:r>
        <w:rPr>
          <w:rFonts w:ascii="Times New Roman" w:hAnsi="Times New Roman"/>
          <w:bCs/>
          <w:iCs/>
          <w:sz w:val="20"/>
          <w:szCs w:val="20"/>
        </w:rPr>
        <w:t xml:space="preserve">  (voliteľná možnosť preukázať výdavky na bývanie za predchádzajúci mesiac)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Poučenie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color w:val="000000"/>
          <w:sz w:val="20"/>
          <w:szCs w:val="24"/>
          <w:lang w:eastAsia="sk-SK"/>
        </w:rPr>
        <w:t>Vyhlásenie o neprevádzkovaní/prevádzkovaní samostatnej zárobkovej činnosti</w:t>
      </w:r>
    </w:p>
    <w:p>
      <w:pPr>
        <w:pStyle w:val="ListParagraph1"/>
        <w:numPr>
          <w:ilvl w:val="0"/>
          <w:numId w:val="3"/>
        </w:numPr>
        <w:autoSpaceDE w:val="0"/>
        <w:autoSpaceDN w:val="0"/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>
      <w:pgSz w:w="11906" w:h="16838"/>
      <w:pgMar w:top="709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59D2"/>
    <w:multiLevelType w:val="hybridMultilevel"/>
    <w:tmpl w:val="29C6E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1C04E2"/>
    <w:multiLevelType w:val="hybridMultilevel"/>
    <w:tmpl w:val="E60031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C3499"/>
    <w:multiLevelType w:val="hybridMultilevel"/>
    <w:tmpl w:val="8F9CCFA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45D1349"/>
    <w:multiLevelType w:val="hybridMultilevel"/>
    <w:tmpl w:val="37AE9628"/>
    <w:lvl w:ilvl="0" w:tplc="677A5524">
      <w:start w:val="1"/>
      <w:numFmt w:val="lowerLetter"/>
      <w:lvlText w:val="%1)"/>
      <w:lvlJc w:val="left"/>
      <w:pPr>
        <w:tabs>
          <w:tab w:val="num" w:pos="3447"/>
        </w:tabs>
        <w:ind w:left="3447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5D97AE3"/>
    <w:multiLevelType w:val="hybridMultilevel"/>
    <w:tmpl w:val="6486F5D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5E0019"/>
    <w:multiLevelType w:val="hybridMultilevel"/>
    <w:tmpl w:val="7884DFCA"/>
    <w:lvl w:ilvl="0" w:tplc="C966E0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15FAC"/>
    <w:multiLevelType w:val="hybridMultilevel"/>
    <w:tmpl w:val="439896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7BA12967"/>
    <w:multiLevelType w:val="hybridMultilevel"/>
    <w:tmpl w:val="4A203EE4"/>
    <w:lvl w:ilvl="0" w:tplc="689ECE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eastAsiaTheme="minorHAnsi" w:hAnsi="Calibri"/>
      <w:sz w:val="22"/>
      <w:szCs w:val="22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character" w:styleId="Hypertextovprepojenie">
    <w:name w:val="Hyperlink"/>
    <w:basedOn w:val="Predvolenpsmoodseku"/>
    <w:uiPriority w:val="99"/>
    <w:semiHidden/>
    <w:unhideWhenUsed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</w:style>
  <w:style w:type="paragraph" w:customStyle="1" w:styleId="ListParagraph1">
    <w:name w:val="List Paragraph1"/>
    <w:basedOn w:val="Normlny"/>
    <w:pPr>
      <w:spacing w:after="200" w:line="276" w:lineRule="auto"/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Theme="minorHAnsi" w:hAnsi="Tahoma" w:cs="Tahoma"/>
      <w:sz w:val="16"/>
      <w:szCs w:val="16"/>
    </w:rPr>
  </w:style>
  <w:style w:type="paragraph" w:customStyle="1" w:styleId="Odsekzoznamu1">
    <w:name w:val="Odsek zoznamu1"/>
    <w:basedOn w:val="Normlny"/>
    <w:pPr>
      <w:ind w:left="708"/>
    </w:pPr>
    <w:rPr>
      <w:rFonts w:ascii="Times New Roman" w:eastAsia="Calibri" w:hAnsi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eastAsiaTheme="minorHAnsi" w:hAnsi="Calibri"/>
      <w:sz w:val="22"/>
      <w:szCs w:val="22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character" w:styleId="Hypertextovprepojenie">
    <w:name w:val="Hyperlink"/>
    <w:basedOn w:val="Predvolenpsmoodseku"/>
    <w:uiPriority w:val="99"/>
    <w:semiHidden/>
    <w:unhideWhenUsed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</w:style>
  <w:style w:type="paragraph" w:customStyle="1" w:styleId="ListParagraph1">
    <w:name w:val="List Paragraph1"/>
    <w:basedOn w:val="Normlny"/>
    <w:pPr>
      <w:spacing w:after="200" w:line="276" w:lineRule="auto"/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Theme="minorHAnsi" w:hAnsi="Tahoma" w:cs="Tahoma"/>
      <w:sz w:val="16"/>
      <w:szCs w:val="16"/>
    </w:rPr>
  </w:style>
  <w:style w:type="paragraph" w:customStyle="1" w:styleId="Odsekzoznamu1">
    <w:name w:val="Odsek zoznamu1"/>
    <w:basedOn w:val="Normlny"/>
    <w:pPr>
      <w:ind w:left="708"/>
    </w:pPr>
    <w:rPr>
      <w:rFonts w:ascii="Times New Roman" w:eastAsia="Calibri" w:hAnsi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3</cp:revision>
  <cp:lastPrinted>2018-04-24T10:28:00Z</cp:lastPrinted>
  <dcterms:created xsi:type="dcterms:W3CDTF">2018-04-24T10:27:00Z</dcterms:created>
  <dcterms:modified xsi:type="dcterms:W3CDTF">2018-10-22T14:13:00Z</dcterms:modified>
</cp:coreProperties>
</file>