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Príspevok na mentorované zapracovanie a prax u zamestnávateľa,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ktorý na tento účel vytvorí PM v rámci národného projektu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„Praxou k zamestnaniu 2“ podľa §54 ods. 1 písm. a)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 môže poskytnúť príspevok podporu  vytvorenia pracovného miesta na </w:t>
      </w:r>
      <w:r>
        <w:rPr>
          <w:rFonts w:ascii="Times New Roman" w:hAnsi="Times New Roman" w:cs="Times New Roman"/>
          <w:sz w:val="24"/>
          <w:szCs w:val="24"/>
        </w:rPr>
        <w:t>mentorované zapracovanie a prax.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je poskytnúť mladým ľuďom </w:t>
      </w:r>
      <w:r>
        <w:rPr>
          <w:rFonts w:ascii="Times New Roman" w:hAnsi="Times New Roman" w:cs="Times New Roman"/>
          <w:b/>
          <w:sz w:val="24"/>
          <w:szCs w:val="24"/>
        </w:rPr>
        <w:t>do 29 rokov</w:t>
      </w:r>
      <w:r>
        <w:rPr>
          <w:rFonts w:ascii="Times New Roman" w:hAnsi="Times New Roman" w:cs="Times New Roman"/>
          <w:sz w:val="24"/>
          <w:szCs w:val="24"/>
        </w:rPr>
        <w:t xml:space="preserve"> veku možnosť získať alebo zvýšiť               a prehĺbiť svoje odborné zručnosti, vedomosti a praktické skúseností, ktoré zodpovedajú najmä ich dosiahnutému stupňu vzdelania v príslušnej skupine učebných odborov alebo študijných odborov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formou mentorovaného zapracovania a praxe u zamestnávateľa, ktorý vytvorí pracovné miesto za účelom ich umiestnenia a udržania sa na trhu práce.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Splnenie stanoveného cieľa sa zabezpečí poskytovaním finančných príspevkov                                  na mentorované zapracovanie a prax u zamestnávateľa, ktorý na tento účel vytvorí pracovné miesto na dobu </w:t>
      </w:r>
      <w:r>
        <w:rPr>
          <w:rFonts w:ascii="Times New Roman" w:hAnsi="Times New Roman" w:cs="Times New Roman"/>
          <w:b/>
          <w:sz w:val="24"/>
          <w:szCs w:val="24"/>
        </w:rPr>
        <w:t xml:space="preserve">minimálne 6 mesiacov a </w:t>
      </w:r>
      <w:r>
        <w:rPr>
          <w:rFonts w:ascii="Times New Roman" w:hAnsi="Times New Roman" w:cs="Times New Roman"/>
          <w:sz w:val="24"/>
          <w:szCs w:val="24"/>
        </w:rPr>
        <w:t xml:space="preserve">  uzatvorí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pracovný pomer v rozsahu ustanoveného </w:t>
      </w:r>
      <w:r>
        <w:rPr>
          <w:rFonts w:ascii="Times New Roman" w:hAnsi="Times New Roman" w:cs="Times New Roman"/>
          <w:b/>
          <w:sz w:val="24"/>
          <w:szCs w:val="24"/>
        </w:rPr>
        <w:t>týždenného pracovného času</w:t>
      </w:r>
      <w:r>
        <w:rPr>
          <w:rFonts w:ascii="Times New Roman" w:hAnsi="Times New Roman" w:cs="Times New Roman"/>
          <w:sz w:val="24"/>
          <w:szCs w:val="24"/>
        </w:rPr>
        <w:t xml:space="preserve"> alebo v rozsahu </w:t>
      </w:r>
      <w:r>
        <w:rPr>
          <w:rFonts w:ascii="Times New Roman" w:hAnsi="Times New Roman" w:cs="Times New Roman"/>
          <w:b/>
          <w:sz w:val="24"/>
          <w:szCs w:val="24"/>
        </w:rPr>
        <w:t>polovice ustanoveného týždenného času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Cieľové skupiny: </w:t>
      </w: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UoZ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vo veku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do 29 rokov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(29 rokov mínus 1 deň) vedení v evidencii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UoZ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minimálne 1 mesiac</w:t>
      </w:r>
      <w:r>
        <w:rPr>
          <w:rFonts w:ascii="Times New Roman" w:eastAsia="Arial Unicode MS" w:hAnsi="Times New Roman" w:cs="Times New Roman"/>
          <w:sz w:val="24"/>
          <w:szCs w:val="24"/>
        </w:rPr>
        <w:t>, ktorí nie sú zamestnaní, nepokračujú v procese vzdelávania, ani sa nezúčastňujú na odbornej príprave (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employment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education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training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– ďalej len  „NEET“),</w:t>
      </w:r>
    </w:p>
    <w:p>
      <w:pPr>
        <w:pStyle w:val="Normlnywebov"/>
        <w:spacing w:before="0" w:beforeAutospacing="0" w:after="0" w:afterAutospacing="0"/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>
      <w:pPr>
        <w:pStyle w:val="Normlnywebov"/>
        <w:spacing w:before="0" w:beforeAutospacing="0" w:after="0" w:afterAutospacing="0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Cieľová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skupina musí byť vždy z 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oprávneného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územia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projektu. </w:t>
      </w:r>
    </w:p>
    <w:p>
      <w:pPr>
        <w:pStyle w:val="Normlnywebov"/>
        <w:spacing w:before="0" w:beforeAutospacing="0" w:after="0" w:afterAutospacing="0"/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rámci národného projektu sú stanovené ďalšie kritéria výberu </w:t>
      </w:r>
      <w:proofErr w:type="spellStart"/>
      <w:r>
        <w:rPr>
          <w:rFonts w:ascii="Times New Roman" w:hAnsi="Times New Roman" w:cs="Times New Roman"/>
          <w:sz w:val="24"/>
          <w:szCs w:val="24"/>
        </w:rPr>
        <w:t>UoZ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oprávnenej cieľovej skupiny, ktoré musia byť zohľadnené vzhľadom na merateľné ukazovatele, ktoré sú stanovené v Operačnom programe Ľudské zdroje a je nevyhnutné ich dodržiavať.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záujme výberu vhodného kandidáta z oprávnenej cieľovej skupiny, ktorý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musí spĺňať aj kritériá merateľných ukazovateľov príslušného úradu je výber vhodného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UoZ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kompetencii príslušného úradu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>
      <w:pPr>
        <w:pStyle w:val="Odsekzoznamu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Zamestnávateľ uvádza v žiadosti o poskytnutie finančných príspevkov identifikačné údaje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UoZ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ktorého má v pláne prijať do pracovného pomeru.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ak zamestnávateľ v čase podávania žiadosti o poskytnutie finančných príspevkov </w:t>
      </w:r>
      <w:r>
        <w:rPr>
          <w:rFonts w:ascii="Times New Roman" w:hAnsi="Times New Roman" w:cs="Times New Roman"/>
          <w:b/>
          <w:sz w:val="24"/>
          <w:szCs w:val="24"/>
        </w:rPr>
        <w:t>nemá vybratého kandidáta</w:t>
      </w:r>
      <w:r>
        <w:rPr>
          <w:rFonts w:ascii="Times New Roman" w:hAnsi="Times New Roman" w:cs="Times New Roman"/>
          <w:sz w:val="24"/>
          <w:szCs w:val="24"/>
        </w:rPr>
        <w:t xml:space="preserve">, výber vhodného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UoZ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môže na žiadosť zamestnávateľa  napr. prostredníctvom výberového konania zabezpečiť príslušný úrad, </w:t>
      </w:r>
      <w:r>
        <w:rPr>
          <w:rFonts w:ascii="Times New Roman" w:hAnsi="Times New Roman" w:cs="Times New Roman"/>
          <w:b/>
          <w:sz w:val="24"/>
          <w:szCs w:val="24"/>
        </w:rPr>
        <w:t>pred posudzovaním žiadosti</w:t>
      </w:r>
      <w:r>
        <w:rPr>
          <w:rFonts w:ascii="Times New Roman" w:hAnsi="Times New Roman" w:cs="Times New Roman"/>
          <w:sz w:val="24"/>
          <w:szCs w:val="24"/>
        </w:rPr>
        <w:t xml:space="preserve"> o poskytnutie finančných príspevkov.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Úrad </w:t>
      </w:r>
      <w:r>
        <w:rPr>
          <w:rFonts w:ascii="Times New Roman" w:hAnsi="Times New Roman" w:cs="Times New Roman"/>
          <w:b/>
          <w:sz w:val="24"/>
          <w:szCs w:val="24"/>
        </w:rPr>
        <w:t xml:space="preserve">posúdi, či tento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UoZ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spĺňa všetky podmienky oprávnenej cieľovej skupiny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odporučí/neodporučí</w:t>
      </w:r>
      <w:r>
        <w:rPr>
          <w:rFonts w:ascii="Times New Roman" w:hAnsi="Times New Roman" w:cs="Times New Roman"/>
          <w:sz w:val="24"/>
          <w:szCs w:val="24"/>
        </w:rPr>
        <w:t xml:space="preserve"> žiadosť o poskytnutie finančných príspevkov na schválenie riaditeľovi príslušného úradu.</w:t>
      </w:r>
    </w:p>
    <w:p>
      <w:pPr>
        <w:spacing w:after="0" w:line="240" w:lineRule="auto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Príslušný úrad </w:t>
      </w:r>
      <w:r>
        <w:rPr>
          <w:rFonts w:ascii="Times New Roman" w:hAnsi="Times New Roman" w:cs="Times New Roman"/>
          <w:b/>
          <w:sz w:val="24"/>
          <w:szCs w:val="24"/>
        </w:rPr>
        <w:t>môže</w:t>
      </w:r>
      <w:r>
        <w:rPr>
          <w:rFonts w:ascii="Times New Roman" w:hAnsi="Times New Roman" w:cs="Times New Roman"/>
          <w:sz w:val="24"/>
          <w:szCs w:val="24"/>
        </w:rPr>
        <w:t xml:space="preserve"> zamestnávateľovi </w:t>
      </w:r>
      <w:r>
        <w:rPr>
          <w:rFonts w:ascii="Times New Roman" w:hAnsi="Times New Roman" w:cs="Times New Roman"/>
          <w:b/>
          <w:sz w:val="24"/>
          <w:szCs w:val="24"/>
        </w:rPr>
        <w:t>neschváliť</w:t>
      </w:r>
      <w:r>
        <w:rPr>
          <w:rFonts w:ascii="Times New Roman" w:hAnsi="Times New Roman" w:cs="Times New Roman"/>
          <w:sz w:val="24"/>
          <w:szCs w:val="24"/>
        </w:rPr>
        <w:t xml:space="preserve"> vybratého </w:t>
      </w:r>
      <w:proofErr w:type="spellStart"/>
      <w:r>
        <w:rPr>
          <w:rFonts w:ascii="Times New Roman" w:hAnsi="Times New Roman" w:cs="Times New Roman"/>
          <w:sz w:val="24"/>
          <w:szCs w:val="24"/>
        </w:rPr>
        <w:t>UoZ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pracovné miesto a následne pozastaviť schvaľovanie žiadosti o poskytnutie finančných  príspevkov, resp. ju zamietnuť z dôvodu dodržania % podielu merateľných ukazovateľov, ktoré je úrad povinný dodržiavať v zmysle schválenej Zmluvy o poskytnutí nenávratného finančného príspevku v súlade s Operačným programom Ľudské zdroje. </w:t>
      </w:r>
    </w:p>
    <w:p>
      <w:pPr>
        <w:pStyle w:val="Odsekzoznamu"/>
        <w:rPr>
          <w:rFonts w:ascii="Times New Roman" w:hAnsi="Times New Roman" w:cs="Times New Roman"/>
          <w:sz w:val="16"/>
          <w:szCs w:val="16"/>
        </w:rPr>
      </w:pPr>
    </w:p>
    <w:p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Podmienkou zaradenia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UoZ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projektu je vyplnenie „Karty účastníka“, ktorú 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UoZ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povinný v spolupráci s príslušným zamestnancom úradu vyplniť a podpísať najneskôr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 deň pred vznikom pracovného pomeru</w:t>
      </w:r>
      <w:r>
        <w:rPr>
          <w:rFonts w:ascii="Times New Roman" w:hAnsi="Times New Roman" w:cs="Times New Roman"/>
          <w:b/>
          <w:sz w:val="24"/>
          <w:szCs w:val="24"/>
        </w:rPr>
        <w:t xml:space="preserve">, to znamená deň pred vyradením z evidencie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UoZ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eastAsia="Arial Unicode MS" w:hAnsi="Times New Roman" w:cs="Times New Roman"/>
          <w:sz w:val="16"/>
          <w:szCs w:val="16"/>
        </w:rPr>
      </w:pPr>
    </w:p>
    <w:p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Finančné príspevky na mentorované zapracovanie a prax poskytuje zamestnávateľovi úrad, v ktorého územnom obvode  zamestnávateľ  </w:t>
      </w:r>
      <w:r>
        <w:rPr>
          <w:rFonts w:ascii="Times New Roman" w:hAnsi="Times New Roman" w:cs="Times New Roman"/>
          <w:b/>
          <w:sz w:val="24"/>
          <w:szCs w:val="24"/>
          <w:lang w:val="sk-SK"/>
        </w:rPr>
        <w:t>vytvorí pracovné miesto.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>
      <w:pPr>
        <w:pStyle w:val="Normlnywebov"/>
        <w:spacing w:before="0" w:beforeAutospacing="0" w:after="0" w:afterAutospacing="0"/>
        <w:jc w:val="both"/>
        <w:rPr>
          <w:rFonts w:ascii="Times New Roman" w:hAnsi="Times New Roman" w:cs="Times New Roman"/>
          <w:sz w:val="16"/>
          <w:szCs w:val="16"/>
          <w:lang w:val="sk-SK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Finančné príspevky sa poskytnú zamestnávateľovi, ktorý na vytvorené pracovné miesto prijme do pracovného pomeru </w:t>
      </w:r>
      <w:proofErr w:type="spellStart"/>
      <w:r>
        <w:rPr>
          <w:rFonts w:ascii="Times New Roman" w:hAnsi="Times New Roman" w:cs="Times New Roman"/>
          <w:sz w:val="24"/>
          <w:szCs w:val="24"/>
        </w:rPr>
        <w:t>UoZ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oprávnenej cieľovej skupiny na pracovný úväzok dohodnutý v rozsahu ustanoveného týždenného pracovného času alebo v rozsahu polovice ustanoveného týždenného pracovného času (ďalej „plný alebo polovičný pracovný úväzok“) na dobu minimálne 6 mesiacov, resp. na dobu neurčitú, pričom </w:t>
      </w:r>
      <w:r>
        <w:rPr>
          <w:rFonts w:ascii="Times New Roman" w:hAnsi="Times New Roman" w:cs="Times New Roman"/>
          <w:b/>
          <w:sz w:val="24"/>
          <w:szCs w:val="24"/>
        </w:rPr>
        <w:t>finančné príspevky sa poskytujú zamestnávateľovi mesačne najmenej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počas 6 mesiacov a najviac počas            9 mesiacov</w:t>
      </w:r>
      <w:r>
        <w:rPr>
          <w:rFonts w:ascii="Times New Roman" w:hAnsi="Times New Roman" w:cs="Times New Roman"/>
          <w:sz w:val="24"/>
          <w:szCs w:val="24"/>
        </w:rPr>
        <w:t xml:space="preserve"> (to znamená, že pracovné miesto môže byť podporované 6, 7, 8, 9 mesiacov). 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Za umiestnenie na trhu práce sa považuje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uzatvorenie pracovného pomeru s 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UoZ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na </w:t>
      </w:r>
      <w:r>
        <w:rPr>
          <w:rFonts w:ascii="Times New Roman" w:eastAsia="Calibri" w:hAnsi="Times New Roman" w:cs="Times New Roman"/>
          <w:b/>
          <w:sz w:val="24"/>
          <w:szCs w:val="24"/>
        </w:rPr>
        <w:t>plný alebo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polovičný pracovný úväzok na dobu minimálne 6 mesiacov</w:t>
      </w:r>
      <w:r>
        <w:rPr>
          <w:rFonts w:ascii="Times New Roman" w:eastAsia="Calibri" w:hAnsi="Times New Roman" w:cs="Times New Roman"/>
          <w:sz w:val="24"/>
          <w:szCs w:val="24"/>
        </w:rPr>
        <w:t xml:space="preserve">, resp.                            na neurčitý čas u zamestnávateľa, pričom po dobu </w:t>
      </w:r>
      <w:r>
        <w:rPr>
          <w:rFonts w:ascii="Times New Roman" w:eastAsia="Calibri" w:hAnsi="Times New Roman" w:cs="Times New Roman"/>
          <w:b/>
          <w:sz w:val="24"/>
          <w:szCs w:val="24"/>
        </w:rPr>
        <w:t>najmenej počas 6 mesiacov a najviac                   9 mesiacov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bude umiestnenie na trhu práce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UoZ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podporované finančnými príspevkami                    na mentorované zapracovanie a prax.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>
      <w:pPr>
        <w:pStyle w:val="Default"/>
        <w:jc w:val="both"/>
        <w:rPr>
          <w:b/>
          <w:bCs/>
        </w:rPr>
      </w:pPr>
      <w:r>
        <w:t xml:space="preserve">Počas mentorovaného zapracovania si budú mentorovaní zamestnanci osvojovať teoretické                  a praktické skúsenosti a zručnosti pod vedením </w:t>
      </w:r>
      <w:r>
        <w:rPr>
          <w:b/>
          <w:bCs/>
        </w:rPr>
        <w:t xml:space="preserve">mentora, </w:t>
      </w:r>
      <w:r>
        <w:t xml:space="preserve">ktorého určí zamestnávateľ </w:t>
      </w:r>
      <w:r>
        <w:rPr>
          <w:b/>
        </w:rPr>
        <w:t>z radov svojich zamestnancov</w:t>
      </w:r>
      <w:r>
        <w:t xml:space="preserve"> a s ktorým uzavrie </w:t>
      </w:r>
      <w:r>
        <w:rPr>
          <w:bCs/>
        </w:rPr>
        <w:t>dodatok k pracovnej zmluve</w:t>
      </w:r>
      <w:r>
        <w:rPr>
          <w:b/>
          <w:bCs/>
        </w:rPr>
        <w:t xml:space="preserve">. </w:t>
      </w:r>
    </w:p>
    <w:p>
      <w:pPr>
        <w:pStyle w:val="Default"/>
        <w:jc w:val="both"/>
        <w:rPr>
          <w:b/>
          <w:bCs/>
          <w:sz w:val="16"/>
          <w:szCs w:val="16"/>
        </w:rPr>
      </w:pPr>
    </w:p>
    <w:p>
      <w:pPr>
        <w:pStyle w:val="Default"/>
        <w:jc w:val="both"/>
      </w:pPr>
      <w:r>
        <w:rPr>
          <w:b/>
          <w:bCs/>
        </w:rPr>
        <w:t>Dodatok  k pracovnej zmluve bude obsahovať najmä</w:t>
      </w:r>
      <w:r>
        <w:t xml:space="preserve">: </w:t>
      </w:r>
    </w:p>
    <w:p>
      <w:pPr>
        <w:pStyle w:val="Default"/>
        <w:jc w:val="both"/>
      </w:pPr>
      <w:r>
        <w:t xml:space="preserve">- dohodnutú pracovnú úlohu – mentorovanie v rámci NP „Praxou k zamestnaniu 2“, </w:t>
      </w:r>
    </w:p>
    <w:p>
      <w:pPr>
        <w:pStyle w:val="Default"/>
        <w:jc w:val="both"/>
        <w:rPr>
          <w:b/>
        </w:rPr>
      </w:pPr>
      <w:r>
        <w:t xml:space="preserve">- dohodnutú mzdu, </w:t>
      </w:r>
      <w:r>
        <w:rPr>
          <w:b/>
        </w:rPr>
        <w:t>poskytovanú mesačne počas mentorovania,</w:t>
      </w:r>
    </w:p>
    <w:p>
      <w:pPr>
        <w:pStyle w:val="Default"/>
        <w:jc w:val="both"/>
      </w:pPr>
      <w:r>
        <w:t xml:space="preserve">- dobu počas ktorej sa bude mentorovanie vykonávať, </w:t>
      </w:r>
    </w:p>
    <w:p>
      <w:pPr>
        <w:pStyle w:val="Default"/>
        <w:jc w:val="both"/>
      </w:pPr>
      <w:r>
        <w:t xml:space="preserve">- meno a priezvisko mentorovaného zamestnanca/zamestnancov.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si mentor bude povinný viesť </w:t>
      </w:r>
      <w:r>
        <w:rPr>
          <w:rFonts w:ascii="Times New Roman" w:hAnsi="Times New Roman" w:cs="Times New Roman"/>
          <w:b/>
          <w:bCs/>
          <w:sz w:val="24"/>
          <w:szCs w:val="24"/>
        </w:rPr>
        <w:t>Mesačnú evidenciu mentorovania.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Povinnosťou zamestnávateľa je</w:t>
      </w:r>
      <w:r>
        <w:rPr>
          <w:rFonts w:ascii="Times New Roman" w:hAnsi="Times New Roman" w:cs="Times New Roman"/>
          <w:b/>
          <w:sz w:val="24"/>
          <w:szCs w:val="24"/>
        </w:rPr>
        <w:t xml:space="preserve"> zabezpečiť</w:t>
      </w:r>
      <w:r>
        <w:rPr>
          <w:rFonts w:ascii="Times New Roman" w:hAnsi="Times New Roman" w:cs="Times New Roman"/>
          <w:sz w:val="24"/>
          <w:szCs w:val="24"/>
        </w:rPr>
        <w:t xml:space="preserve"> vykonávanie mentorovania od vzniku pracovného pomeru mentorovaného zamestnanca </w:t>
      </w:r>
      <w:r>
        <w:rPr>
          <w:rFonts w:ascii="Times New Roman" w:hAnsi="Times New Roman" w:cs="Times New Roman"/>
          <w:b/>
          <w:sz w:val="24"/>
          <w:szCs w:val="24"/>
        </w:rPr>
        <w:t>počas celého mentorovaného zapracovania</w:t>
      </w:r>
      <w:r>
        <w:rPr>
          <w:rFonts w:ascii="Times New Roman" w:hAnsi="Times New Roman" w:cs="Times New Roman"/>
          <w:sz w:val="24"/>
          <w:szCs w:val="24"/>
        </w:rPr>
        <w:t>, preto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 prípade, že mentor prestane vykonávať mentorovanie niektorý deň </w:t>
      </w:r>
      <w:r>
        <w:rPr>
          <w:rFonts w:ascii="Times New Roman" w:hAnsi="Times New Roman" w:cs="Times New Roman"/>
          <w:b/>
          <w:sz w:val="24"/>
          <w:szCs w:val="24"/>
        </w:rPr>
        <w:t>v mesiaci</w:t>
      </w:r>
      <w:r>
        <w:rPr>
          <w:rFonts w:ascii="Times New Roman" w:hAnsi="Times New Roman" w:cs="Times New Roman"/>
          <w:sz w:val="24"/>
          <w:szCs w:val="24"/>
        </w:rPr>
        <w:t xml:space="preserve">, na jeho miesto </w:t>
      </w:r>
      <w:r>
        <w:rPr>
          <w:rFonts w:ascii="Times New Roman" w:hAnsi="Times New Roman" w:cs="Times New Roman"/>
          <w:b/>
          <w:sz w:val="24"/>
          <w:szCs w:val="24"/>
        </w:rPr>
        <w:t>musí  nastúpiť iný mentor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(najneskôr do 7 kalendárnych dní)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to znamená, že ani jeden z mentorov neodpracuje daný mesiac celý, tak v takom prípade sa finančný príspevok alikvotne vypláca medzi oboch mentorov (podľa počtu pracovných dní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mentoringu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pričom súčet príspevkov rozdelených medzi obidvoch mentorov nesmie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presiahnúť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stanovenú mesačnú výšku príspevku na mentorovanie (max. 98,02 eur)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neprítomnosť mentora (napr. PN) je dlhšia ako jeden mesiac, zamestnávateľ je </w:t>
      </w:r>
      <w:r>
        <w:rPr>
          <w:rFonts w:ascii="Times New Roman" w:hAnsi="Times New Roman" w:cs="Times New Roman"/>
          <w:b/>
          <w:sz w:val="24"/>
          <w:szCs w:val="24"/>
        </w:rPr>
        <w:t>povinný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zabezpečiť mentorovanie</w:t>
      </w:r>
      <w:r>
        <w:rPr>
          <w:rFonts w:ascii="Times New Roman" w:hAnsi="Times New Roman" w:cs="Times New Roman"/>
          <w:sz w:val="24"/>
          <w:szCs w:val="24"/>
        </w:rPr>
        <w:t xml:space="preserve"> iným mentorom najneskôr </w:t>
      </w:r>
      <w:r>
        <w:rPr>
          <w:rFonts w:ascii="Times New Roman" w:hAnsi="Times New Roman" w:cs="Times New Roman"/>
          <w:b/>
          <w:sz w:val="24"/>
          <w:szCs w:val="24"/>
        </w:rPr>
        <w:t>do 7 kalendárnych dní</w:t>
      </w:r>
      <w:r>
        <w:rPr>
          <w:rFonts w:ascii="Times New Roman" w:hAnsi="Times New Roman" w:cs="Times New Roman"/>
          <w:sz w:val="24"/>
          <w:szCs w:val="24"/>
        </w:rPr>
        <w:t>, ktoré nasledujú po prvom mesiaci neprítomnosti mentora.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</w:t>
      </w:r>
      <w:r>
        <w:rPr>
          <w:rFonts w:ascii="Times New Roman" w:hAnsi="Times New Roman" w:cs="Times New Roman"/>
          <w:sz w:val="24"/>
          <w:szCs w:val="24"/>
          <w:u w:val="single"/>
        </w:rPr>
        <w:t>že mentor kedykoľvek ukončí predčasne mentorovanie</w:t>
      </w:r>
      <w:r>
        <w:rPr>
          <w:rFonts w:ascii="Times New Roman" w:hAnsi="Times New Roman" w:cs="Times New Roman"/>
          <w:sz w:val="24"/>
          <w:szCs w:val="24"/>
        </w:rPr>
        <w:t xml:space="preserve"> (napr. ukončí pracovný pomer a pod.), zamestnávateľ je povinný</w:t>
      </w:r>
      <w:r>
        <w:rPr>
          <w:rFonts w:ascii="Times New Roman" w:hAnsi="Times New Roman" w:cs="Times New Roman"/>
          <w:b/>
          <w:sz w:val="24"/>
          <w:szCs w:val="24"/>
        </w:rPr>
        <w:t xml:space="preserve"> zabezpečiť vykonávanie mentorovania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iným mentorom</w:t>
      </w:r>
      <w:r>
        <w:rPr>
          <w:rFonts w:ascii="Times New Roman" w:hAnsi="Times New Roman" w:cs="Times New Roman"/>
          <w:sz w:val="24"/>
          <w:szCs w:val="24"/>
        </w:rPr>
        <w:t xml:space="preserve"> najneskôr </w:t>
      </w:r>
      <w:r>
        <w:rPr>
          <w:rFonts w:ascii="Times New Roman" w:hAnsi="Times New Roman" w:cs="Times New Roman"/>
          <w:b/>
          <w:sz w:val="24"/>
          <w:szCs w:val="24"/>
        </w:rPr>
        <w:t>do 7 kalendárnych dní, ktoré nasledujú po prvom dni predčasného ukončenia mentorovania.</w:t>
      </w:r>
    </w:p>
    <w:p>
      <w:pPr>
        <w:pStyle w:val="Default"/>
        <w:jc w:val="both"/>
      </w:pPr>
      <w:r>
        <w:lastRenderedPageBreak/>
        <w:t>V prípade potreby môže byť mentorovaný zamestnanec vedený aj viacerými mentormi, ale nie súčasne.</w:t>
      </w:r>
      <w:r>
        <w:rPr>
          <w:rFonts w:eastAsia="Calibri"/>
          <w:bCs/>
        </w:rPr>
        <w:t xml:space="preserve"> R</w:t>
      </w:r>
      <w:r>
        <w:rPr>
          <w:rFonts w:eastAsia="Calibri"/>
          <w:b/>
          <w:bCs/>
        </w:rPr>
        <w:t>ozsah pracovného úväzku mentora musí byť minimálne taký istý, aký je rozsah pracovného úväzku mentorovaného zamestnanca</w:t>
      </w:r>
      <w:r>
        <w:rPr>
          <w:rFonts w:eastAsia="Calibri"/>
          <w:bCs/>
        </w:rPr>
        <w:t>.</w:t>
      </w:r>
      <w:r>
        <w:t xml:space="preserve"> </w:t>
      </w:r>
      <w:r>
        <w:rPr>
          <w:b/>
          <w:bCs/>
        </w:rPr>
        <w:t xml:space="preserve">Mentorované zapracovanie bude trvať prvých minimálne 3 a maximálne 6 mesiacov pracovného pomeru </w:t>
      </w:r>
      <w:r>
        <w:rPr>
          <w:b/>
        </w:rPr>
        <w:t>(podľa počtu mesiacov podporovania pracovného miesta)</w:t>
      </w:r>
      <w:r>
        <w:rPr>
          <w:b/>
          <w:bCs/>
        </w:rPr>
        <w:t xml:space="preserve">. </w:t>
      </w:r>
      <w:r>
        <w:t xml:space="preserve">V rámci projektu môže 1 mentor zabezpečovať </w:t>
      </w:r>
      <w:proofErr w:type="spellStart"/>
      <w:r>
        <w:t>mentoring</w:t>
      </w:r>
      <w:proofErr w:type="spellEnd"/>
      <w:r>
        <w:t xml:space="preserve"> pre 1 – 3 mentorovaných zamestnancov. </w:t>
      </w:r>
    </w:p>
    <w:p>
      <w:pPr>
        <w:pStyle w:val="Default"/>
        <w:jc w:val="both"/>
      </w:pPr>
    </w:p>
    <w:p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Žiadateľ – SZČO, </w:t>
      </w:r>
      <w:r>
        <w:rPr>
          <w:u w:val="single"/>
        </w:rPr>
        <w:t xml:space="preserve">ktorý </w:t>
      </w:r>
      <w:r>
        <w:rPr>
          <w:b/>
          <w:u w:val="single"/>
        </w:rPr>
        <w:t>nemá</w:t>
      </w:r>
      <w:r>
        <w:rPr>
          <w:u w:val="single"/>
        </w:rPr>
        <w:t xml:space="preserve"> zamestnanca</w:t>
      </w:r>
      <w:r>
        <w:t xml:space="preserve">, a ktorý chce prijať do pracovného pomeru </w:t>
      </w:r>
      <w:proofErr w:type="spellStart"/>
      <w:r>
        <w:t>UoZ</w:t>
      </w:r>
      <w:proofErr w:type="spellEnd"/>
      <w:r>
        <w:t xml:space="preserve"> z oprávnenej cieľovej skupiny, za týmto účelom požiada úrad o poskytnutie informačných               a poradenských služieb pri výbere zamestnanca podľa § 42 zákona o službách zamestnanosti a podá si </w:t>
      </w:r>
      <w:proofErr w:type="spellStart"/>
      <w:r>
        <w:t>nahlášku</w:t>
      </w:r>
      <w:proofErr w:type="spellEnd"/>
      <w:r>
        <w:t xml:space="preserve"> voľného pracovného miesta na príslušný úrad v mieste vytvorenia pracovného miesta, </w:t>
      </w:r>
      <w:r>
        <w:rPr>
          <w:b/>
          <w:bCs/>
        </w:rPr>
        <w:t xml:space="preserve">môže vykonávať </w:t>
      </w:r>
      <w:proofErr w:type="spellStart"/>
      <w:r>
        <w:rPr>
          <w:b/>
          <w:bCs/>
        </w:rPr>
        <w:t>mentoring</w:t>
      </w:r>
      <w:proofErr w:type="spellEnd"/>
      <w:r>
        <w:rPr>
          <w:b/>
          <w:bCs/>
        </w:rPr>
        <w:t xml:space="preserve"> sám</w:t>
      </w:r>
      <w:r>
        <w:t xml:space="preserve">, maximálne však </w:t>
      </w:r>
      <w:r>
        <w:rPr>
          <w:b/>
        </w:rPr>
        <w:t>pre dvoch</w:t>
      </w:r>
      <w:r>
        <w:t xml:space="preserve"> mentorovaných zamestnancov, ktorých prijme do pracovného pomeru na vytvorené pracovné miesta za účelom mentorovaného zapracovania a praxe. </w:t>
      </w:r>
      <w:r>
        <w:rPr>
          <w:b/>
          <w:bCs/>
        </w:rPr>
        <w:t>SZČO si bude viesť Evidenciu odpracovaných mesiacov mentora, ktorú bude predkladať ako podporný doklad                       so žiadosťou u úhradu platby.</w:t>
      </w:r>
    </w:p>
    <w:p>
      <w:pPr>
        <w:pStyle w:val="Default"/>
        <w:jc w:val="both"/>
        <w:rPr>
          <w:b/>
          <w:bCs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má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SZČO  zamestnanca</w:t>
      </w:r>
      <w:r>
        <w:rPr>
          <w:rFonts w:ascii="Times New Roman" w:hAnsi="Times New Roman" w:cs="Times New Roman"/>
          <w:bCs/>
          <w:sz w:val="24"/>
          <w:szCs w:val="24"/>
        </w:rPr>
        <w:t xml:space="preserve">, môže robiť mentora sám v len v takom prípade, že chce mentorovaného zamestnanca na pracovnú pozíciu, ktorá je z hľadiska odbornosti nezastupiteľná jeho zamestnancom. V takom prípade je potrebné, aby SZČO predložil </w:t>
      </w:r>
      <w:r>
        <w:rPr>
          <w:rFonts w:ascii="Times New Roman" w:hAnsi="Times New Roman" w:cs="Times New Roman"/>
          <w:b/>
          <w:bCs/>
          <w:sz w:val="24"/>
          <w:szCs w:val="24"/>
        </w:rPr>
        <w:t>Vyhlásenie, že nemá zamestnanca, ktorý by mohol robiť mentora z hľadiska odbornosti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Dĺžka mentorovaného zapracovania</w:t>
      </w:r>
      <w:r>
        <w:rPr>
          <w:rFonts w:ascii="Times New Roman" w:hAnsi="Times New Roman" w:cs="Times New Roman"/>
          <w:sz w:val="24"/>
          <w:szCs w:val="24"/>
        </w:rPr>
        <w:t xml:space="preserve"> by mala trvať </w:t>
      </w:r>
      <w:r>
        <w:rPr>
          <w:rFonts w:ascii="Times New Roman" w:hAnsi="Times New Roman" w:cs="Times New Roman"/>
          <w:b/>
          <w:sz w:val="24"/>
          <w:szCs w:val="24"/>
        </w:rPr>
        <w:t>minimálne 3 mesiace a maximálne                    6 mesiacov</w:t>
      </w:r>
      <w:r>
        <w:rPr>
          <w:rFonts w:ascii="Times New Roman" w:hAnsi="Times New Roman" w:cs="Times New Roman"/>
          <w:sz w:val="24"/>
          <w:szCs w:val="24"/>
        </w:rPr>
        <w:t xml:space="preserve"> v závislosti od počtu mesiacov podporovania pracovného miesta. Po ukončení mentorovaného zapracovania bude nasledovať obdobie praxe, počas ktorej si budú mentorovaní zamestnanci prehlbovať dovtedy získané praktické zručnosti, vedomosti, skúsenosti a postupy potrebné pre výkon konkrétneho povolania. </w:t>
      </w:r>
      <w:r>
        <w:rPr>
          <w:rFonts w:ascii="Times New Roman" w:eastAsia="Calibri" w:hAnsi="Times New Roman" w:cs="Times New Roman"/>
          <w:b/>
          <w:sz w:val="24"/>
          <w:szCs w:val="24"/>
        </w:rPr>
        <w:t>Po ukončení mentorovaného zapracovania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bude nasledovať </w:t>
      </w:r>
      <w:r>
        <w:rPr>
          <w:rFonts w:ascii="Times New Roman" w:eastAsia="Calibri" w:hAnsi="Times New Roman" w:cs="Times New Roman"/>
          <w:b/>
          <w:sz w:val="24"/>
          <w:szCs w:val="24"/>
        </w:rPr>
        <w:t>obdobie praxe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Dĺžka praxe</w:t>
      </w:r>
      <w:r>
        <w:rPr>
          <w:rFonts w:ascii="Times New Roman" w:hAnsi="Times New Roman" w:cs="Times New Roman"/>
          <w:sz w:val="24"/>
          <w:szCs w:val="24"/>
        </w:rPr>
        <w:t xml:space="preserve"> by mala trvať </w:t>
      </w:r>
      <w:r>
        <w:rPr>
          <w:rFonts w:ascii="Times New Roman" w:hAnsi="Times New Roman" w:cs="Times New Roman"/>
          <w:b/>
          <w:sz w:val="24"/>
          <w:szCs w:val="24"/>
        </w:rPr>
        <w:t>vždy 3 mesiace</w:t>
      </w:r>
      <w:r>
        <w:rPr>
          <w:rFonts w:ascii="Times New Roman" w:hAnsi="Times New Roman" w:cs="Times New Roman"/>
          <w:sz w:val="24"/>
          <w:szCs w:val="24"/>
        </w:rPr>
        <w:t xml:space="preserve"> bez ohľadu na dobu  mentorovaného zapracovania. </w:t>
      </w:r>
      <w:r>
        <w:rPr>
          <w:rFonts w:ascii="Times New Roman" w:hAnsi="Times New Roman" w:cs="Times New Roman"/>
          <w:b/>
          <w:sz w:val="24"/>
          <w:szCs w:val="24"/>
        </w:rPr>
        <w:t>Zároveň bude musieť byť splnená podmienka zamestnania minimálne počas  6 mesiacov</w:t>
      </w:r>
      <w:r>
        <w:rPr>
          <w:rFonts w:ascii="Times New Roman" w:hAnsi="Times New Roman" w:cs="Times New Roman"/>
          <w:sz w:val="24"/>
          <w:szCs w:val="24"/>
        </w:rPr>
        <w:t>. To znamená, že ak vytvorené pracovné miesto bude podporované: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mesiacov, z toho mentorované zapracovanie -  6 mesiacov, prax - 3 mesiace,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mesiacov, z toho mentorované zapracovanie  - 5 mesiacov, prax - 3 mesiace,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 mesiacov, z toho mentorované zapracovanie -  4 mesiace, prax - 3 mesiace,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mesiacov, z toho mentorované zapracovanie -  3 mesiace, prax -  3 mesiace.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prípade predčasného ukončenia mentorovaného zapracovania a praxe sa pracovné miesto, </w:t>
      </w:r>
      <w:r>
        <w:rPr>
          <w:rFonts w:ascii="Times New Roman" w:hAnsi="Times New Roman" w:cs="Times New Roman"/>
          <w:sz w:val="24"/>
          <w:szCs w:val="24"/>
        </w:rPr>
        <w:t xml:space="preserve">vytvorené za účelom mentorovaného zapracovania a praxe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nepreobsadzuje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 zaniká.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prípade predčasného skončenia mentorovaného zapracovania a praxe </w:t>
      </w:r>
      <w:r>
        <w:rPr>
          <w:rFonts w:ascii="Times New Roman" w:hAnsi="Times New Roman" w:cs="Times New Roman"/>
          <w:b/>
          <w:sz w:val="24"/>
          <w:szCs w:val="24"/>
        </w:rPr>
        <w:t>zamestnávateľ nie je povinný vrátiť poskytnuté finančné prostriedky, ani ich alikvotnú časť.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projektu nemôžu byť zaradení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UoZ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ktorí boli podporení v rámci národného projektu „Praxou k zamestnaniu“.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projektu môžu byť zaradení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UoZ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 raz, bez možnosti opakovaného zaradenia.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>
      <w:pPr>
        <w:pStyle w:val="Zarkazkladnhotextu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Zarkazkladnhotextu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Zarkazkladnhotextu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Zarkazkladnhotextu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Zarkazkladnhotextu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Oprávnení žiadatelia:</w:t>
      </w:r>
    </w:p>
    <w:p>
      <w:pPr>
        <w:pStyle w:val="Default"/>
        <w:rPr>
          <w:sz w:val="16"/>
          <w:szCs w:val="16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Zamestnávateľ podľa § 3 okrem ods. 2 písm. d) zákona o službách zamestnanosti, napr.: </w:t>
      </w:r>
    </w:p>
    <w:p>
      <w:pPr>
        <w:pStyle w:val="Default"/>
        <w:rPr>
          <w:sz w:val="16"/>
          <w:szCs w:val="16"/>
        </w:rPr>
      </w:pP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a) zamestnávateľ - podnikateľ, ktorý  je  </w:t>
      </w:r>
      <w:proofErr w:type="spellStart"/>
      <w:r>
        <w:rPr>
          <w:sz w:val="23"/>
          <w:szCs w:val="23"/>
        </w:rPr>
        <w:t>mikro</w:t>
      </w:r>
      <w:proofErr w:type="spellEnd"/>
      <w:r>
        <w:rPr>
          <w:sz w:val="23"/>
          <w:szCs w:val="23"/>
        </w:rPr>
        <w:t xml:space="preserve">,  malým  alebo  stredným  podnikom  (ďalej  len </w:t>
      </w:r>
    </w:p>
    <w:p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„MSP“) v zmysle definície použitej v prílohe č. I nariadenia Komisie (EÚ) č. 651/2014                         zo 17.  júna 2014 o vyhlásení určitých kategórií pomoci za zlučiteľné s vnútorným trhom podľa článkov 107 a 108 zmluvy (Všeobecné nariadenie o skupinových výnimkách) zverejnenej v Úradnom vestníku Európskej únie L 187 dňa 26. 06. 2014, </w:t>
      </w:r>
    </w:p>
    <w:p>
      <w:pPr>
        <w:pStyle w:val="Default"/>
        <w:jc w:val="both"/>
        <w:rPr>
          <w:sz w:val="16"/>
          <w:szCs w:val="16"/>
        </w:rPr>
      </w:pPr>
    </w:p>
    <w:p>
      <w:pPr>
        <w:pStyle w:val="Default"/>
        <w:spacing w:after="26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b) zamestnávateľ - podnikateľ,  podľa § 2  ods. 2  Obchodného  zákonníka,  ktorý je veľkým       podnikom (nespĺňa aspoň jednu z podmienok definície MSP),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c) neziskové organizácie poskytujúce všeobecne prospešné služby, občianske združenia, nadácie 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štátom  uznané  cirkvi  a  náboženské  spoločnosti  alebo  Červený kríž a i., ktoré vykonávajú   </w:t>
      </w:r>
    </w:p>
    <w:p>
      <w:pPr>
        <w:pStyle w:val="Default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hospodársku (ekonomickú) činnosť za účelom dosahovania zisku, resp. poskytujú tovary                    a služby za úhradu alebo realizujú aktivity,  ktorých  výstupom  je  hospodárska (ekonomická) </w:t>
      </w:r>
    </w:p>
    <w:p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činnosť za účelom dosahovania zisku resp. ponúkanie tovarov a služieb za úhradu. </w:t>
      </w:r>
    </w:p>
    <w:p>
      <w:pPr>
        <w:pStyle w:val="Default"/>
        <w:rPr>
          <w:sz w:val="16"/>
          <w:szCs w:val="16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  <w:u w:val="single"/>
        </w:rPr>
        <w:t>Oprávnenými žiadateľmi o finančné príspevky sú aj napr</w:t>
      </w:r>
      <w:r>
        <w:rPr>
          <w:sz w:val="23"/>
          <w:szCs w:val="23"/>
        </w:rPr>
        <w:t xml:space="preserve">.: </w:t>
      </w:r>
    </w:p>
    <w:p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a) zamestnávatelia zriadení zákonom, </w:t>
      </w:r>
    </w:p>
    <w:p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b) orgány štátnej a verejnej správy, </w:t>
      </w:r>
    </w:p>
    <w:p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c) rozpočtové a príspevkové organizácie zriadené orgánom štátnej a verejnej správy, </w:t>
      </w:r>
    </w:p>
    <w:p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d) obce a VÚC,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rozpočtové a príspevkové organizácie zriadené obcou alebo VÚC. </w:t>
      </w:r>
    </w:p>
    <w:p>
      <w:pPr>
        <w:pStyle w:val="Default"/>
        <w:rPr>
          <w:sz w:val="16"/>
          <w:szCs w:val="16"/>
        </w:rPr>
      </w:pPr>
    </w:p>
    <w:p>
      <w:pPr>
        <w:pStyle w:val="Zarkazkladnhotextu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Oprávneným žiadateľom je aj právnická alebo fyzická osoba, ktorá nie je zamestnávateľom               a ktorá chce prijať do pracovného pomeru </w:t>
      </w:r>
      <w:proofErr w:type="spellStart"/>
      <w:r>
        <w:rPr>
          <w:rFonts w:ascii="Times New Roman" w:hAnsi="Times New Roman" w:cs="Times New Roman"/>
          <w:sz w:val="23"/>
          <w:szCs w:val="23"/>
        </w:rPr>
        <w:t>UoZ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 oprávnenej cieľovej skupiny, za týmto účelom požiada úrad o poskytnutie informačných a poradenských služieb pri výbere zamestnanca podľa     § 42 zákona o službách zamestnanosti a podá si </w:t>
      </w:r>
      <w:proofErr w:type="spellStart"/>
      <w:r>
        <w:rPr>
          <w:rFonts w:ascii="Times New Roman" w:hAnsi="Times New Roman" w:cs="Times New Roman"/>
          <w:sz w:val="23"/>
          <w:szCs w:val="23"/>
        </w:rPr>
        <w:t>nahlášku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voľného pracovného miesta na príslušný úrad v mieste vytvorenia pracovného miesta.</w:t>
      </w:r>
    </w:p>
    <w:p>
      <w:pPr>
        <w:pStyle w:val="Default"/>
        <w:rPr>
          <w:b/>
          <w:bCs/>
          <w:sz w:val="16"/>
          <w:szCs w:val="16"/>
        </w:rPr>
      </w:pPr>
    </w:p>
    <w:p>
      <w:pPr>
        <w:pStyle w:val="Default"/>
        <w:jc w:val="both"/>
      </w:pPr>
      <w:r>
        <w:rPr>
          <w:b/>
          <w:bCs/>
        </w:rPr>
        <w:t>Finančné príspevky poskytnuté podnikateľským subjektom</w:t>
      </w:r>
      <w:r>
        <w:t xml:space="preserve">, resp. subjektom, ktoré sú                v rámci svojej činnosti zapojené do hospodárskej činnosti, sú pomocou poskytnutou v súlade so zákonom o službách zamestnanosti a s podmienkami Schémy pomoci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                       </w:t>
      </w:r>
      <w:r>
        <w:t xml:space="preserve">č. 16/2014 na podporu zamestnanosti v platnom znení alebo Schémy pomoci </w:t>
      </w:r>
      <w:proofErr w:type="spellStart"/>
      <w:r>
        <w:rPr>
          <w:i/>
          <w:iCs/>
        </w:rPr>
        <w:t>de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minimis</w:t>
      </w:r>
      <w:proofErr w:type="spellEnd"/>
      <w:r>
        <w:rPr>
          <w:i/>
          <w:iCs/>
        </w:rPr>
        <w:t xml:space="preserve">                </w:t>
      </w:r>
      <w:r>
        <w:t xml:space="preserve">č. 7/2015 na podporu zamestnanosti v odvetví poľnohospodárskej prvovýroby v platnom znení. </w:t>
      </w:r>
    </w:p>
    <w:p>
      <w:pPr>
        <w:pStyle w:val="Default"/>
        <w:rPr>
          <w:sz w:val="16"/>
          <w:szCs w:val="16"/>
        </w:rPr>
      </w:pPr>
    </w:p>
    <w:p>
      <w:pPr>
        <w:pStyle w:val="Default"/>
      </w:pPr>
      <w:r>
        <w:rPr>
          <w:b/>
          <w:bCs/>
        </w:rPr>
        <w:t xml:space="preserve">Finančné príspevky  poskytnuté  subjektom  nevykonávajúcim  hospodársku  činnosť </w:t>
      </w:r>
      <w:r>
        <w:t xml:space="preserve">sú pomocou poskytnutou v súlade so zákonom službách zamestnanosti. </w:t>
      </w:r>
    </w:p>
    <w:p>
      <w:pPr>
        <w:pStyle w:val="Default"/>
        <w:rPr>
          <w:sz w:val="16"/>
          <w:szCs w:val="16"/>
        </w:rPr>
      </w:pPr>
    </w:p>
    <w:p>
      <w:pPr>
        <w:pStyle w:val="Default"/>
        <w:rPr>
          <w:u w:val="single"/>
        </w:rPr>
      </w:pPr>
      <w:r>
        <w:rPr>
          <w:u w:val="single"/>
        </w:rPr>
        <w:t xml:space="preserve">Neoprávnení žiadatelia </w:t>
      </w:r>
    </w:p>
    <w:p>
      <w:pPr>
        <w:pStyle w:val="Zarkazkladnhotext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Prijímateľom pomoci nemôže byť podnik, voči ktorému je nárokované vrátenie pomoci              na základe predchádzajúceho rozhodnutia Komisie (EÚ) v ktorom bola táto pomoc označená za neoprávnenú a nezlučiteľnú so spoločným trhom.</w:t>
      </w:r>
    </w:p>
    <w:p>
      <w:pPr>
        <w:pStyle w:val="Zarkazkladnhotextu"/>
        <w:spacing w:after="0"/>
        <w:ind w:left="284" w:hanging="284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Výška finančných príspevkov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pre rok 2020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Úrad poskytuje zamestnávateľovi  na mentorované zapracovanie a prax na jedno vytvorené pracovné miesto:</w:t>
      </w:r>
    </w:p>
    <w:p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>
      <w:pPr>
        <w:numPr>
          <w:ilvl w:val="0"/>
          <w:numId w:val="11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Finančný príspevok  na mentorovanie</w:t>
      </w:r>
    </w:p>
    <w:p>
      <w:pPr>
        <w:numPr>
          <w:ilvl w:val="0"/>
          <w:numId w:val="12"/>
        </w:num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vo výške najviac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98,02 €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/1 mentorovaný zamestnanec/1 mesiac (t. j. 12,5 % z minimálnej CCP na rok 2020),</w:t>
      </w:r>
    </w:p>
    <w:p>
      <w:pPr>
        <w:pStyle w:val="Default"/>
        <w:jc w:val="both"/>
        <w:rPr>
          <w:rFonts w:eastAsia="Calibri"/>
        </w:rPr>
      </w:pPr>
      <w:r>
        <w:rPr>
          <w:rFonts w:eastAsia="Calibri"/>
        </w:rPr>
        <w:t xml:space="preserve">poskytovanie - mesačne pre každého mentora počas mentorovania, t. j.  najviac počas                        6 mesiacov </w:t>
      </w:r>
    </w:p>
    <w:p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>
      <w:pPr>
        <w:numPr>
          <w:ilvl w:val="0"/>
          <w:numId w:val="13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Finančný príspevok na úhradu časti CCP zamestnanca, ktorý bol prijatý do pracovného pomeru na mentorované zapracovanie a prax </w:t>
      </w:r>
    </w:p>
    <w:p>
      <w:pPr>
        <w:numPr>
          <w:ilvl w:val="0"/>
          <w:numId w:val="12"/>
        </w:num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vo výške najviac 95 % CCP zamestnanca, najviac vo výške  minimálnej CCP na rok 2020, t. j. maximálne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784,16  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 plnom pracovnom úväzku, </w:t>
      </w:r>
    </w:p>
    <w:p>
      <w:pPr>
        <w:numPr>
          <w:ilvl w:val="0"/>
          <w:numId w:val="12"/>
        </w:num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vo výške najviac 95 % CCP zamestnanca, najviac vo výške ½ minimálnej CCP na rok 2020, t. j. maximálne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392,08  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 polovičnom pracovnom úväzku, </w:t>
      </w:r>
    </w:p>
    <w:p>
      <w:pPr>
        <w:numPr>
          <w:ilvl w:val="0"/>
          <w:numId w:val="12"/>
        </w:num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poskytovanie – mesačne počas mentorovaného zapracovania a praxe, t. j. najmenej počas 6 mesiacov a najviac počas 9 mesiacov.</w:t>
      </w:r>
    </w:p>
    <w:p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>
      <w:pPr>
        <w:numPr>
          <w:ilvl w:val="0"/>
          <w:numId w:val="13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Finančný príspevok na úhradu časti nevyhnutných nákladov súvisiacich                               s mentorovaným zapracovaním a praxou </w:t>
      </w:r>
    </w:p>
    <w:p>
      <w:pPr>
        <w:numPr>
          <w:ilvl w:val="0"/>
          <w:numId w:val="12"/>
        </w:num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napr. na osobné ochranné pracovné prostriedky, pracovné pomôcky, pracovné náradie, najviac vo výške </w:t>
      </w:r>
      <w:r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71,92 €</w:t>
      </w:r>
      <w:r>
        <w:rPr>
          <w:rFonts w:ascii="Times New Roman" w:eastAsia="Calibri" w:hAnsi="Times New Roman" w:cs="Times New Roman"/>
          <w:sz w:val="24"/>
          <w:szCs w:val="24"/>
        </w:rPr>
        <w:t xml:space="preserve">  (t. j. 5 % z CCP na rok 2020 vypočítanej z priemernej mzdy zamestnanca v hospodárstve Slovenskej republiky za 1 – 3 štvrťrok 2019),</w:t>
      </w:r>
    </w:p>
    <w:p>
      <w:pPr>
        <w:numPr>
          <w:ilvl w:val="0"/>
          <w:numId w:val="12"/>
        </w:numPr>
        <w:spacing w:after="0" w:line="24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poskytovanie - 1 x počas  mentorovaného zapracovania + 1 x počas praxe.</w:t>
      </w:r>
    </w:p>
    <w:p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Časť nevyhnutných nákladov súvisiacich s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mentorovaným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zapracovaním</w:t>
      </w:r>
      <w:r>
        <w:rPr>
          <w:rFonts w:ascii="Times New Roman" w:hAnsi="Times New Roman" w:cs="Times New Roman"/>
          <w:sz w:val="24"/>
          <w:szCs w:val="24"/>
        </w:rPr>
        <w:t xml:space="preserve"> je potrebné </w:t>
      </w:r>
      <w:r>
        <w:rPr>
          <w:rFonts w:ascii="Times New Roman" w:hAnsi="Times New Roman" w:cs="Times New Roman"/>
          <w:b/>
          <w:sz w:val="24"/>
          <w:szCs w:val="24"/>
        </w:rPr>
        <w:t xml:space="preserve">zakúpiť (aj uhradiť) bezodkladne </w:t>
      </w:r>
      <w:r>
        <w:rPr>
          <w:rFonts w:ascii="Times New Roman" w:hAnsi="Times New Roman" w:cs="Times New Roman"/>
          <w:sz w:val="24"/>
          <w:szCs w:val="24"/>
        </w:rPr>
        <w:t>(nie je možné ich zakúpiť pred začiatkom mentorovaného zapracovania)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najneskôr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do 30</w:t>
      </w:r>
      <w:r>
        <w:rPr>
          <w:rFonts w:ascii="Times New Roman" w:hAnsi="Times New Roman" w:cs="Times New Roman"/>
          <w:sz w:val="24"/>
          <w:szCs w:val="24"/>
        </w:rPr>
        <w:t xml:space="preserve"> kalendárnych dní </w:t>
      </w:r>
      <w:r>
        <w:rPr>
          <w:rFonts w:ascii="Times New Roman" w:hAnsi="Times New Roman" w:cs="Times New Roman"/>
          <w:b/>
          <w:sz w:val="24"/>
          <w:szCs w:val="24"/>
        </w:rPr>
        <w:t>odo dňa vzniku pracovného pomeru</w:t>
      </w:r>
      <w:r>
        <w:rPr>
          <w:rFonts w:ascii="Times New Roman" w:hAnsi="Times New Roman" w:cs="Times New Roman"/>
          <w:sz w:val="24"/>
          <w:szCs w:val="24"/>
        </w:rPr>
        <w:t xml:space="preserve">. Zamestnávateľ je povinný ich preukázať v najbližšie predloženej žiadosti o platbu odo dňa zakúpenia, </w:t>
      </w:r>
      <w:r>
        <w:rPr>
          <w:rFonts w:ascii="Times New Roman" w:hAnsi="Times New Roman" w:cs="Times New Roman"/>
          <w:b/>
          <w:sz w:val="24"/>
          <w:szCs w:val="24"/>
        </w:rPr>
        <w:t>najneskôr 30 kalendárnych dní pred ukončením</w:t>
      </w:r>
      <w:r>
        <w:rPr>
          <w:rFonts w:ascii="Times New Roman" w:hAnsi="Times New Roman" w:cs="Times New Roman"/>
          <w:sz w:val="24"/>
          <w:szCs w:val="24"/>
        </w:rPr>
        <w:t xml:space="preserve"> doby trvania mentorovania.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Časť nevyhnutných nákladov súvisiacich 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praxou</w:t>
      </w:r>
      <w:r>
        <w:rPr>
          <w:rFonts w:ascii="Times New Roman" w:hAnsi="Times New Roman" w:cs="Times New Roman"/>
          <w:sz w:val="24"/>
          <w:szCs w:val="24"/>
        </w:rPr>
        <w:t xml:space="preserve"> je nevyhnutné </w:t>
      </w:r>
      <w:r>
        <w:rPr>
          <w:rFonts w:ascii="Times New Roman" w:hAnsi="Times New Roman" w:cs="Times New Roman"/>
          <w:b/>
          <w:sz w:val="24"/>
          <w:szCs w:val="24"/>
        </w:rPr>
        <w:t>zakúpiť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(aj uhradiť) </w:t>
      </w:r>
      <w:r>
        <w:rPr>
          <w:rFonts w:ascii="Times New Roman" w:hAnsi="Times New Roman" w:cs="Times New Roman"/>
          <w:sz w:val="24"/>
          <w:szCs w:val="24"/>
        </w:rPr>
        <w:t xml:space="preserve">taktiež </w:t>
      </w:r>
      <w:r>
        <w:rPr>
          <w:rFonts w:ascii="Times New Roman" w:hAnsi="Times New Roman" w:cs="Times New Roman"/>
          <w:b/>
          <w:sz w:val="24"/>
          <w:szCs w:val="24"/>
        </w:rPr>
        <w:t xml:space="preserve">bezodkladne </w:t>
      </w:r>
      <w:r>
        <w:rPr>
          <w:rFonts w:ascii="Times New Roman" w:hAnsi="Times New Roman" w:cs="Times New Roman"/>
          <w:sz w:val="24"/>
          <w:szCs w:val="24"/>
        </w:rPr>
        <w:t>(nie je možné ich zakúpiť pred začiatkom praxe)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najneskôr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do 30</w:t>
      </w:r>
      <w:r>
        <w:rPr>
          <w:rFonts w:ascii="Times New Roman" w:hAnsi="Times New Roman" w:cs="Times New Roman"/>
          <w:sz w:val="24"/>
          <w:szCs w:val="24"/>
        </w:rPr>
        <w:t xml:space="preserve"> kalendárnych dní </w:t>
      </w:r>
      <w:r>
        <w:rPr>
          <w:rFonts w:ascii="Times New Roman" w:hAnsi="Times New Roman" w:cs="Times New Roman"/>
          <w:b/>
          <w:sz w:val="24"/>
          <w:szCs w:val="24"/>
        </w:rPr>
        <w:t>odo dňa začiatku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praxe</w:t>
      </w:r>
      <w:r>
        <w:rPr>
          <w:rFonts w:ascii="Times New Roman" w:hAnsi="Times New Roman" w:cs="Times New Roman"/>
          <w:sz w:val="24"/>
          <w:szCs w:val="24"/>
        </w:rPr>
        <w:t xml:space="preserve"> a preukázať ich (predložiť na úrad) v najbližšie predloženej žiadosti o platbu odo dňa zakúpenia, </w:t>
      </w:r>
      <w:r>
        <w:rPr>
          <w:rFonts w:ascii="Times New Roman" w:hAnsi="Times New Roman" w:cs="Times New Roman"/>
          <w:b/>
          <w:sz w:val="24"/>
          <w:szCs w:val="24"/>
        </w:rPr>
        <w:t>najneskôr 30 kalendárnych dní</w:t>
      </w:r>
      <w:r>
        <w:rPr>
          <w:rFonts w:ascii="Times New Roman" w:hAnsi="Times New Roman" w:cs="Times New Roman"/>
          <w:sz w:val="24"/>
          <w:szCs w:val="24"/>
        </w:rPr>
        <w:t xml:space="preserve"> pred ukončením doby trvania praxe.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Dohodnutá výška finančných príspevkov na mentorované zapracovanie a prax sa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po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celú dobu trvania záväzku </w:t>
      </w:r>
      <w:r>
        <w:rPr>
          <w:rFonts w:ascii="Times New Roman" w:hAnsi="Times New Roman" w:cs="Times New Roman"/>
          <w:b/>
          <w:sz w:val="24"/>
          <w:szCs w:val="24"/>
        </w:rPr>
        <w:t>(v zmysle dohody o poskytnutí finančných príspevkov) počas realizácie projektu nebude meniť.</w:t>
      </w:r>
    </w:p>
    <w:p>
      <w:pPr>
        <w:pStyle w:val="Zarkazkladnhotext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pStyle w:val="Zarkazkladnhotextu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sa poskytuje na základe písomnej dohody o poskytnutí príspevku uzatvorenej medzi úradom. Príspevok sa poskytuje formou</w:t>
      </w:r>
      <w:r>
        <w:rPr>
          <w:rFonts w:ascii="Times New Roman" w:hAnsi="Times New Roman" w:cs="Times New Roman"/>
          <w:b/>
          <w:sz w:val="24"/>
          <w:szCs w:val="24"/>
        </w:rPr>
        <w:t xml:space="preserve"> refundácie.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>
      <w:pPr>
        <w:pStyle w:val="Odsekzoznamu"/>
        <w:autoSpaceDE w:val="0"/>
        <w:autoSpaceDN w:val="0"/>
        <w:ind w:left="0"/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</w:rPr>
        <w:t>Za oprávnené výdavky môžu byť považované len tie výdavky, ktoré vznikli zamestnávateľovi v súvislosti s</w:t>
      </w:r>
      <w:r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</w:rPr>
        <w:t> dohodou, najskôr v deň jej účinnosti, a boli skutočne vynaložené zamestnávateľom, sú riadne odôvodnené, preukázané a</w:t>
      </w:r>
      <w:r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</w:rPr>
        <w:t xml:space="preserve">výlučne súvisia s realizáciou </w:t>
      </w:r>
      <w:r>
        <w:rPr>
          <w:rFonts w:ascii="Times New Roman" w:hAnsi="Times New Roman" w:cs="Times New Roman"/>
          <w:lang w:val="sk-SK"/>
        </w:rPr>
        <w:t xml:space="preserve">mentorovaného zapracovania a praxe </w:t>
      </w:r>
      <w:proofErr w:type="spellStart"/>
      <w:r>
        <w:rPr>
          <w:rFonts w:ascii="Times New Roman" w:hAnsi="Times New Roman" w:cs="Times New Roman"/>
          <w:lang w:val="sk-SK"/>
        </w:rPr>
        <w:t>UoZ</w:t>
      </w:r>
      <w:proofErr w:type="spellEnd"/>
      <w:r>
        <w:rPr>
          <w:rFonts w:ascii="Times New Roman" w:hAnsi="Times New Roman" w:cs="Times New Roman"/>
        </w:rPr>
        <w:t xml:space="preserve"> z oprávnenej cieľovej skupiny</w:t>
      </w:r>
      <w:r>
        <w:rPr>
          <w:rFonts w:ascii="Times New Roman" w:hAnsi="Times New Roman" w:cs="Times New Roman"/>
          <w:lang w:val="sk-SK"/>
        </w:rPr>
        <w:t xml:space="preserve"> </w:t>
      </w:r>
      <w:r>
        <w:rPr>
          <w:rFonts w:ascii="Times New Roman" w:hAnsi="Times New Roman" w:cs="Times New Roman"/>
          <w:b/>
          <w:lang w:val="sk-SK"/>
        </w:rPr>
        <w:t xml:space="preserve">a boli uhradené z účtu zamestnávateľa uvedeného na prvej strane Dohody o poskytnutí finančných </w:t>
      </w:r>
      <w:r>
        <w:rPr>
          <w:rFonts w:ascii="Times New Roman" w:hAnsi="Times New Roman" w:cs="Times New Roman"/>
          <w:b/>
          <w:lang w:val="sk-SK"/>
        </w:rPr>
        <w:lastRenderedPageBreak/>
        <w:t>príspevkov na mentorované zapracovanie a prax u zamestnávateľa, ktorý na tento účel vytvorí pracovné miesto.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Žiadosť o poskytnutie finančných príspevkov a povinné prílohy k žiadosti v písomnej podobe žiadateľ predkladá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 jednom origináli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na územne príslušný úrad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podľa miesta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kde žiadateľ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vytvára pracovné miesta.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Žiadateľ je povinný </w:t>
      </w:r>
      <w:r>
        <w:rPr>
          <w:rFonts w:ascii="Times New Roman" w:hAnsi="Times New Roman" w:cs="Times New Roman"/>
          <w:color w:val="000000"/>
          <w:sz w:val="23"/>
          <w:szCs w:val="23"/>
        </w:rPr>
        <w:t>spolu so žiadosťou o finančné príspevky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predložiť: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1/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Zámer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vytvorenia  pracovného  miesta   (pracovných miest)  za  účelom              mentorovaného zapracovania a praxe podľa § 54 ods. 1 písm. a) zákona o službách zamestnanosti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(predkladá žiadateľ).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2/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Vyhlásenie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nie staršie ako 1 mesiac, že žiadateľ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neobsadí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vytvorené pracovné miesto/miesta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UoZ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pre ktorého/ktorých bol .. mesiacov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(uviesť počet mesiacov na ktoré chce zamestnávateľ vytvoriť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podporované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pracovné miesto – najmenej 6 a najviac 9)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pred podaním žiadosti                                o poskytnutie finančných príspevkov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posledným zamestnávateľom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, s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výnimkou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UoZ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ktorý/í                   u zamestnávateľa pracoval/i na základe niektorej z dohôd o prácach vykonávaných mimo pracovného pomeru podľa § 223 zákona č. 311/2001 v platnom znení - Zákonníka práce </w:t>
      </w:r>
      <w:r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(ale nie        v tej istej činnosti na ktorú chce vytvoriť pracovné miesto za účelom mentorovaného zapracovania a praxe)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alebo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UoZ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ktorý u žiadateľa pracoval na základe poskytnutých finančných príspevkov                 v rámci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iného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aktívneho opatrenia na trhu práce podľa zákona o službách zamestnanosti.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(predkladá žiadateľ)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3/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Vyhlásenie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žiadateľa o poskytnutej pomoci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minimis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(predkladá žiadateľ, ktorému budú poskytnuté finančné príspevky v zmysle schémy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de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minimis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).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Okrem vyššie uvedených dokladov, podmienkou na poskytnutie príspevku podľa § 70 odsek 7 a odsek 8 zákona o službách zamestnanosti je, že žiadateľ: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a) má splnené daňové povinnosti podľa zákona č. 395/2003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o dani z príjmov v znení neskorších predpisov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(zisťuje úrad, môže preukázať aj žiadateľ),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b) má splnené povinnosti odvodu preddavku na poistné na verejné zdravotné poistenie, poistného na sociálne poistenie a povinných príspevkov na starobné dôchodkové sporenie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(zisťuje úrad, môže preukázať aj žiadateľ),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c) neporušil zákaz nelegálneho zamestnávania v období dvoch rokov pred podaním žiadosti                        o poskytnutie finančných príspevkov na mentorované zapracovanie a prax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(zisťuje úrad, môže preukázať aj žiadateľ),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d) nemá voči úradu finančné záväzky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(zisťuje úrad),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e) nie je v konkurze, likvidácii, nútenej správe alebo nemá určený splátkový kalendár podľa zákona č. 7/2005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o konkurze a reštrukturalizácii a o zmene a doplnení niektorých zákonov                   v znení neskorších predpisov 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(zisťuje úrad), </w:t>
      </w:r>
    </w:p>
    <w:p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f) nemá evidované neuspokojené nároky svojich zamestnancov vyplývajúce z pracovného pomeru (</w:t>
      </w: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preukazuje žiadateľ v žiadosti formou vyhlásenia),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g) nemá právoplatne uložený trest zákazu prijímať dotácie alebo subvencie alebo trest zákazu prijímať pomoc a podporu poskytovaním z fondov EÚ, ak ide o právnickú osobu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(zisťuje úrad vyžiadaním výpisu z registra trestov na základe poskytnutých údajov žiadateľa, ak je žiadateľ právnická osoba, ktorá je trestne zodpovedná). 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>Splnenie podmienok uvedených v písm. a) až e) a g) zisťuje úrad; splnenie podmienok uvedených v písm. a) až c) môže preukázať aj žiadateľ; splnenie podmienky uvedenej v písm. f) preukazuje žiadateľ v žiadosti vyhlásením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V zmysle § 1 ods. 6 zákona č. 177/2018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proti byrokracii platí, že ak z technických dôvodov nie je možné získať údaje alebo výpisy z informačných systémov verejnej správy      v rozsahu zdrojových registrov bezodkladne, orgány verejnej moci a právnické osoby podľa ods. 4 sú oprávnené požiadať osoby podľa ods. 2 o predloženie výpisov z príslušných zdrojov registrov v listinnej podobe.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>Listinná podoba výpisov podľa predchádzajúcej vety nesmie byť staršia ako 30 dní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 procese posudzovania žiadosti o poskytnutie finančných príspevkov je úrad oprávnený overiť si údaje v tejto žiadosti v príslušných informačných systémoch verejnej správy a v prípade potreby požadovať od žiadateľa dodatočné informácie a doklady súvisiace s predloženou žiadosťou (zriaďovaciu listinu, oprávnenie na vykonávanie činnosti podľa osobitného predpisu, doklad o zvolení / menovaní štatutárneho zástupcu a pod. – </w:t>
      </w:r>
      <w:r>
        <w:rPr>
          <w:rFonts w:ascii="Times New Roman" w:hAnsi="Times New Roman" w:cs="Times New Roman"/>
          <w:b/>
          <w:sz w:val="23"/>
          <w:szCs w:val="23"/>
        </w:rPr>
        <w:t>neplatí pre žiadateľov zriadených zákonom a orgány štátnej a verejnej správy</w:t>
      </w:r>
      <w:r>
        <w:rPr>
          <w:rFonts w:ascii="Times New Roman" w:hAnsi="Times New Roman" w:cs="Times New Roman"/>
          <w:sz w:val="23"/>
          <w:szCs w:val="23"/>
        </w:rPr>
        <w:t xml:space="preserve">).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Ak žiadateľ patrí do skupiny podnikov, ktoré sú považované za jediný podnik, predkladá úradu údaje o prijatej pomoci </w:t>
      </w:r>
      <w:proofErr w:type="spellStart"/>
      <w:r>
        <w:rPr>
          <w:rFonts w:ascii="Times New Roman" w:hAnsi="Times New Roman" w:cs="Times New Roman"/>
          <w:sz w:val="23"/>
          <w:szCs w:val="23"/>
        </w:rPr>
        <w:t>de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minimis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za všetkých členov skupiny podnikov, ktoré s ním tvoria jediný podnik.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 poskytnutie finančných príspevkov na mentorované zapracovanie a prax bude posudzovať </w:t>
      </w:r>
      <w:r>
        <w:rPr>
          <w:rFonts w:ascii="Times New Roman" w:hAnsi="Times New Roman" w:cs="Times New Roman"/>
          <w:b/>
          <w:bCs/>
          <w:sz w:val="24"/>
          <w:szCs w:val="24"/>
        </w:rPr>
        <w:t>výbor pre otázky zamestnanosti</w:t>
      </w:r>
      <w:r>
        <w:rPr>
          <w:rFonts w:ascii="Times New Roman" w:hAnsi="Times New Roman" w:cs="Times New Roman"/>
          <w:sz w:val="24"/>
          <w:szCs w:val="24"/>
        </w:rPr>
        <w:t xml:space="preserve"> územne príslušného úradu.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poskytnutie finančného príspevku na  mentorované zapracovanie a prax nie je právny nárok.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 realizácii Národného projektu 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Praxou k zamestnaniu 2“</w:t>
      </w:r>
      <w:r>
        <w:rPr>
          <w:rFonts w:ascii="Times New Roman" w:hAnsi="Times New Roman" w:cs="Times New Roman"/>
          <w:sz w:val="24"/>
          <w:szCs w:val="24"/>
        </w:rPr>
        <w:t xml:space="preserve"> získate aj                       na stránke </w:t>
      </w:r>
      <w:hyperlink r:id="rId9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www.upsvar.sk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Style w:val="Hypertextovprepojenie"/>
            <w:rFonts w:ascii="Times New Roman" w:hAnsi="Times New Roman" w:cs="Times New Roman"/>
            <w:sz w:val="24"/>
            <w:szCs w:val="24"/>
          </w:rPr>
          <w:t>www.upsvar.sk/ke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alebo osobne na: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Košice, Staničné námestie 9, Košice, </w:t>
      </w:r>
    </w:p>
    <w:p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Renáta Dojčinovičová,  7 posch. č. d. 706/A, tel. č. 055/2440 482</w:t>
      </w:r>
    </w:p>
    <w:p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k-SK"/>
        </w:rPr>
        <w:t xml:space="preserve">Mgr. Lenka </w:t>
      </w:r>
      <w:proofErr w:type="spellStart"/>
      <w:r>
        <w:rPr>
          <w:rFonts w:ascii="Times New Roman" w:hAnsi="Times New Roman" w:cs="Times New Roman"/>
          <w:lang w:val="sk-SK"/>
        </w:rPr>
        <w:t>Kažímirová</w:t>
      </w:r>
      <w:proofErr w:type="spellEnd"/>
      <w:r>
        <w:rPr>
          <w:rFonts w:ascii="Times New Roman" w:hAnsi="Times New Roman" w:cs="Times New Roman"/>
        </w:rPr>
        <w:t xml:space="preserve">, 7 posch. č. d. </w:t>
      </w:r>
      <w:r>
        <w:rPr>
          <w:rFonts w:ascii="Times New Roman" w:hAnsi="Times New Roman" w:cs="Times New Roman"/>
          <w:lang w:val="sk-SK"/>
        </w:rPr>
        <w:t>712</w:t>
      </w:r>
      <w:r>
        <w:rPr>
          <w:rFonts w:ascii="Times New Roman" w:hAnsi="Times New Roman" w:cs="Times New Roman"/>
        </w:rPr>
        <w:t>/A, tel. č. 055/2440 4</w:t>
      </w:r>
      <w:r>
        <w:rPr>
          <w:rFonts w:ascii="Times New Roman" w:hAnsi="Times New Roman" w:cs="Times New Roman"/>
          <w:lang w:val="sk-SK"/>
        </w:rPr>
        <w:t>59</w:t>
      </w:r>
    </w:p>
    <w:p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Mgr. Renáta Tóthová</w:t>
      </w:r>
      <w:r>
        <w:rPr>
          <w:rFonts w:ascii="Times New Roman" w:hAnsi="Times New Roman" w:cs="Times New Roman"/>
          <w:color w:val="000000"/>
          <w:lang w:val="sk-SK"/>
        </w:rPr>
        <w:t xml:space="preserve">, </w:t>
      </w:r>
      <w:r>
        <w:rPr>
          <w:rFonts w:ascii="Times New Roman" w:hAnsi="Times New Roman" w:cs="Times New Roman"/>
        </w:rPr>
        <w:t xml:space="preserve">7 posch. č. d. </w:t>
      </w:r>
      <w:r>
        <w:rPr>
          <w:rFonts w:ascii="Times New Roman" w:hAnsi="Times New Roman" w:cs="Times New Roman"/>
          <w:lang w:val="sk-SK"/>
        </w:rPr>
        <w:t>708</w:t>
      </w:r>
      <w:r>
        <w:rPr>
          <w:rFonts w:ascii="Times New Roman" w:hAnsi="Times New Roman" w:cs="Times New Roman"/>
        </w:rPr>
        <w:t>, tel. č. 055/2440 4</w:t>
      </w:r>
      <w:r>
        <w:rPr>
          <w:rFonts w:ascii="Times New Roman" w:hAnsi="Times New Roman" w:cs="Times New Roman"/>
          <w:lang w:val="sk-SK"/>
        </w:rPr>
        <w:t>64</w:t>
      </w:r>
    </w:p>
    <w:p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k-SK"/>
        </w:rPr>
        <w:t xml:space="preserve">Ing. Tomáš Vozár, </w:t>
      </w:r>
      <w:r>
        <w:rPr>
          <w:rFonts w:ascii="Times New Roman" w:hAnsi="Times New Roman" w:cs="Times New Roman"/>
        </w:rPr>
        <w:t xml:space="preserve">7 posch. č. d. </w:t>
      </w:r>
      <w:r>
        <w:rPr>
          <w:rFonts w:ascii="Times New Roman" w:hAnsi="Times New Roman" w:cs="Times New Roman"/>
          <w:lang w:val="sk-SK"/>
        </w:rPr>
        <w:t>712</w:t>
      </w:r>
      <w:r>
        <w:rPr>
          <w:rFonts w:ascii="Times New Roman" w:hAnsi="Times New Roman" w:cs="Times New Roman"/>
        </w:rPr>
        <w:t>/A, tel. č. 055/2440 4</w:t>
      </w:r>
      <w:r>
        <w:rPr>
          <w:rFonts w:ascii="Times New Roman" w:hAnsi="Times New Roman" w:cs="Times New Roman"/>
          <w:lang w:val="sk-SK"/>
        </w:rPr>
        <w:t>56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046394"/>
      <w:docPartObj>
        <w:docPartGallery w:val="Page Numbers (Bottom of Page)"/>
        <w:docPartUnique/>
      </w:docPartObj>
    </w:sdtPr>
    <w:sdtContent>
      <w:p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0B9"/>
    <w:multiLevelType w:val="hybridMultilevel"/>
    <w:tmpl w:val="81AE8D2E"/>
    <w:lvl w:ilvl="0" w:tplc="49304A1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0"/>
        <w:szCs w:val="20"/>
        <w:u w:color="008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F0927"/>
    <w:multiLevelType w:val="hybridMultilevel"/>
    <w:tmpl w:val="330223AE"/>
    <w:lvl w:ilvl="0" w:tplc="C1B4C85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0365F80"/>
    <w:multiLevelType w:val="hybridMultilevel"/>
    <w:tmpl w:val="2E946DB4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4A93256"/>
    <w:multiLevelType w:val="hybridMultilevel"/>
    <w:tmpl w:val="02003580"/>
    <w:lvl w:ilvl="0" w:tplc="041B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421E39D2"/>
    <w:multiLevelType w:val="hybridMultilevel"/>
    <w:tmpl w:val="D6CE3F2A"/>
    <w:lvl w:ilvl="0" w:tplc="AD3A0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556DC"/>
    <w:multiLevelType w:val="hybridMultilevel"/>
    <w:tmpl w:val="DAB051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63ABA"/>
    <w:multiLevelType w:val="hybridMultilevel"/>
    <w:tmpl w:val="A2D09348"/>
    <w:lvl w:ilvl="0" w:tplc="DFE8490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D42974"/>
    <w:multiLevelType w:val="hybridMultilevel"/>
    <w:tmpl w:val="07EE825A"/>
    <w:lvl w:ilvl="0" w:tplc="49221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9552FB"/>
    <w:multiLevelType w:val="hybridMultilevel"/>
    <w:tmpl w:val="50B46B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524542"/>
    <w:multiLevelType w:val="hybridMultilevel"/>
    <w:tmpl w:val="D066778E"/>
    <w:lvl w:ilvl="0" w:tplc="E30CC080">
      <w:start w:val="1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386F3D"/>
    <w:multiLevelType w:val="hybridMultilevel"/>
    <w:tmpl w:val="5CCEAA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5"/>
      <w:szCs w:val="15"/>
      <w:lang w:val="cs-CZ" w:eastAsia="cs-CZ"/>
    </w:rPr>
  </w:style>
  <w:style w:type="paragraph" w:customStyle="1" w:styleId="Zkladntext21">
    <w:name w:val="Základný text 21"/>
    <w:basedOn w:val="Norm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99"/>
    <w:locked/>
    <w:rPr>
      <w:sz w:val="24"/>
      <w:szCs w:val="24"/>
      <w:lang w:val="x-none" w:eastAsia="x-none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pPr>
      <w:spacing w:after="0" w:line="240" w:lineRule="auto"/>
      <w:ind w:left="720"/>
      <w:contextualSpacing/>
    </w:pPr>
    <w:rPr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</w:style>
  <w:style w:type="paragraph" w:styleId="Zkladntext">
    <w:name w:val="Body Text"/>
    <w:basedOn w:val="Normlny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Verdana" w:eastAsia="Times New Roman" w:hAnsi="Verdana" w:cs="Verdana"/>
      <w:sz w:val="15"/>
      <w:szCs w:val="15"/>
      <w:lang w:val="cs-CZ" w:eastAsia="cs-CZ"/>
    </w:rPr>
  </w:style>
  <w:style w:type="paragraph" w:customStyle="1" w:styleId="Zkladntext21">
    <w:name w:val="Základný text 21"/>
    <w:basedOn w:val="Norm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link w:val="Odsekzoznamu"/>
    <w:uiPriority w:val="99"/>
    <w:locked/>
    <w:rPr>
      <w:sz w:val="24"/>
      <w:szCs w:val="24"/>
      <w:lang w:val="x-none" w:eastAsia="x-none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pPr>
      <w:spacing w:after="0" w:line="240" w:lineRule="auto"/>
      <w:ind w:left="720"/>
      <w:contextualSpacing/>
    </w:pPr>
    <w:rPr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</w:style>
  <w:style w:type="paragraph" w:styleId="Zkladntext">
    <w:name w:val="Body Text"/>
    <w:basedOn w:val="Normlny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</w:style>
  <w:style w:type="character" w:styleId="Hypertextovprepojenie">
    <w:name w:val="Hyperlink"/>
    <w:basedOn w:val="Predvolenpsmoodseku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psvar.sk/k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psva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C10C-39B0-4BC5-9EAA-8E423BA9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7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Kažimírová Lenka</dc:creator>
  <cp:lastModifiedBy>Dojčinovičová Renáta</cp:lastModifiedBy>
  <cp:revision>27</cp:revision>
  <cp:lastPrinted>2015-10-02T06:25:00Z</cp:lastPrinted>
  <dcterms:created xsi:type="dcterms:W3CDTF">2016-01-18T08:13:00Z</dcterms:created>
  <dcterms:modified xsi:type="dcterms:W3CDTF">2020-01-14T08:15:00Z</dcterms:modified>
</cp:coreProperties>
</file>