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425" w:type="dxa"/>
        <w:jc w:val="center"/>
        <w:tblInd w:w="-469" w:type="dxa"/>
        <w:tblLook w:val="04A0" w:firstRow="1" w:lastRow="0" w:firstColumn="1" w:lastColumn="0" w:noHBand="0" w:noVBand="1"/>
      </w:tblPr>
      <w:tblGrid>
        <w:gridCol w:w="4712"/>
        <w:gridCol w:w="4713"/>
      </w:tblGrid>
      <w:tr w:rsidR="00A1600B" w:rsidRPr="00932A91" w:rsidTr="00826B16">
        <w:trPr>
          <w:trHeight w:val="1012"/>
          <w:jc w:val="center"/>
        </w:trPr>
        <w:tc>
          <w:tcPr>
            <w:tcW w:w="4712" w:type="dxa"/>
            <w:tcBorders>
              <w:top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1600B" w:rsidRPr="00826B16" w:rsidRDefault="00A1600B" w:rsidP="00FC5ED9">
            <w:pPr>
              <w:jc w:val="center"/>
              <w:rPr>
                <w:rFonts w:cs="Times New Roman"/>
                <w:b/>
                <w:color w:val="17365D" w:themeColor="text2" w:themeShade="B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26B16">
              <w:rPr>
                <w:rFonts w:cs="Times New Roman"/>
                <w:b/>
                <w:color w:val="17365D" w:themeColor="text2" w:themeShade="B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RE-PAS</w:t>
            </w:r>
          </w:p>
          <w:p w:rsidR="00A1600B" w:rsidRPr="00A1600B" w:rsidRDefault="00A1600B" w:rsidP="00FC5ED9">
            <w:pPr>
              <w:jc w:val="center"/>
              <w:rPr>
                <w:rFonts w:cs="Times New Roman"/>
                <w:b/>
                <w:color w:val="17365D" w:themeColor="text2" w:themeShade="BF"/>
                <w:sz w:val="36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26B16">
              <w:rPr>
                <w:rFonts w:cs="Times New Roman"/>
                <w:b/>
                <w:color w:val="17365D" w:themeColor="text2" w:themeShade="BF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základné informácie</w:t>
            </w:r>
          </w:p>
        </w:tc>
        <w:tc>
          <w:tcPr>
            <w:tcW w:w="471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A1600B" w:rsidRDefault="00A1600B" w:rsidP="00A1600B">
            <w:pPr>
              <w:jc w:val="center"/>
            </w:pPr>
            <w:r w:rsidRPr="009D3A8C">
              <w:rPr>
                <w:rFonts w:ascii="Book Antiqua" w:hAnsi="Book Antiqua"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7B2A8C6C" wp14:editId="2A59FC61">
                  <wp:extent cx="2493034" cy="684812"/>
                  <wp:effectExtent l="0" t="0" r="0" b="127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438" cy="69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ED9" w:rsidRPr="00932A91" w:rsidTr="00FC5ED9">
        <w:trPr>
          <w:trHeight w:val="154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FC5ED9" w:rsidRPr="009D3A8C" w:rsidRDefault="00FC5ED9" w:rsidP="00FC5ED9">
            <w:pPr>
              <w:spacing w:line="264" w:lineRule="auto"/>
              <w:jc w:val="center"/>
              <w:rPr>
                <w:rFonts w:ascii="Book Antiqua" w:hAnsi="Book Antiqua" w:cs="Arial"/>
                <w:noProof/>
                <w:sz w:val="20"/>
                <w:szCs w:val="20"/>
                <w:lang w:eastAsia="sk-SK"/>
              </w:rPr>
            </w:pPr>
            <w:r w:rsidRPr="00B20334">
              <w:rPr>
                <w:rFonts w:cs="Times New Roman"/>
                <w:b/>
                <w:color w:val="17365D" w:themeColor="text2" w:themeShade="BF"/>
                <w:szCs w:val="24"/>
              </w:rPr>
              <w:t>„RE-PAS – rekvalifikácia ako príležitosť k spolupráci uchádzačov o zamestnanie, úradov práce, sociálnych vecí a rodiny a vzdelávacích inštitúcií“ s cieľom zvýšiť predpoklady uchádzačov o zamestnanie na uplatnenie sa na trhu práce.</w:t>
            </w:r>
          </w:p>
        </w:tc>
      </w:tr>
      <w:tr w:rsidR="00932A91" w:rsidRPr="00932A91" w:rsidTr="00FC5ED9">
        <w:trPr>
          <w:trHeight w:val="154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6472" w:rsidRPr="00DC395A" w:rsidRDefault="00726472" w:rsidP="00B20334">
            <w:pPr>
              <w:spacing w:line="264" w:lineRule="auto"/>
              <w:jc w:val="both"/>
              <w:rPr>
                <w:bCs/>
                <w:color w:val="FF0000"/>
                <w:sz w:val="19"/>
                <w:szCs w:val="19"/>
              </w:rPr>
            </w:pPr>
            <w:bookmarkStart w:id="0" w:name="_GoBack" w:colFirst="1" w:colLast="1"/>
            <w:r w:rsidRPr="00DC395A">
              <w:rPr>
                <w:b/>
                <w:bCs/>
                <w:color w:val="FF0000"/>
                <w:sz w:val="19"/>
                <w:szCs w:val="19"/>
              </w:rPr>
              <w:t>Rekvalifikácia</w:t>
            </w:r>
            <w:r w:rsidRPr="00DC395A">
              <w:rPr>
                <w:bCs/>
                <w:color w:val="FF0000"/>
                <w:sz w:val="19"/>
                <w:szCs w:val="19"/>
              </w:rPr>
              <w:t xml:space="preserve"> </w:t>
            </w:r>
            <w:r w:rsidRPr="00DC395A">
              <w:rPr>
                <w:b/>
                <w:bCs/>
                <w:color w:val="FF0000"/>
                <w:sz w:val="19"/>
                <w:szCs w:val="19"/>
              </w:rPr>
              <w:t>je príprava uchádzača o zamestnanie na uplatnenie sa na trhu práce s  cieľom nadobudnutia vedomostí, schopností a zručností vo vzdelávacom (rekvalifikačnom) kurze</w:t>
            </w:r>
            <w:r w:rsidRPr="00DC395A">
              <w:rPr>
                <w:bCs/>
                <w:color w:val="FF0000"/>
                <w:sz w:val="19"/>
                <w:szCs w:val="19"/>
              </w:rPr>
              <w:t xml:space="preserve">, ktorý zrealizuje poskytovateľ rekvalifikácie, ktorého si vybral uchádzač o zamestnanie. Úrad práce, sociálnych vecí a rodiny pre uchádzača o zamestnanie rekvalifikáciu nevyhľadáva a ani nezabezpečuje komunikáciu s poskytovateľom rekvalifikácie.  </w:t>
            </w:r>
          </w:p>
          <w:p w:rsidR="00726472" w:rsidRPr="00DC395A" w:rsidRDefault="00726472" w:rsidP="00B2033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b/>
                <w:bCs/>
                <w:color w:val="17365D" w:themeColor="text2" w:themeShade="BF"/>
                <w:sz w:val="19"/>
                <w:szCs w:val="19"/>
              </w:rPr>
              <w:t xml:space="preserve">RE-PAS je potvrdením, že úrad práce, sociálnych vecí a rodiny poskytne </w:t>
            </w:r>
            <w:r w:rsidRPr="00DC395A">
              <w:rPr>
                <w:b/>
                <w:color w:val="17365D" w:themeColor="text2" w:themeShade="BF"/>
                <w:sz w:val="19"/>
                <w:szCs w:val="19"/>
              </w:rPr>
              <w:t>uchádzačovi o zamestnanie</w:t>
            </w:r>
            <w:r w:rsidRPr="00DC395A">
              <w:rPr>
                <w:b/>
                <w:bCs/>
                <w:color w:val="17365D" w:themeColor="text2" w:themeShade="BF"/>
                <w:sz w:val="19"/>
                <w:szCs w:val="19"/>
              </w:rPr>
              <w:t xml:space="preserve"> príspevok na rekvalifikáciu, ktorú zrealizuje poskytovateľ rekvalifikácie.</w:t>
            </w:r>
          </w:p>
          <w:p w:rsidR="00494579" w:rsidRPr="00DC395A" w:rsidRDefault="00726472" w:rsidP="00494579">
            <w:pPr>
              <w:spacing w:line="264" w:lineRule="auto"/>
              <w:jc w:val="both"/>
              <w:rPr>
                <w:bCs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bCs/>
                <w:color w:val="17365D" w:themeColor="text2" w:themeShade="BF"/>
                <w:sz w:val="19"/>
                <w:szCs w:val="19"/>
              </w:rPr>
              <w:t>Rekvalifikáciu je možné absolvovať len na území Slovenskej republiky. Poskytovateľ rekvalifikácie bude akceptovaný len v prípade, ak preukáže, že má vydanú akreditáciu/osvedčenie/oprávnenie</w:t>
            </w:r>
            <w:r w:rsidR="00494579"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 </w:t>
            </w:r>
            <w:r w:rsidRPr="00DC395A">
              <w:rPr>
                <w:bCs/>
                <w:color w:val="17365D" w:themeColor="text2" w:themeShade="BF"/>
                <w:sz w:val="19"/>
                <w:szCs w:val="19"/>
              </w:rPr>
              <w:t>na vzdelávací program v zmysle legislatívy platnej na území SR</w:t>
            </w:r>
            <w:r w:rsidR="00494579"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 alebo má vydané súhlasné stanovisko sektorovej rady alebo stavovskej organizácie alebo profesijnej  organizácie</w:t>
            </w:r>
            <w:r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. </w:t>
            </w:r>
          </w:p>
          <w:p w:rsidR="00494579" w:rsidRPr="00DC395A" w:rsidRDefault="00726472" w:rsidP="00494579">
            <w:pPr>
              <w:spacing w:line="264" w:lineRule="auto"/>
              <w:jc w:val="both"/>
              <w:rPr>
                <w:bCs/>
                <w:color w:val="17365D" w:themeColor="text2" w:themeShade="BF"/>
                <w:sz w:val="18"/>
                <w:szCs w:val="19"/>
              </w:rPr>
            </w:pPr>
            <w:r w:rsidRPr="00DC395A">
              <w:rPr>
                <w:bCs/>
                <w:color w:val="17365D" w:themeColor="text2" w:themeShade="BF"/>
                <w:sz w:val="19"/>
                <w:szCs w:val="19"/>
              </w:rPr>
              <w:t>Akreditácia/osvedčenie/oprávnenie</w:t>
            </w:r>
            <w:r w:rsidR="00494579" w:rsidRPr="00DC395A">
              <w:rPr>
                <w:bCs/>
                <w:color w:val="17365D" w:themeColor="text2" w:themeShade="BF"/>
                <w:sz w:val="19"/>
                <w:szCs w:val="19"/>
              </w:rPr>
              <w:t>/</w:t>
            </w:r>
            <w:r w:rsidR="00612EE3"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súhlasné </w:t>
            </w:r>
            <w:r w:rsidR="00494579" w:rsidRPr="00DC395A">
              <w:rPr>
                <w:bCs/>
                <w:color w:val="17365D" w:themeColor="text2" w:themeShade="BF"/>
                <w:sz w:val="19"/>
                <w:szCs w:val="19"/>
              </w:rPr>
              <w:t>stanovisko</w:t>
            </w:r>
            <w:r w:rsidR="00612EE3"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 sektorovej rady alebo stavovskej organizácie alebo profesijnej  organizácie</w:t>
            </w:r>
            <w:r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 sa nevyžaduje v prípade realizovania vzdelávacieho </w:t>
            </w:r>
            <w:r w:rsidR="00494579" w:rsidRPr="00DC395A">
              <w:rPr>
                <w:bCs/>
                <w:color w:val="17365D" w:themeColor="text2" w:themeShade="BF"/>
                <w:sz w:val="19"/>
                <w:szCs w:val="19"/>
              </w:rPr>
              <w:t xml:space="preserve">(rekvalifikačného) kurzu </w:t>
            </w:r>
            <w:r w:rsidRPr="00DC395A">
              <w:rPr>
                <w:bCs/>
                <w:color w:val="17365D" w:themeColor="text2" w:themeShade="BF"/>
                <w:sz w:val="19"/>
                <w:szCs w:val="19"/>
              </w:rPr>
              <w:t>zameraného na rozvoj komunikačných, počítačových, manažérskych, sociálnych, podnikateľských, jazykových kompetencií a na získanie praktických skúseností</w:t>
            </w:r>
            <w:r w:rsidR="00494579" w:rsidRPr="00DC395A">
              <w:rPr>
                <w:bCs/>
                <w:color w:val="17365D" w:themeColor="text2" w:themeShade="BF"/>
                <w:sz w:val="18"/>
                <w:szCs w:val="19"/>
              </w:rPr>
              <w:t xml:space="preserve">. </w:t>
            </w:r>
          </w:p>
          <w:p w:rsidR="00932A91" w:rsidRPr="00494579" w:rsidRDefault="00726472" w:rsidP="00494579">
            <w:pPr>
              <w:spacing w:line="264" w:lineRule="auto"/>
              <w:jc w:val="both"/>
              <w:rPr>
                <w:color w:val="002060"/>
                <w:sz w:val="24"/>
                <w:szCs w:val="20"/>
              </w:rPr>
            </w:pPr>
            <w:r w:rsidRPr="00DC395A">
              <w:rPr>
                <w:bCs/>
                <w:color w:val="17365D" w:themeColor="text2" w:themeShade="BF"/>
                <w:sz w:val="18"/>
                <w:szCs w:val="19"/>
              </w:rPr>
              <w:t>Pri vzdelávacích (rekvalifikačných) kurzoch, na ktoré sa nevyžaduje akreditácia/osvedčenie/oprávnenie</w:t>
            </w:r>
            <w:r w:rsidR="005A52D6" w:rsidRPr="00DC395A">
              <w:rPr>
                <w:bCs/>
                <w:color w:val="17365D" w:themeColor="text2" w:themeShade="BF"/>
                <w:sz w:val="18"/>
                <w:szCs w:val="19"/>
              </w:rPr>
              <w:t>/súhlasné stanovisko</w:t>
            </w:r>
            <w:r w:rsidR="00612EE3" w:rsidRPr="00DC395A">
              <w:rPr>
                <w:bCs/>
                <w:color w:val="17365D" w:themeColor="text2" w:themeShade="BF"/>
                <w:sz w:val="18"/>
                <w:szCs w:val="19"/>
              </w:rPr>
              <w:t xml:space="preserve"> </w:t>
            </w:r>
            <w:r w:rsidR="00612EE3" w:rsidRPr="00DC395A">
              <w:rPr>
                <w:bCs/>
                <w:color w:val="17365D" w:themeColor="text2" w:themeShade="BF"/>
                <w:sz w:val="18"/>
                <w:szCs w:val="18"/>
              </w:rPr>
              <w:t>sektorovej rady alebo stavovskej organizácie alebo profesijnej  organizácie</w:t>
            </w:r>
            <w:r w:rsidRPr="00DC395A">
              <w:rPr>
                <w:bCs/>
                <w:color w:val="17365D" w:themeColor="text2" w:themeShade="BF"/>
                <w:sz w:val="18"/>
                <w:szCs w:val="19"/>
              </w:rPr>
              <w:t>, bude poskytovateľ rekvalifikácie akceptovaný len v prípade, ak preukáže, že má oprávnenie na vykonávanie vzdelávania dospelých alebo obdobných služieb, ktoré vzdelávanie uchádzača o zamestnanie zahŕňajú, vydaným v zmysle  osobitných predpisov (napr. zákon č. 455/1991 Zb. Živnostenský zákon v znení neskorších predpisov).</w:t>
            </w:r>
          </w:p>
        </w:tc>
      </w:tr>
      <w:bookmarkEnd w:id="0"/>
      <w:tr w:rsidR="00932A91" w:rsidRPr="00932A91" w:rsidTr="001533B4">
        <w:trPr>
          <w:trHeight w:val="114"/>
          <w:jc w:val="center"/>
        </w:trPr>
        <w:tc>
          <w:tcPr>
            <w:tcW w:w="9425" w:type="dxa"/>
            <w:gridSpan w:val="2"/>
            <w:noWrap/>
            <w:vAlign w:val="center"/>
            <w:hideMark/>
          </w:tcPr>
          <w:p w:rsidR="00932A91" w:rsidRPr="00826B16" w:rsidRDefault="00932A91" w:rsidP="00B20334">
            <w:pPr>
              <w:spacing w:line="264" w:lineRule="auto"/>
              <w:jc w:val="both"/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</w:pPr>
            <w:r w:rsidRPr="00826B16"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  <w:t>RE-PAS umožňuje uchádzačom o zamestnanie evidovaným na úrade práce, sociálnych vecí a rodiny:</w:t>
            </w:r>
          </w:p>
          <w:p w:rsidR="00932A91" w:rsidRPr="00826B16" w:rsidRDefault="00932A91" w:rsidP="00B20334">
            <w:pPr>
              <w:pStyle w:val="Odsekzoznamu"/>
              <w:numPr>
                <w:ilvl w:val="0"/>
                <w:numId w:val="24"/>
              </w:numPr>
              <w:spacing w:line="264" w:lineRule="auto"/>
              <w:jc w:val="both"/>
              <w:rPr>
                <w:rFonts w:cs="Times New Roman"/>
                <w:color w:val="365F91" w:themeColor="accent1" w:themeShade="BF"/>
                <w:sz w:val="19"/>
                <w:szCs w:val="19"/>
              </w:rPr>
            </w:pPr>
            <w:r w:rsidRPr="00826B16"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  <w:t xml:space="preserve">rozšíriť alebo úplne zmeniť svoje profesijné zameranie </w:t>
            </w:r>
            <w:r w:rsidRPr="00826B16">
              <w:rPr>
                <w:rFonts w:cs="Times New Roman"/>
                <w:color w:val="365F91" w:themeColor="accent1" w:themeShade="BF"/>
                <w:sz w:val="19"/>
                <w:szCs w:val="19"/>
              </w:rPr>
              <w:t>prostredníctvom absolvovania rekvalifikácie,</w:t>
            </w:r>
          </w:p>
          <w:p w:rsidR="00932A91" w:rsidRPr="00826B16" w:rsidRDefault="00932A91" w:rsidP="00B20334">
            <w:pPr>
              <w:pStyle w:val="Odsekzoznamu"/>
              <w:numPr>
                <w:ilvl w:val="0"/>
                <w:numId w:val="24"/>
              </w:numPr>
              <w:spacing w:line="264" w:lineRule="auto"/>
              <w:jc w:val="both"/>
              <w:rPr>
                <w:rFonts w:cs="Times New Roman"/>
                <w:color w:val="365F91" w:themeColor="accent1" w:themeShade="BF"/>
                <w:sz w:val="19"/>
                <w:szCs w:val="19"/>
              </w:rPr>
            </w:pPr>
            <w:r w:rsidRPr="00826B16"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  <w:t xml:space="preserve">zvoliť si rekvalifikáciu a poskytovateľa rekvalifikácie </w:t>
            </w:r>
            <w:r w:rsidRPr="00826B16">
              <w:rPr>
                <w:rFonts w:cs="Times New Roman"/>
                <w:color w:val="365F91" w:themeColor="accent1" w:themeShade="BF"/>
                <w:sz w:val="19"/>
                <w:szCs w:val="19"/>
              </w:rPr>
              <w:t>podľa vlastného výberu,</w:t>
            </w:r>
          </w:p>
          <w:p w:rsidR="00932A91" w:rsidRPr="00932A91" w:rsidRDefault="00932A91" w:rsidP="00B20334">
            <w:pPr>
              <w:pStyle w:val="Odsekzoznamu"/>
              <w:numPr>
                <w:ilvl w:val="0"/>
                <w:numId w:val="24"/>
              </w:numPr>
              <w:spacing w:line="264" w:lineRule="auto"/>
              <w:jc w:val="both"/>
              <w:rPr>
                <w:rFonts w:cs="Times New Roman"/>
                <w:sz w:val="24"/>
                <w:szCs w:val="20"/>
              </w:rPr>
            </w:pPr>
            <w:r w:rsidRPr="00826B16">
              <w:rPr>
                <w:rFonts w:cs="Times New Roman"/>
                <w:color w:val="365F91" w:themeColor="accent1" w:themeShade="BF"/>
                <w:sz w:val="19"/>
                <w:szCs w:val="19"/>
              </w:rPr>
              <w:t>požiadať úrad práce, sociálnych vecí a rodiny o</w:t>
            </w:r>
            <w:r w:rsidRPr="00826B16"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  <w:t> </w:t>
            </w:r>
            <w:r w:rsidR="00726472" w:rsidRPr="00826B16"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  <w:t>poskytnutie</w:t>
            </w:r>
            <w:r w:rsidRPr="00826B16">
              <w:rPr>
                <w:rFonts w:cs="Times New Roman"/>
                <w:b/>
                <w:color w:val="365F91" w:themeColor="accent1" w:themeShade="BF"/>
                <w:sz w:val="19"/>
                <w:szCs w:val="19"/>
              </w:rPr>
              <w:t xml:space="preserve"> príspevku na rekvalifikáciu.</w:t>
            </w:r>
          </w:p>
        </w:tc>
      </w:tr>
      <w:tr w:rsidR="00932A91" w:rsidRPr="00932A91" w:rsidTr="001533B4">
        <w:trPr>
          <w:trHeight w:val="525"/>
          <w:jc w:val="center"/>
        </w:trPr>
        <w:tc>
          <w:tcPr>
            <w:tcW w:w="9425" w:type="dxa"/>
            <w:gridSpan w:val="2"/>
            <w:shd w:val="clear" w:color="auto" w:fill="B6DDE8" w:themeFill="accent5" w:themeFillTint="66"/>
            <w:noWrap/>
            <w:vAlign w:val="center"/>
            <w:hideMark/>
          </w:tcPr>
          <w:p w:rsidR="00A1600B" w:rsidRPr="00826B16" w:rsidRDefault="00932A91" w:rsidP="00FC5ED9">
            <w:pPr>
              <w:jc w:val="center"/>
              <w:rPr>
                <w:rFonts w:cs="Times New Roman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826B16">
              <w:rPr>
                <w:rFonts w:cs="Times New Roman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Informácie pre uchádzača o</w:t>
            </w:r>
            <w:r w:rsidR="00A1600B" w:rsidRPr="00826B16">
              <w:rPr>
                <w:rFonts w:cs="Times New Roman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 </w:t>
            </w:r>
            <w:r w:rsidRPr="00826B16">
              <w:rPr>
                <w:rFonts w:cs="Times New Roman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zamestnanie</w:t>
            </w:r>
          </w:p>
          <w:p w:rsidR="00932A91" w:rsidRPr="00C66D62" w:rsidRDefault="00932A91" w:rsidP="00FC5ED9">
            <w:pPr>
              <w:jc w:val="center"/>
              <w:rPr>
                <w:rFonts w:cs="Times New Roman"/>
                <w:sz w:val="30"/>
                <w:szCs w:val="30"/>
              </w:rPr>
            </w:pPr>
            <w:r w:rsidRPr="00826B16">
              <w:rPr>
                <w:rFonts w:cs="Times New Roman"/>
                <w:b/>
                <w:color w:val="17365D" w:themeColor="text2" w:themeShade="BF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k možnosti získať príspevok na rekvalifikáciu</w:t>
            </w:r>
          </w:p>
        </w:tc>
      </w:tr>
      <w:tr w:rsidR="00932A91" w:rsidRPr="00932A91" w:rsidTr="001533B4">
        <w:trPr>
          <w:trHeight w:val="347"/>
          <w:jc w:val="center"/>
        </w:trPr>
        <w:tc>
          <w:tcPr>
            <w:tcW w:w="9425" w:type="dxa"/>
            <w:gridSpan w:val="2"/>
            <w:shd w:val="clear" w:color="auto" w:fill="DAEEF3" w:themeFill="accent5" w:themeFillTint="33"/>
            <w:noWrap/>
            <w:vAlign w:val="center"/>
            <w:hideMark/>
          </w:tcPr>
          <w:p w:rsidR="00932A91" w:rsidRPr="00FC5ED9" w:rsidRDefault="00932A91" w:rsidP="00FC5ED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C5ED9">
              <w:rPr>
                <w:rFonts w:cs="Times New Roman"/>
                <w:b/>
                <w:color w:val="17365D" w:themeColor="text2" w:themeShade="BF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Pred rekvalifikáciou</w:t>
            </w:r>
          </w:p>
        </w:tc>
      </w:tr>
      <w:tr w:rsidR="00932A91" w:rsidRPr="00932A91" w:rsidTr="001533B4">
        <w:trPr>
          <w:trHeight w:val="114"/>
          <w:jc w:val="center"/>
        </w:trPr>
        <w:tc>
          <w:tcPr>
            <w:tcW w:w="9425" w:type="dxa"/>
            <w:gridSpan w:val="2"/>
            <w:noWrap/>
            <w:vAlign w:val="center"/>
            <w:hideMark/>
          </w:tcPr>
          <w:p w:rsidR="00932A91" w:rsidRPr="0034190B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34190B">
              <w:rPr>
                <w:rFonts w:cs="Times New Roman"/>
                <w:b/>
                <w:color w:val="FF0000"/>
                <w:sz w:val="19"/>
                <w:szCs w:val="19"/>
              </w:rPr>
              <w:t>Uchádzač o zamestnanie si vyberie rekvalifikačný kurz</w:t>
            </w:r>
            <w:r w:rsidRPr="0034190B">
              <w:rPr>
                <w:rFonts w:cs="Times New Roman"/>
                <w:color w:val="FF0000"/>
                <w:sz w:val="19"/>
                <w:szCs w:val="19"/>
              </w:rPr>
              <w:t>, o ktorý má záujem. Nárok na príspevok na rekvalifikáciu má iba ten uchádzač o zamestnanie, ktorý za posledných 5 rokov neabsolvoval cez úrad práce, sociálnych vecí a</w:t>
            </w:r>
            <w:r w:rsidR="00726472">
              <w:rPr>
                <w:rFonts w:cs="Times New Roman"/>
                <w:color w:val="FF0000"/>
                <w:sz w:val="19"/>
                <w:szCs w:val="19"/>
              </w:rPr>
              <w:t> </w:t>
            </w:r>
            <w:r w:rsidRPr="0034190B">
              <w:rPr>
                <w:rFonts w:cs="Times New Roman"/>
                <w:color w:val="FF0000"/>
                <w:sz w:val="19"/>
                <w:szCs w:val="19"/>
              </w:rPr>
              <w:t>rodiny</w:t>
            </w:r>
            <w:r w:rsidR="00726472">
              <w:rPr>
                <w:rFonts w:cs="Times New Roman"/>
                <w:color w:val="FF0000"/>
                <w:sz w:val="19"/>
                <w:szCs w:val="19"/>
              </w:rPr>
              <w:t xml:space="preserve"> rekvalifikáciu alebo </w:t>
            </w:r>
            <w:r w:rsidRPr="0034190B">
              <w:rPr>
                <w:rFonts w:cs="Times New Roman"/>
                <w:color w:val="FF0000"/>
                <w:sz w:val="19"/>
                <w:szCs w:val="19"/>
              </w:rPr>
              <w:t xml:space="preserve"> vzdelávanie s tým istým alebo veľmi podobným zameraním, o ktoré má teraz záujem.</w:t>
            </w:r>
          </w:p>
          <w:p w:rsidR="00932A91" w:rsidRPr="0034190B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Uchádzač o zamestnanie môže </w:t>
            </w:r>
            <w:r w:rsidRPr="0034190B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v procese výberu rekvalifikácie </w:t>
            </w:r>
            <w:r w:rsidRPr="00FC5ED9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osloviť </w:t>
            </w:r>
            <w:r w:rsidRPr="0034190B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viacerých poskytovateľov rekvalifikácie</w:t>
            </w: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a </w:t>
            </w:r>
            <w:r w:rsidRPr="0034190B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zistiť si základné informácie o ponúkaných rekvalifikáciách</w:t>
            </w: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– napr. či  poskytovateľ ponúka požadovaný typ rekvalifikácie, cenu rekvalifikácie, rozsah a obsah  rekvalifikácie, predpokladaný </w:t>
            </w:r>
            <w:r w:rsidR="001009BB">
              <w:rPr>
                <w:rFonts w:cs="Times New Roman"/>
                <w:color w:val="17365D" w:themeColor="text2" w:themeShade="BF"/>
                <w:sz w:val="19"/>
                <w:szCs w:val="19"/>
              </w:rPr>
              <w:t>termín</w:t>
            </w: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rekvalifikácie atď.). Na základe zistených informácií si </w:t>
            </w:r>
            <w:r w:rsidRPr="0034190B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uch</w:t>
            </w:r>
            <w:r w:rsid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ádzač o zamestnanie sám vyberie </w:t>
            </w:r>
            <w:r w:rsidRPr="0034190B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konkrétneho poskytovateľa rekvalifikácie, ktorý realizuje rekvalifikáciu, ktorá vyhovuje požiadavkám uchádzača o zamestnanie.</w:t>
            </w:r>
          </w:p>
          <w:p w:rsidR="00932A91" w:rsidRPr="0034190B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34190B">
              <w:rPr>
                <w:rFonts w:cs="Times New Roman"/>
                <w:color w:val="FF0000"/>
                <w:sz w:val="19"/>
                <w:szCs w:val="19"/>
              </w:rPr>
              <w:t xml:space="preserve">Následne si </w:t>
            </w:r>
            <w:r w:rsidRPr="0034190B">
              <w:rPr>
                <w:rFonts w:cs="Times New Roman"/>
                <w:b/>
                <w:color w:val="FF0000"/>
                <w:sz w:val="19"/>
                <w:szCs w:val="19"/>
              </w:rPr>
              <w:t>uchádzač o zamestnanie podá na príslušnom úrade práce, sociálnych vecí a rodiny, kde je evidovaný, požiadavku na vybranú rekvalifikáciu na predpísanom formulári</w:t>
            </w:r>
            <w:r w:rsidRPr="0034190B">
              <w:rPr>
                <w:rFonts w:cs="Times New Roman"/>
                <w:color w:val="FF0000"/>
                <w:sz w:val="19"/>
                <w:szCs w:val="19"/>
              </w:rPr>
              <w:t xml:space="preserve">, najneskôr však </w:t>
            </w:r>
            <w:r w:rsidR="009E671F">
              <w:rPr>
                <w:rFonts w:cs="Times New Roman"/>
                <w:color w:val="FF0000"/>
                <w:sz w:val="19"/>
                <w:szCs w:val="19"/>
              </w:rPr>
              <w:t>30</w:t>
            </w:r>
            <w:r w:rsidRPr="0034190B">
              <w:rPr>
                <w:rFonts w:cs="Times New Roman"/>
                <w:color w:val="FF0000"/>
                <w:sz w:val="19"/>
                <w:szCs w:val="19"/>
              </w:rPr>
              <w:t xml:space="preserve"> kalendárnych dní pred začiatkom požadovanej rekvalifikácie.</w:t>
            </w:r>
          </w:p>
          <w:p w:rsidR="00932A91" w:rsidRPr="0034190B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Požiadavka na vybranú rekvalifikáciu má </w:t>
            </w:r>
            <w:r w:rsid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>tri</w:t>
            </w: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hlavné časti:</w:t>
            </w:r>
          </w:p>
          <w:p w:rsidR="00411EAE" w:rsidRPr="00411EAE" w:rsidRDefault="00411EAE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601" w:hanging="241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časť A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– </w:t>
            </w:r>
            <w:r w:rsidRP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Požiadavka uchádzača o zamestnanie na rekvalifikáciu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>, ktorú vyplní uchádzač o zamestnanie,</w:t>
            </w:r>
          </w:p>
          <w:p w:rsidR="00411EAE" w:rsidRPr="00411EAE" w:rsidRDefault="00411EAE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601" w:hanging="241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časť B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– </w:t>
            </w:r>
            <w:r w:rsidRP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Potvrdenie poskytovateľa požadovanej rekvalifikácie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>, ktoré na žiadosť uchádzača o zamestnanie vyplní a potvrdí vybraný poskytovateľ rekvalifikácie,</w:t>
            </w:r>
          </w:p>
          <w:p w:rsidR="00726472" w:rsidRPr="00DC395A" w:rsidRDefault="00411EAE" w:rsidP="00C11BC7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601" w:hanging="241"/>
              <w:jc w:val="both"/>
              <w:rPr>
                <w:rFonts w:cs="Microsoft Sans Serif"/>
                <w:color w:val="365F91" w:themeColor="accent1" w:themeShade="BF"/>
                <w:sz w:val="20"/>
              </w:rPr>
            </w:pPr>
            <w:r w:rsidRP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časť C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– </w:t>
            </w:r>
            <w:r w:rsidRPr="00411EAE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Potvrdenie zamestnávateľa o predbežnom prísľube prijatia do pracovného pomeru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>, ktorú na žiadosť uchádzača o zamestnanie vyplní potenciálny zamestnávateľ len v</w:t>
            </w:r>
            <w:r w:rsidR="00401989">
              <w:rPr>
                <w:rFonts w:cs="Times New Roman"/>
                <w:color w:val="17365D" w:themeColor="text2" w:themeShade="BF"/>
                <w:sz w:val="19"/>
                <w:szCs w:val="19"/>
              </w:rPr>
              <w:t> 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>prípade</w:t>
            </w:r>
            <w:r w:rsidR="00401989">
              <w:rPr>
                <w:rFonts w:cs="Times New Roman"/>
                <w:color w:val="17365D" w:themeColor="text2" w:themeShade="BF"/>
                <w:sz w:val="19"/>
                <w:szCs w:val="19"/>
              </w:rPr>
              <w:t>,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ak má uchádzač o zamestnanie </w:t>
            </w:r>
            <w:r w:rsidRPr="00411EAE">
              <w:rPr>
                <w:rFonts w:cs="Times New Roman"/>
                <w:color w:val="17365D" w:themeColor="text2" w:themeShade="BF"/>
                <w:sz w:val="19"/>
                <w:szCs w:val="19"/>
              </w:rPr>
              <w:lastRenderedPageBreak/>
              <w:t>prísľub na prijatie do pracovného pomeru</w:t>
            </w:r>
            <w:r w:rsidR="00726472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</w:t>
            </w:r>
            <w:r w:rsidR="00726472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(toto je nepovinná časť </w:t>
            </w:r>
            <w:r w:rsidR="00B20334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požiadavky</w:t>
            </w:r>
            <w:r w:rsidR="00726472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, ktorá sa vypĺňa</w:t>
            </w:r>
            <w:r w:rsidR="00B20334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len vtedy</w:t>
            </w:r>
            <w:r w:rsidR="00726472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, ak </w:t>
            </w:r>
            <w:r w:rsidR="00B20334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uchádzač o zamestnanie </w:t>
            </w:r>
            <w:r w:rsidR="00726472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našiel takého zamestnávateľa),  </w:t>
            </w:r>
          </w:p>
          <w:p w:rsidR="00411EAE" w:rsidRPr="00DC395A" w:rsidRDefault="00411EAE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601" w:hanging="241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súčasťou požiadavky je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príloha „</w:t>
            </w:r>
            <w:r w:rsidR="00612EE3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V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yhlásenie“, 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ktorú vyplní uchádzač o zamestnanie.</w:t>
            </w:r>
          </w:p>
          <w:p w:rsidR="00932A91" w:rsidRPr="00DC395A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color w:val="FF0000"/>
                <w:sz w:val="19"/>
                <w:szCs w:val="19"/>
              </w:rPr>
              <w:t xml:space="preserve">Keďže na príspevok na rekvalifikáciu nie je právny nárok, </w:t>
            </w: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úrad práce, sociálnych vecí a rodiny požiadavku na rekvalifikáciu zhodnotí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 xml:space="preserve"> z hľadiska účelnosti a efektívnosti a </w:t>
            </w: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schváli alebo neschváli</w:t>
            </w:r>
            <w:r w:rsidR="00BD2CEA" w:rsidRPr="00DC395A">
              <w:rPr>
                <w:rFonts w:cs="Times New Roman"/>
                <w:b/>
                <w:color w:val="FF0000"/>
                <w:sz w:val="19"/>
                <w:szCs w:val="19"/>
              </w:rPr>
              <w:t xml:space="preserve"> ju</w:t>
            </w: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.</w:t>
            </w:r>
          </w:p>
          <w:p w:rsidR="00932A91" w:rsidRPr="00DC395A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Ak úrad práce, sociálnych vecí a rodiny požiadavku na rekvalifikáciu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schváli, uzatvorí s uchádzačom o zamestnanie dohodu o úhrade príspevku na rekvalifikáciu a vystaví RE-PAS,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ktorý je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potvrdením, že po splnení všetkých podmienok úrad práce, sociálnych vecí a rodiny uhradí uchádzačovi o zamestnanie príspevok na rekvalifikáciu v hodnote kurzovného 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uvedeného v potvrdení poskytovateľa rekvalifikácie. Súčasťou príspevku na rekvalifikáciu nie je úhrada výdavkov na cestovné, stravovanie a ubytovanie uchádzača o zamestnanie v zmysle zákona č. 283/2002 Z. z. o cestovných náhradách v znení neskorších predpisov, ani žiadne ďalšie výdavky vynaložené </w:t>
            </w:r>
            <w:r w:rsidR="00E67AFC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uchádzačom 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na rekvalifikáciu.</w:t>
            </w:r>
          </w:p>
          <w:p w:rsidR="00932A91" w:rsidRPr="00DC395A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Bez uzatvorenia dohody o úhrade príspevku na rekvalifikáciu nie je možné príspevok na rekvalifikáciu uchádzačovi o zamestnanie poskytnúť.</w:t>
            </w:r>
          </w:p>
          <w:p w:rsidR="00932A91" w:rsidRPr="00932A91" w:rsidRDefault="00726472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rFonts w:cs="Times New Roman"/>
                <w:sz w:val="24"/>
                <w:szCs w:val="20"/>
              </w:rPr>
            </w:pPr>
            <w:r w:rsidRPr="00DC395A">
              <w:rPr>
                <w:rFonts w:cs="Times New Roman"/>
                <w:color w:val="17365D" w:themeColor="text2" w:themeShade="BF"/>
                <w:sz w:val="18"/>
                <w:szCs w:val="19"/>
              </w:rPr>
              <w:t xml:space="preserve">Pred uzatvorením dohody </w:t>
            </w:r>
            <w:r w:rsidR="00B20334" w:rsidRPr="00DC395A">
              <w:rPr>
                <w:rFonts w:cs="Times New Roman"/>
                <w:color w:val="17365D" w:themeColor="text2" w:themeShade="BF"/>
                <w:sz w:val="18"/>
                <w:szCs w:val="19"/>
              </w:rPr>
              <w:t>je uchádzač o zamestnanie povinný</w:t>
            </w:r>
            <w:r w:rsidRPr="00DC395A">
              <w:rPr>
                <w:rFonts w:cs="Times New Roman"/>
                <w:color w:val="17365D" w:themeColor="text2" w:themeShade="BF"/>
                <w:sz w:val="18"/>
                <w:szCs w:val="19"/>
              </w:rPr>
              <w:t xml:space="preserve"> vyplniť a podpísať Kartu účastníka projektu, v rámci ktorého je zabezpečené financovanie príspevku na rekvalifikáciu.</w:t>
            </w:r>
            <w:r w:rsidR="00B20334" w:rsidRPr="00DC395A">
              <w:rPr>
                <w:rFonts w:cs="Times New Roman"/>
                <w:color w:val="17365D" w:themeColor="text2" w:themeShade="BF"/>
                <w:sz w:val="18"/>
                <w:szCs w:val="19"/>
              </w:rPr>
              <w:t xml:space="preserve"> Tento dokument poskytne uchádzačovi o zamestnanie úrad práce, sociálnych vecí a rodiny.</w:t>
            </w:r>
          </w:p>
        </w:tc>
      </w:tr>
      <w:tr w:rsidR="00932A91" w:rsidRPr="00932A91" w:rsidTr="001533B4">
        <w:trPr>
          <w:trHeight w:val="258"/>
          <w:jc w:val="center"/>
        </w:trPr>
        <w:tc>
          <w:tcPr>
            <w:tcW w:w="9425" w:type="dxa"/>
            <w:gridSpan w:val="2"/>
            <w:shd w:val="clear" w:color="auto" w:fill="DAEEF3" w:themeFill="accent5" w:themeFillTint="33"/>
            <w:noWrap/>
            <w:vAlign w:val="center"/>
          </w:tcPr>
          <w:p w:rsidR="00003DCF" w:rsidRPr="00FC5ED9" w:rsidRDefault="00F30867" w:rsidP="00C11BC7">
            <w:pPr>
              <w:ind w:left="353" w:hanging="353"/>
              <w:jc w:val="center"/>
              <w:rPr>
                <w:rFonts w:cs="Times New Roman"/>
                <w:b/>
                <w:color w:val="000000"/>
                <w:sz w:val="24"/>
                <w:szCs w:val="20"/>
              </w:rPr>
            </w:pPr>
            <w:r w:rsidRPr="00FC5ED9">
              <w:rPr>
                <w:rFonts w:cs="Times New Roman"/>
                <w:b/>
                <w:color w:val="17365D" w:themeColor="text2" w:themeShade="BF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lastRenderedPageBreak/>
              <w:t>Po</w:t>
            </w:r>
            <w:r>
              <w:rPr>
                <w:rFonts w:cs="Times New Roman"/>
                <w:b/>
                <w:color w:val="17365D" w:themeColor="text2" w:themeShade="BF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čas rekvalifikácie</w:t>
            </w:r>
            <w:r w:rsidR="00C11BC7">
              <w:rPr>
                <w:rFonts w:cs="Times New Roman"/>
                <w:b/>
                <w:color w:val="17365D" w:themeColor="text2" w:themeShade="BF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 xml:space="preserve"> </w:t>
            </w:r>
          </w:p>
        </w:tc>
      </w:tr>
      <w:tr w:rsidR="00932A91" w:rsidRPr="00932A91" w:rsidTr="001533B4">
        <w:trPr>
          <w:trHeight w:val="153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A91" w:rsidRPr="00E67AFC" w:rsidRDefault="00932A91" w:rsidP="00B20334">
            <w:pPr>
              <w:pStyle w:val="Odsekzoznamu"/>
              <w:numPr>
                <w:ilvl w:val="0"/>
                <w:numId w:val="18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34190B">
              <w:rPr>
                <w:rFonts w:cs="Times New Roman"/>
                <w:color w:val="FF0000"/>
                <w:sz w:val="19"/>
                <w:szCs w:val="19"/>
              </w:rPr>
              <w:t xml:space="preserve">Uchádzač o zamestnanie je povinný </w:t>
            </w:r>
            <w:r w:rsidRPr="0034190B">
              <w:rPr>
                <w:rFonts w:cs="Times New Roman"/>
                <w:b/>
                <w:color w:val="FF0000"/>
                <w:sz w:val="19"/>
                <w:szCs w:val="19"/>
              </w:rPr>
              <w:t xml:space="preserve">nastúpiť na rekvalifikáciu v termíne, ktorý si dohodol </w:t>
            </w:r>
            <w:r w:rsidRPr="00E67AFC">
              <w:rPr>
                <w:rFonts w:cs="Times New Roman"/>
                <w:b/>
                <w:color w:val="FF0000"/>
                <w:sz w:val="19"/>
                <w:szCs w:val="19"/>
              </w:rPr>
              <w:t>s poskytovateľom rekvalifikácie.</w:t>
            </w:r>
          </w:p>
          <w:p w:rsidR="00932A91" w:rsidRPr="0034190B" w:rsidRDefault="00932A91" w:rsidP="00B20334">
            <w:pPr>
              <w:pStyle w:val="Odsekzoznamu"/>
              <w:numPr>
                <w:ilvl w:val="0"/>
                <w:numId w:val="18"/>
              </w:numPr>
              <w:spacing w:line="264" w:lineRule="auto"/>
              <w:ind w:left="360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34190B">
              <w:rPr>
                <w:rFonts w:cs="Times New Roman"/>
                <w:color w:val="17365D" w:themeColor="text2" w:themeShade="BF"/>
                <w:sz w:val="19"/>
                <w:szCs w:val="19"/>
              </w:rPr>
              <w:t>Ak rekvalifikácia nezačne do 60 kalendárnych dní od vystavenia potvrdenia poskytovateľa rekvalifikácie, RE-PAS stratí platnosť a úrad práce, sociálnych vecí a rodiny príspevok na rekvalifikáciu uchádzačovi o zamestnanie neposkytne.</w:t>
            </w:r>
          </w:p>
          <w:p w:rsidR="00932A91" w:rsidRPr="00932A91" w:rsidRDefault="00932A91" w:rsidP="00B20334">
            <w:pPr>
              <w:pStyle w:val="Odsekzoznamu"/>
              <w:numPr>
                <w:ilvl w:val="0"/>
                <w:numId w:val="15"/>
              </w:numPr>
              <w:spacing w:line="264" w:lineRule="auto"/>
              <w:ind w:left="360"/>
              <w:jc w:val="both"/>
              <w:rPr>
                <w:sz w:val="24"/>
                <w:szCs w:val="20"/>
              </w:rPr>
            </w:pPr>
            <w:r w:rsidRPr="0034190B">
              <w:rPr>
                <w:rFonts w:cs="Times New Roman"/>
                <w:color w:val="FF0000"/>
                <w:sz w:val="19"/>
                <w:szCs w:val="19"/>
              </w:rPr>
              <w:t xml:space="preserve">Uchádzač o zamestnanie je povinný </w:t>
            </w:r>
            <w:r w:rsidRPr="0034190B">
              <w:rPr>
                <w:rFonts w:cs="Times New Roman"/>
                <w:b/>
                <w:color w:val="FF0000"/>
                <w:sz w:val="19"/>
                <w:szCs w:val="19"/>
              </w:rPr>
              <w:t>úspešne absolvovať rekvalifikáciu v celom rozsahu</w:t>
            </w:r>
            <w:r w:rsidRPr="0034190B">
              <w:rPr>
                <w:rFonts w:cs="Times New Roman"/>
                <w:color w:val="FF0000"/>
                <w:sz w:val="19"/>
                <w:szCs w:val="19"/>
              </w:rPr>
              <w:t>.</w:t>
            </w:r>
          </w:p>
        </w:tc>
      </w:tr>
      <w:tr w:rsidR="00932A91" w:rsidRPr="00932A91" w:rsidTr="001533B4">
        <w:trPr>
          <w:trHeight w:val="311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932A91" w:rsidRPr="00932A91" w:rsidRDefault="00932A91" w:rsidP="00FC5ED9">
            <w:pPr>
              <w:jc w:val="center"/>
              <w:rPr>
                <w:sz w:val="24"/>
                <w:szCs w:val="20"/>
              </w:rPr>
            </w:pPr>
            <w:r w:rsidRPr="00FC5ED9">
              <w:rPr>
                <w:rFonts w:cs="Times New Roman"/>
                <w:b/>
                <w:color w:val="17365D" w:themeColor="text2" w:themeShade="BF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Po rekvalifikácii</w:t>
            </w:r>
          </w:p>
        </w:tc>
      </w:tr>
      <w:tr w:rsidR="00932A91" w:rsidRPr="00932A91" w:rsidTr="001533B4">
        <w:trPr>
          <w:trHeight w:val="3757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A91" w:rsidRPr="00DC395A" w:rsidRDefault="00932A91" w:rsidP="00B20334">
            <w:pPr>
              <w:pStyle w:val="Odsekzoznamu"/>
              <w:numPr>
                <w:ilvl w:val="0"/>
                <w:numId w:val="18"/>
              </w:numPr>
              <w:spacing w:line="264" w:lineRule="auto"/>
              <w:ind w:left="36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 xml:space="preserve">Uchádzač o zamestnanie je povinný do 15 kalendárnych dní po úspešnom  ukončení rekvalifikácie doručiť 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>na úrad práce, sociálnych vecí a rodiny:</w:t>
            </w:r>
          </w:p>
          <w:p w:rsidR="00932A91" w:rsidRPr="00DC395A" w:rsidRDefault="00E67AFC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doklad</w:t>
            </w:r>
            <w:r w:rsidR="00932A91" w:rsidRPr="00DC395A">
              <w:rPr>
                <w:rFonts w:cs="Times New Roman"/>
                <w:b/>
                <w:color w:val="FF0000"/>
                <w:sz w:val="19"/>
                <w:szCs w:val="19"/>
              </w:rPr>
              <w:t xml:space="preserve"> o ukončení rekvalifikácie</w:t>
            </w:r>
            <w:r w:rsidR="00932A91" w:rsidRPr="00DC395A">
              <w:rPr>
                <w:rFonts w:cs="Times New Roman"/>
                <w:color w:val="FF0000"/>
                <w:sz w:val="19"/>
                <w:szCs w:val="19"/>
              </w:rPr>
              <w:t>,</w:t>
            </w:r>
          </w:p>
          <w:p w:rsidR="00932A91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faktúru</w:t>
            </w:r>
            <w:r w:rsidR="00DC395A" w:rsidRPr="00DC395A">
              <w:rPr>
                <w:rFonts w:cs="Times New Roman"/>
                <w:b/>
                <w:color w:val="FF0000"/>
                <w:sz w:val="19"/>
                <w:szCs w:val="19"/>
              </w:rPr>
              <w:t>,</w:t>
            </w:r>
          </w:p>
          <w:p w:rsidR="00932A91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žiadosť o úhradu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 xml:space="preserve"> príspevku na rekvalifikáciu,</w:t>
            </w:r>
          </w:p>
          <w:p w:rsidR="00932A91" w:rsidRPr="00DC395A" w:rsidRDefault="00E67AFC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 xml:space="preserve">splnomocnenie 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>k úhrade príspevku na rekvalifikáciu poskytovateľovi rekvalifikácie.</w:t>
            </w:r>
          </w:p>
          <w:p w:rsidR="00932A91" w:rsidRPr="00DC395A" w:rsidRDefault="00932A91" w:rsidP="00B20334">
            <w:pPr>
              <w:pStyle w:val="Odsekzoznamu"/>
              <w:numPr>
                <w:ilvl w:val="0"/>
                <w:numId w:val="18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Úrad práce, sociálnych vecí a rodiny na základe splnomocnenia 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od uchádzača o zamestnanie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 uhradí </w:t>
            </w:r>
            <w:r w:rsidR="00B20334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priamo 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poskytovateľovi rekvalifikácie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 príspevok za absolvovanú rekvalifikáciu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len v prípade,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ak uchádzač o zamestnanie:</w:t>
            </w:r>
          </w:p>
          <w:p w:rsidR="00932A91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nebude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počas trvania rekvalifikácie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vyradený z evidencie uchádzačov o</w:t>
            </w:r>
            <w:r w:rsidR="00513DBB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 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zamestnanie</w:t>
            </w:r>
            <w:r w:rsidR="00513DBB" w:rsidRPr="00DC395A">
              <w:rPr>
                <w:rFonts w:cs="Times New Roman"/>
                <w:b/>
                <w:color w:val="00B050"/>
                <w:sz w:val="19"/>
                <w:szCs w:val="19"/>
              </w:rPr>
              <w:t xml:space="preserve"> </w:t>
            </w:r>
            <w:r w:rsidR="00513DBB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pre </w:t>
            </w:r>
            <w:proofErr w:type="spellStart"/>
            <w:r w:rsidR="00513DBB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nespoluprácu</w:t>
            </w:r>
            <w:proofErr w:type="spellEnd"/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,</w:t>
            </w:r>
          </w:p>
          <w:p w:rsidR="00932A91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úspešne ukončí rekvalifikáciu,</w:t>
            </w:r>
          </w:p>
          <w:p w:rsidR="00932A91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predloží úradu p</w:t>
            </w:r>
            <w:r w:rsidR="00A65041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ráce, sociálnych vecí a rodiny požadované </w:t>
            </w:r>
            <w:r w:rsidR="00252C75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doklady v stanovenom termíne.</w:t>
            </w:r>
          </w:p>
          <w:p w:rsidR="00932A91" w:rsidRPr="00DC395A" w:rsidRDefault="00932A91" w:rsidP="00B20334">
            <w:pPr>
              <w:pStyle w:val="Odsekzoznamu"/>
              <w:numPr>
                <w:ilvl w:val="0"/>
                <w:numId w:val="18"/>
              </w:numPr>
              <w:spacing w:line="264" w:lineRule="auto"/>
              <w:ind w:left="36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color w:val="FF0000"/>
                <w:sz w:val="19"/>
                <w:szCs w:val="19"/>
              </w:rPr>
              <w:t xml:space="preserve">Úrad práce, sociálnych vecí a rodiny </w:t>
            </w: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uhradí príspevok na rekvalifikáciu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 xml:space="preserve"> </w:t>
            </w: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 xml:space="preserve">v alikvotnej výške 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>za absolvovanú časť rekvalifikácie len v prípade:</w:t>
            </w:r>
          </w:p>
          <w:p w:rsidR="00932A91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FF0000"/>
                <w:sz w:val="19"/>
                <w:szCs w:val="19"/>
              </w:rPr>
              <w:t>ak uchádzač o zamestnanie nedokončí vybranú rekvalifikáciu z vážnych dôvodov</w:t>
            </w:r>
            <w:r w:rsidRPr="00DC395A">
              <w:rPr>
                <w:rFonts w:cs="Times New Roman"/>
                <w:color w:val="FF0000"/>
                <w:sz w:val="19"/>
                <w:szCs w:val="19"/>
              </w:rPr>
              <w:t xml:space="preserve"> (zdravotných, rodinných alebo osobných dôvodov) - vážnosť dôvodov posudzuje úrad práce, sociálnych vecí a rodiny.</w:t>
            </w:r>
          </w:p>
          <w:p w:rsidR="00932A91" w:rsidRPr="00DC395A" w:rsidRDefault="00932A91" w:rsidP="00B20334">
            <w:pPr>
              <w:pStyle w:val="Odsekzoznamu"/>
              <w:numPr>
                <w:ilvl w:val="0"/>
                <w:numId w:val="18"/>
              </w:numPr>
              <w:spacing w:line="264" w:lineRule="auto"/>
              <w:ind w:left="36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Úrad práce, sociálnych vecí a rodiny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neuhradí</w:t>
            </w:r>
            <w:r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 xml:space="preserve">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príspevok na rekvalifikáciu, ak uchádzač o zamestnanie:</w:t>
            </w:r>
          </w:p>
          <w:p w:rsidR="001B58B9" w:rsidRPr="00DC395A" w:rsidRDefault="00932A9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bol </w:t>
            </w:r>
            <w:r w:rsidR="00A65041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počas doby realizácie rekvalifikácie 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vyradený  z</w:t>
            </w:r>
            <w:r w:rsidR="00A65041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 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evidencie</w:t>
            </w:r>
            <w:r w:rsidR="00A65041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 pre </w:t>
            </w:r>
            <w:proofErr w:type="spellStart"/>
            <w:r w:rsidR="00A65041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nespoluprácu</w:t>
            </w:r>
            <w:proofErr w:type="spellEnd"/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,</w:t>
            </w:r>
          </w:p>
          <w:p w:rsidR="001B58B9" w:rsidRPr="00DC395A" w:rsidRDefault="00A65041" w:rsidP="00B20334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predčasne </w:t>
            </w:r>
            <w:r w:rsidR="00932A91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ukončil rekvalifikáciu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 xml:space="preserve"> bez vážnych dôvodov</w:t>
            </w:r>
            <w:r w:rsidR="00932A91" w:rsidRPr="00DC395A">
              <w:rPr>
                <w:rFonts w:cs="Times New Roman"/>
                <w:color w:val="17365D" w:themeColor="text2" w:themeShade="BF"/>
                <w:sz w:val="19"/>
                <w:szCs w:val="19"/>
              </w:rPr>
              <w:t>,</w:t>
            </w:r>
          </w:p>
          <w:p w:rsidR="00A65041" w:rsidRPr="00DC395A" w:rsidRDefault="00932A91" w:rsidP="00A65041">
            <w:pPr>
              <w:pStyle w:val="Odsekzoznamu"/>
              <w:numPr>
                <w:ilvl w:val="1"/>
                <w:numId w:val="17"/>
              </w:numPr>
              <w:spacing w:line="264" w:lineRule="auto"/>
              <w:ind w:left="720"/>
              <w:jc w:val="both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nepredložil v stanovenom termíne všetky požadované dok</w:t>
            </w:r>
            <w:r w:rsidR="00A65041"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lady</w:t>
            </w:r>
            <w:r w:rsidRPr="00DC395A">
              <w:rPr>
                <w:rFonts w:cs="Times New Roman"/>
                <w:b/>
                <w:color w:val="17365D" w:themeColor="text2" w:themeShade="BF"/>
                <w:sz w:val="19"/>
                <w:szCs w:val="19"/>
              </w:rPr>
              <w:t>.</w:t>
            </w:r>
          </w:p>
        </w:tc>
      </w:tr>
      <w:tr w:rsidR="00A65041" w:rsidRPr="00932A91" w:rsidTr="001533B4">
        <w:trPr>
          <w:trHeight w:val="679"/>
          <w:jc w:val="center"/>
        </w:trPr>
        <w:tc>
          <w:tcPr>
            <w:tcW w:w="942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C11BC7" w:rsidRPr="00DC395A" w:rsidRDefault="00C11BC7" w:rsidP="00FC5ED9">
            <w:pPr>
              <w:ind w:right="-142"/>
              <w:jc w:val="center"/>
              <w:rPr>
                <w:rFonts w:cs="Microsoft Sans Serif"/>
                <w:b/>
                <w:color w:val="FF0000"/>
                <w:sz w:val="8"/>
                <w:szCs w:val="4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  <w:p w:rsidR="00A65041" w:rsidRPr="00DC395A" w:rsidRDefault="00FC5ED9" w:rsidP="00FC5ED9">
            <w:pPr>
              <w:ind w:right="-142"/>
              <w:jc w:val="center"/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DC395A"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A</w:t>
            </w:r>
            <w:r w:rsidR="00A65041" w:rsidRPr="00DC395A"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 xml:space="preserve">k ste uchádzač o zamestnanie a máte záujem o  rekvalifikáciu,  </w:t>
            </w:r>
          </w:p>
          <w:p w:rsidR="00C11BC7" w:rsidRPr="00EF05FF" w:rsidRDefault="00A65041" w:rsidP="00EF05FF">
            <w:pPr>
              <w:ind w:right="-142"/>
              <w:jc w:val="center"/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DC395A"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kontaktujte úrad práce, sociálnych vecí a</w:t>
            </w:r>
            <w:r w:rsidR="00C11BC7" w:rsidRPr="00DC395A"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 </w:t>
            </w:r>
            <w:r w:rsidRPr="00DC395A">
              <w:rPr>
                <w:rFonts w:cs="Microsoft Sans Serif"/>
                <w:b/>
                <w:color w:val="FF0000"/>
                <w:sz w:val="28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rodiny</w:t>
            </w:r>
          </w:p>
        </w:tc>
      </w:tr>
    </w:tbl>
    <w:p w:rsidR="00932A91" w:rsidRPr="00EF05FF" w:rsidRDefault="00932A91" w:rsidP="00EF05FF">
      <w:pPr>
        <w:tabs>
          <w:tab w:val="left" w:pos="2241"/>
        </w:tabs>
        <w:rPr>
          <w:rFonts w:ascii="Times New Roman" w:hAnsi="Times New Roman" w:cs="Times New Roman"/>
          <w:sz w:val="28"/>
          <w:szCs w:val="28"/>
        </w:rPr>
      </w:pPr>
    </w:p>
    <w:sectPr w:rsidR="00932A91" w:rsidRPr="00EF05FF" w:rsidSect="00EF05FF">
      <w:headerReference w:type="default" r:id="rId10"/>
      <w:footerReference w:type="default" r:id="rId11"/>
      <w:pgSz w:w="11906" w:h="16838"/>
      <w:pgMar w:top="567" w:right="1417" w:bottom="1417" w:left="141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1D" w:rsidRDefault="00307D1D" w:rsidP="004B50C7">
      <w:pPr>
        <w:spacing w:after="0" w:line="240" w:lineRule="auto"/>
      </w:pPr>
      <w:r>
        <w:separator/>
      </w:r>
    </w:p>
  </w:endnote>
  <w:endnote w:type="continuationSeparator" w:id="0">
    <w:p w:rsidR="00307D1D" w:rsidRDefault="00307D1D" w:rsidP="004B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C8" w:rsidRPr="00EF05FF" w:rsidRDefault="007279C8" w:rsidP="00EF05FF">
    <w:pPr>
      <w:tabs>
        <w:tab w:val="center" w:pos="4536"/>
        <w:tab w:val="right" w:pos="9072"/>
      </w:tabs>
      <w:spacing w:after="0"/>
      <w:jc w:val="center"/>
      <w:rPr>
        <w:bCs/>
        <w:i/>
        <w:sz w:val="19"/>
        <w:szCs w:val="19"/>
        <w:lang w:eastAsia="cs-CZ"/>
      </w:rPr>
    </w:pPr>
    <w:r w:rsidRPr="00EF05FF">
      <w:rPr>
        <w:bCs/>
        <w:i/>
        <w:sz w:val="19"/>
        <w:szCs w:val="19"/>
        <w:lang w:eastAsia="cs-CZ"/>
      </w:rPr>
      <w:t>Národný projekt Podpora zamestnávania uchádzačov o zamestnanie prostredníctvom vybraných aktívnych opatrení na trhu práce sa realizuje vďaka podpore z Európskeho sociálneho fondu v rámci Operačného programu Ľudské zdroje</w:t>
    </w:r>
  </w:p>
  <w:p w:rsidR="00314D25" w:rsidRPr="00EF05FF" w:rsidRDefault="007279C8" w:rsidP="00EF05FF">
    <w:pPr>
      <w:tabs>
        <w:tab w:val="center" w:pos="4536"/>
        <w:tab w:val="right" w:pos="9072"/>
      </w:tabs>
      <w:spacing w:after="0"/>
      <w:jc w:val="center"/>
      <w:rPr>
        <w:bCs/>
        <w:i/>
        <w:sz w:val="19"/>
        <w:szCs w:val="19"/>
        <w:lang w:eastAsia="cs-CZ"/>
      </w:rPr>
    </w:pPr>
    <w:proofErr w:type="spellStart"/>
    <w:r w:rsidRPr="00EF05FF">
      <w:rPr>
        <w:bCs/>
        <w:i/>
        <w:color w:val="4F81BD"/>
        <w:sz w:val="19"/>
        <w:szCs w:val="19"/>
        <w:lang w:eastAsia="cs-CZ"/>
      </w:rPr>
      <w:t>www.employment.gov.sk</w:t>
    </w:r>
    <w:proofErr w:type="spellEnd"/>
    <w:r w:rsidRPr="00EF05FF">
      <w:rPr>
        <w:bCs/>
        <w:i/>
        <w:color w:val="4F81BD"/>
        <w:sz w:val="19"/>
        <w:szCs w:val="19"/>
        <w:lang w:eastAsia="cs-CZ"/>
      </w:rPr>
      <w:t xml:space="preserve"> / </w:t>
    </w:r>
    <w:proofErr w:type="spellStart"/>
    <w:r w:rsidRPr="00EF05FF">
      <w:rPr>
        <w:bCs/>
        <w:i/>
        <w:color w:val="4F81BD"/>
        <w:sz w:val="19"/>
        <w:szCs w:val="19"/>
        <w:lang w:eastAsia="cs-CZ"/>
      </w:rPr>
      <w:t>www.esf.gov.sk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1D" w:rsidRDefault="00307D1D" w:rsidP="004B50C7">
      <w:pPr>
        <w:spacing w:after="0" w:line="240" w:lineRule="auto"/>
      </w:pPr>
      <w:r>
        <w:separator/>
      </w:r>
    </w:p>
  </w:footnote>
  <w:footnote w:type="continuationSeparator" w:id="0">
    <w:p w:rsidR="00307D1D" w:rsidRDefault="00307D1D" w:rsidP="004B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C8" w:rsidRPr="007279C8" w:rsidRDefault="007279C8" w:rsidP="007279C8">
    <w:pPr>
      <w:pStyle w:val="Hlavika"/>
      <w:tabs>
        <w:tab w:val="clear" w:pos="4536"/>
        <w:tab w:val="center" w:pos="9072"/>
      </w:tabs>
      <w:jc w:val="right"/>
      <w:rPr>
        <w:rFonts w:ascii="Calibri" w:hAnsi="Calibri" w:cs="Times New Roman"/>
        <w:sz w:val="10"/>
        <w:szCs w:val="10"/>
      </w:rPr>
    </w:pPr>
  </w:p>
  <w:p w:rsidR="007279C8" w:rsidRDefault="007279C8" w:rsidP="00EF05FF">
    <w:pPr>
      <w:jc w:val="right"/>
      <w:outlineLvl w:val="0"/>
      <w:rPr>
        <w:rFonts w:ascii="Times New Roman" w:hAnsi="Times New Roman" w:cs="Times New Roman"/>
        <w:sz w:val="16"/>
        <w:szCs w:val="16"/>
      </w:rPr>
    </w:pPr>
    <w:r w:rsidRPr="007279C8">
      <w:rPr>
        <w:rFonts w:ascii="Calibri" w:hAnsi="Calibri" w:cs="Times New Roman"/>
        <w:sz w:val="20"/>
        <w:szCs w:val="20"/>
      </w:rPr>
      <w:t>Kód ITMS2014+: 312031A020</w:t>
    </w:r>
  </w:p>
  <w:p w:rsidR="00B20334" w:rsidRPr="00EF05FF" w:rsidRDefault="007279C8" w:rsidP="007279C8">
    <w:pPr>
      <w:pStyle w:val="Hlavika"/>
      <w:tabs>
        <w:tab w:val="clear" w:pos="4536"/>
        <w:tab w:val="center" w:pos="9072"/>
      </w:tabs>
      <w:ind w:left="-142"/>
      <w:jc w:val="both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b/>
        <w:noProof/>
        <w:color w:val="000000"/>
        <w:lang w:eastAsia="sk-SK"/>
      </w:rPr>
      <w:drawing>
        <wp:inline distT="0" distB="0" distL="0" distR="0" wp14:anchorId="75F25AB2" wp14:editId="6D8E4D1B">
          <wp:extent cx="4993640" cy="429260"/>
          <wp:effectExtent l="0" t="0" r="0" b="8890"/>
          <wp:docPr id="9" name="Obrázok 9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AD5" w:rsidRPr="00C66D62" w:rsidRDefault="00791AD5" w:rsidP="00B20334">
    <w:pPr>
      <w:pStyle w:val="Hlavika"/>
      <w:tabs>
        <w:tab w:val="clear" w:pos="4536"/>
        <w:tab w:val="center" w:pos="9072"/>
      </w:tabs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981"/>
    <w:multiLevelType w:val="hybridMultilevel"/>
    <w:tmpl w:val="1D7C8748"/>
    <w:lvl w:ilvl="0" w:tplc="5EF2CD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5EF2CD3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5EF2CD32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1BAE"/>
    <w:multiLevelType w:val="hybridMultilevel"/>
    <w:tmpl w:val="106AF1E4"/>
    <w:lvl w:ilvl="0" w:tplc="512C6C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7365D" w:themeColor="text2" w:themeShade="BF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C02363"/>
    <w:multiLevelType w:val="hybridMultilevel"/>
    <w:tmpl w:val="7116D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5112E"/>
    <w:multiLevelType w:val="hybridMultilevel"/>
    <w:tmpl w:val="B4B077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5E46F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5EF2CD32">
      <w:start w:val="1"/>
      <w:numFmt w:val="bullet"/>
      <w:lvlText w:val=""/>
      <w:lvlJc w:val="left"/>
      <w:pPr>
        <w:ind w:left="180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DE446A"/>
    <w:multiLevelType w:val="hybridMultilevel"/>
    <w:tmpl w:val="961E832E"/>
    <w:lvl w:ilvl="0" w:tplc="5EF2CD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A793B"/>
    <w:multiLevelType w:val="hybridMultilevel"/>
    <w:tmpl w:val="2FD8E86C"/>
    <w:lvl w:ilvl="0" w:tplc="5EF2CD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61754"/>
    <w:multiLevelType w:val="hybridMultilevel"/>
    <w:tmpl w:val="35AC6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5E46F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42F641CC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66D51"/>
    <w:multiLevelType w:val="hybridMultilevel"/>
    <w:tmpl w:val="036CB934"/>
    <w:lvl w:ilvl="0" w:tplc="041B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35D3D0C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9" w:hanging="360"/>
      </w:p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</w:lvl>
    <w:lvl w:ilvl="3" w:tplc="041B000F" w:tentative="1">
      <w:start w:val="1"/>
      <w:numFmt w:val="decimal"/>
      <w:lvlText w:val="%4."/>
      <w:lvlJc w:val="left"/>
      <w:pPr>
        <w:ind w:left="3939" w:hanging="360"/>
      </w:p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</w:lvl>
    <w:lvl w:ilvl="6" w:tplc="041B000F" w:tentative="1">
      <w:start w:val="1"/>
      <w:numFmt w:val="decimal"/>
      <w:lvlText w:val="%7."/>
      <w:lvlJc w:val="left"/>
      <w:pPr>
        <w:ind w:left="6099" w:hanging="360"/>
      </w:p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361B6A8D"/>
    <w:multiLevelType w:val="hybridMultilevel"/>
    <w:tmpl w:val="DF4C23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191C01"/>
    <w:multiLevelType w:val="hybridMultilevel"/>
    <w:tmpl w:val="31F620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F641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42F641CC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33F82"/>
    <w:multiLevelType w:val="hybridMultilevel"/>
    <w:tmpl w:val="5C1E750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4E96AD5"/>
    <w:multiLevelType w:val="hybridMultilevel"/>
    <w:tmpl w:val="84D2CF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C664AA"/>
    <w:multiLevelType w:val="hybridMultilevel"/>
    <w:tmpl w:val="157487AC"/>
    <w:lvl w:ilvl="0" w:tplc="041B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570F1163"/>
    <w:multiLevelType w:val="hybridMultilevel"/>
    <w:tmpl w:val="85EC4A1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AED7929"/>
    <w:multiLevelType w:val="hybridMultilevel"/>
    <w:tmpl w:val="B61012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2CD3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5EF2CD32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07360"/>
    <w:multiLevelType w:val="hybridMultilevel"/>
    <w:tmpl w:val="1F183982"/>
    <w:lvl w:ilvl="0" w:tplc="A062817E">
      <w:start w:val="1"/>
      <w:numFmt w:val="bullet"/>
      <w:lvlText w:val="–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5FC717C6"/>
    <w:multiLevelType w:val="hybridMultilevel"/>
    <w:tmpl w:val="DA9AFAD8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2FC25FA"/>
    <w:multiLevelType w:val="hybridMultilevel"/>
    <w:tmpl w:val="5054FD04"/>
    <w:lvl w:ilvl="0" w:tplc="5EF2CD3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E56F94"/>
    <w:multiLevelType w:val="hybridMultilevel"/>
    <w:tmpl w:val="90523048"/>
    <w:lvl w:ilvl="0" w:tplc="041B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0">
    <w:nsid w:val="6CC0497E"/>
    <w:multiLevelType w:val="hybridMultilevel"/>
    <w:tmpl w:val="3A149618"/>
    <w:lvl w:ilvl="0" w:tplc="5EF2CD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C394E"/>
    <w:multiLevelType w:val="hybridMultilevel"/>
    <w:tmpl w:val="390E591C"/>
    <w:lvl w:ilvl="0" w:tplc="C05E46F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F4751CA"/>
    <w:multiLevelType w:val="hybridMultilevel"/>
    <w:tmpl w:val="F53E0AB2"/>
    <w:lvl w:ilvl="0" w:tplc="42F6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B0188"/>
    <w:multiLevelType w:val="hybridMultilevel"/>
    <w:tmpl w:val="D94CE3DC"/>
    <w:lvl w:ilvl="0" w:tplc="5EF2CD3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</w:num>
  <w:num w:numId="4">
    <w:abstractNumId w:val="17"/>
  </w:num>
  <w:num w:numId="5">
    <w:abstractNumId w:val="13"/>
  </w:num>
  <w:num w:numId="6">
    <w:abstractNumId w:val="11"/>
  </w:num>
  <w:num w:numId="7">
    <w:abstractNumId w:val="7"/>
  </w:num>
  <w:num w:numId="8">
    <w:abstractNumId w:val="19"/>
  </w:num>
  <w:num w:numId="9">
    <w:abstractNumId w:val="14"/>
  </w:num>
  <w:num w:numId="10">
    <w:abstractNumId w:val="1"/>
  </w:num>
  <w:num w:numId="11">
    <w:abstractNumId w:val="12"/>
  </w:num>
  <w:num w:numId="12">
    <w:abstractNumId w:val="21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0"/>
  </w:num>
  <w:num w:numId="18">
    <w:abstractNumId w:val="5"/>
  </w:num>
  <w:num w:numId="19">
    <w:abstractNumId w:val="22"/>
  </w:num>
  <w:num w:numId="20">
    <w:abstractNumId w:val="4"/>
  </w:num>
  <w:num w:numId="21">
    <w:abstractNumId w:val="20"/>
  </w:num>
  <w:num w:numId="22">
    <w:abstractNumId w:val="9"/>
  </w:num>
  <w:num w:numId="23">
    <w:abstractNumId w:val="23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8A"/>
    <w:rsid w:val="00003DCF"/>
    <w:rsid w:val="00007866"/>
    <w:rsid w:val="00031D8A"/>
    <w:rsid w:val="00032D96"/>
    <w:rsid w:val="000565C6"/>
    <w:rsid w:val="000A1B73"/>
    <w:rsid w:val="000A1F57"/>
    <w:rsid w:val="000A51CA"/>
    <w:rsid w:val="000B0F36"/>
    <w:rsid w:val="000B79A6"/>
    <w:rsid w:val="001009BB"/>
    <w:rsid w:val="00111BDE"/>
    <w:rsid w:val="00142934"/>
    <w:rsid w:val="001533B4"/>
    <w:rsid w:val="00164B16"/>
    <w:rsid w:val="00183340"/>
    <w:rsid w:val="00183D21"/>
    <w:rsid w:val="00186C26"/>
    <w:rsid w:val="001B58B9"/>
    <w:rsid w:val="001F2061"/>
    <w:rsid w:val="00200CCE"/>
    <w:rsid w:val="0023372F"/>
    <w:rsid w:val="00252C75"/>
    <w:rsid w:val="002B5BC0"/>
    <w:rsid w:val="002E191A"/>
    <w:rsid w:val="00307D1D"/>
    <w:rsid w:val="00314D25"/>
    <w:rsid w:val="00323D67"/>
    <w:rsid w:val="0034190B"/>
    <w:rsid w:val="003802AF"/>
    <w:rsid w:val="003B09B6"/>
    <w:rsid w:val="003C28B2"/>
    <w:rsid w:val="003C44DF"/>
    <w:rsid w:val="003D180C"/>
    <w:rsid w:val="003D4099"/>
    <w:rsid w:val="003D50E2"/>
    <w:rsid w:val="003E3441"/>
    <w:rsid w:val="00401989"/>
    <w:rsid w:val="0040684C"/>
    <w:rsid w:val="00411EAE"/>
    <w:rsid w:val="00422CB7"/>
    <w:rsid w:val="0045650E"/>
    <w:rsid w:val="00494579"/>
    <w:rsid w:val="004B46E5"/>
    <w:rsid w:val="004B50C7"/>
    <w:rsid w:val="004C5DFD"/>
    <w:rsid w:val="004E4F6C"/>
    <w:rsid w:val="00513DBB"/>
    <w:rsid w:val="00535996"/>
    <w:rsid w:val="00572729"/>
    <w:rsid w:val="00595C0F"/>
    <w:rsid w:val="005A52D6"/>
    <w:rsid w:val="005C49A5"/>
    <w:rsid w:val="005E1660"/>
    <w:rsid w:val="005F2FDC"/>
    <w:rsid w:val="006036FC"/>
    <w:rsid w:val="00612EE3"/>
    <w:rsid w:val="0062235E"/>
    <w:rsid w:val="00642D3B"/>
    <w:rsid w:val="00667848"/>
    <w:rsid w:val="006A38A3"/>
    <w:rsid w:val="006A76F0"/>
    <w:rsid w:val="006B0D89"/>
    <w:rsid w:val="006B7761"/>
    <w:rsid w:val="006D3868"/>
    <w:rsid w:val="0072308F"/>
    <w:rsid w:val="007253E6"/>
    <w:rsid w:val="00726472"/>
    <w:rsid w:val="007279C8"/>
    <w:rsid w:val="00791AD5"/>
    <w:rsid w:val="00793DA2"/>
    <w:rsid w:val="007D2430"/>
    <w:rsid w:val="007E0163"/>
    <w:rsid w:val="007F71BE"/>
    <w:rsid w:val="008014B3"/>
    <w:rsid w:val="00803BFF"/>
    <w:rsid w:val="00812756"/>
    <w:rsid w:val="00821ADE"/>
    <w:rsid w:val="00826B16"/>
    <w:rsid w:val="00857C98"/>
    <w:rsid w:val="008A0711"/>
    <w:rsid w:val="008D7FBB"/>
    <w:rsid w:val="00932A91"/>
    <w:rsid w:val="00935321"/>
    <w:rsid w:val="00942BC0"/>
    <w:rsid w:val="00970CCC"/>
    <w:rsid w:val="00970EAC"/>
    <w:rsid w:val="009A40DD"/>
    <w:rsid w:val="009D7BE7"/>
    <w:rsid w:val="009E671F"/>
    <w:rsid w:val="009E6798"/>
    <w:rsid w:val="00A11E70"/>
    <w:rsid w:val="00A1600B"/>
    <w:rsid w:val="00A2230A"/>
    <w:rsid w:val="00A371B9"/>
    <w:rsid w:val="00A42A60"/>
    <w:rsid w:val="00A65041"/>
    <w:rsid w:val="00A96E74"/>
    <w:rsid w:val="00AA2B89"/>
    <w:rsid w:val="00AB30B6"/>
    <w:rsid w:val="00AC17E8"/>
    <w:rsid w:val="00AC5CDA"/>
    <w:rsid w:val="00B20334"/>
    <w:rsid w:val="00B42676"/>
    <w:rsid w:val="00B43992"/>
    <w:rsid w:val="00B453FB"/>
    <w:rsid w:val="00B65847"/>
    <w:rsid w:val="00BC6A9B"/>
    <w:rsid w:val="00BD2CEA"/>
    <w:rsid w:val="00BE4931"/>
    <w:rsid w:val="00BF256F"/>
    <w:rsid w:val="00BF4CA9"/>
    <w:rsid w:val="00C11BC7"/>
    <w:rsid w:val="00C223F6"/>
    <w:rsid w:val="00C631EF"/>
    <w:rsid w:val="00C66D62"/>
    <w:rsid w:val="00C91903"/>
    <w:rsid w:val="00CC2C78"/>
    <w:rsid w:val="00CE0251"/>
    <w:rsid w:val="00CF77B3"/>
    <w:rsid w:val="00D16CCD"/>
    <w:rsid w:val="00D521B1"/>
    <w:rsid w:val="00D7177D"/>
    <w:rsid w:val="00DB5447"/>
    <w:rsid w:val="00DC395A"/>
    <w:rsid w:val="00DD459F"/>
    <w:rsid w:val="00DE02F0"/>
    <w:rsid w:val="00DF7067"/>
    <w:rsid w:val="00E23922"/>
    <w:rsid w:val="00E438D4"/>
    <w:rsid w:val="00E636E2"/>
    <w:rsid w:val="00E67AFC"/>
    <w:rsid w:val="00E718E0"/>
    <w:rsid w:val="00E8005B"/>
    <w:rsid w:val="00EA0013"/>
    <w:rsid w:val="00EB6B27"/>
    <w:rsid w:val="00ED015D"/>
    <w:rsid w:val="00EF05FF"/>
    <w:rsid w:val="00F0309B"/>
    <w:rsid w:val="00F14B87"/>
    <w:rsid w:val="00F30867"/>
    <w:rsid w:val="00F41DFE"/>
    <w:rsid w:val="00F60318"/>
    <w:rsid w:val="00FC5ED9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32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93DA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B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B50C7"/>
  </w:style>
  <w:style w:type="paragraph" w:styleId="Pta">
    <w:name w:val="footer"/>
    <w:basedOn w:val="Normlny"/>
    <w:link w:val="PtaChar"/>
    <w:uiPriority w:val="99"/>
    <w:unhideWhenUsed/>
    <w:rsid w:val="004B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50C7"/>
  </w:style>
  <w:style w:type="paragraph" w:styleId="Textbubliny">
    <w:name w:val="Balloon Text"/>
    <w:basedOn w:val="Normlny"/>
    <w:link w:val="TextbublinyChar"/>
    <w:uiPriority w:val="99"/>
    <w:semiHidden/>
    <w:unhideWhenUsed/>
    <w:rsid w:val="00A3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71B9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791A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791AD5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2A9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59"/>
    <w:rsid w:val="0093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rsid w:val="00314D25"/>
    <w:rPr>
      <w:color w:val="0000FF"/>
      <w:u w:val="singl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411EAE"/>
  </w:style>
  <w:style w:type="character" w:styleId="Siln">
    <w:name w:val="Strong"/>
    <w:basedOn w:val="Predvolenpsmoodseku"/>
    <w:uiPriority w:val="22"/>
    <w:qFormat/>
    <w:rsid w:val="00B20334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DB54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54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54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54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5447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72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32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93DA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B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B50C7"/>
  </w:style>
  <w:style w:type="paragraph" w:styleId="Pta">
    <w:name w:val="footer"/>
    <w:basedOn w:val="Normlny"/>
    <w:link w:val="PtaChar"/>
    <w:uiPriority w:val="99"/>
    <w:unhideWhenUsed/>
    <w:rsid w:val="004B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50C7"/>
  </w:style>
  <w:style w:type="paragraph" w:styleId="Textbubliny">
    <w:name w:val="Balloon Text"/>
    <w:basedOn w:val="Normlny"/>
    <w:link w:val="TextbublinyChar"/>
    <w:uiPriority w:val="99"/>
    <w:semiHidden/>
    <w:unhideWhenUsed/>
    <w:rsid w:val="00A3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71B9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791A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791AD5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2A9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59"/>
    <w:rsid w:val="0093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rsid w:val="00314D25"/>
    <w:rPr>
      <w:color w:val="0000FF"/>
      <w:u w:val="singl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411EAE"/>
  </w:style>
  <w:style w:type="character" w:styleId="Siln">
    <w:name w:val="Strong"/>
    <w:basedOn w:val="Predvolenpsmoodseku"/>
    <w:uiPriority w:val="22"/>
    <w:qFormat/>
    <w:rsid w:val="00B20334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DB54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54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54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54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5447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72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B33F-8AD7-4D2F-8391-1BF37E2B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socnet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Orosziová Martina</dc:creator>
  <cp:lastModifiedBy>Hepnerová Jarmila</cp:lastModifiedBy>
  <cp:revision>3</cp:revision>
  <cp:lastPrinted>2014-08-21T12:54:00Z</cp:lastPrinted>
  <dcterms:created xsi:type="dcterms:W3CDTF">2016-04-05T11:24:00Z</dcterms:created>
  <dcterms:modified xsi:type="dcterms:W3CDTF">2016-04-05T11:25:00Z</dcterms:modified>
</cp:coreProperties>
</file>