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40" w:rsidRDefault="00323A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Analýza a prognóza vývoja trhu práce </w:t>
      </w:r>
    </w:p>
    <w:p w:rsidR="00197640" w:rsidRDefault="00323A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územnom obvode Úradu práce, sociálnych vecí a rodiny Zvolen</w:t>
      </w:r>
    </w:p>
    <w:p w:rsidR="00197640" w:rsidRDefault="00323A4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Regionálny plán zamestnanosti na rok 2017</w:t>
      </w:r>
    </w:p>
    <w:p w:rsidR="00197640" w:rsidRDefault="00197640">
      <w:pPr>
        <w:pStyle w:val="Odsekzoznamu"/>
        <w:spacing w:after="0" w:line="240" w:lineRule="auto"/>
        <w:ind w:left="357"/>
        <w:contextualSpacing w:val="0"/>
        <w:jc w:val="both"/>
        <w:rPr>
          <w:sz w:val="24"/>
          <w:szCs w:val="24"/>
        </w:rPr>
      </w:pPr>
    </w:p>
    <w:p w:rsidR="00197640" w:rsidRDefault="00197640">
      <w:pPr>
        <w:pStyle w:val="Odsekzoznamu"/>
        <w:spacing w:after="0" w:line="240" w:lineRule="auto"/>
        <w:ind w:left="357"/>
        <w:contextualSpacing w:val="0"/>
        <w:jc w:val="both"/>
        <w:rPr>
          <w:sz w:val="24"/>
          <w:szCs w:val="24"/>
        </w:rPr>
      </w:pPr>
    </w:p>
    <w:p w:rsidR="00197640" w:rsidRDefault="00323A4C">
      <w:pPr>
        <w:pStyle w:val="Odsekzoznamu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Analýza trhu práce v územnom obvode UPSVR Zvolen</w:t>
      </w:r>
    </w:p>
    <w:p w:rsidR="00197640" w:rsidRDefault="00323A4C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Zhodnotenie vývoja na trhu práce v roku 2016 v územnom obvode UPSVR Zvolen</w:t>
      </w:r>
    </w:p>
    <w:p w:rsidR="00197640" w:rsidRDefault="00323A4C">
      <w:pPr>
        <w:pStyle w:val="Odsekzoznamu"/>
        <w:numPr>
          <w:ilvl w:val="0"/>
          <w:numId w:val="31"/>
        </w:numPr>
        <w:spacing w:after="120" w:line="240" w:lineRule="auto"/>
        <w:ind w:left="641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Vývoj na trhu práce v územnom obvode UPSVR Zvolen, ktorý tvoria okresy Zvolen, Krupina a Detva, mal v roku 2016 pozitívny trend, keď miera evidovanej nezamestnanosti klesla z 10,76 % k 31.12.2015 na 9,03 % k 31.12.2016, čo predstavuje pokles o 1,73 percentuálneho bodu a v absolútnom vyjadrení je to pokles o  1024 disponibilných uchádzačov o zamestnanie. Tento pozitívny vývoj poklesu evidovanej miery nezamestnanosti v roku 2016 zaznamenali všetky okresy územného obvodu UPSVR Zvolen. V okrese Zvolen miera evidovanej nezamestnanosti v roku 2016 klesla o 1,47 percentuálneho bodu (z 9,32 % na 7,85 %), v okrese Krupina o 2,63 percentuálneho bodu (z 12,18 % na 9,55 %) a v okrese  Detva o 1,7 percentuálneho bodu (z 12,92 % na 11,22 %). K 31.12.2016 najnižšiu mieru evidovanej nezamestnanosti dosiahol už tradične okres Zvolen (7,85 %), nasleduje okres Krupina (9,55 %) a okres Detva (11,22 %). K tomuto výsledku okrem rastu ekonomiky prispeli aj pomerne masívne využívané aktívne opatrenia trhu práce zamerané najmä na problematické skupiny znevýhodnených uchádzačov o zamestnanie. Napriek tomu však problémom zostáva najmä vysoký podiel dlhodobo nezamestnaných uchádzačov o zamestnanie na celkovom počte disponibilných uchádzačov o zamestnanie, ktorý k 31.12.2016 predstavoval 56,88 % a tiež pomerne vysoký podiel mladých uchádzačov o zamestnanie do 29 rokov veku na celkovom počte disponibilných uchádzačov o zamestnanie, ktorý k 31.12.2016 predstavoval 28,16 %. Pozitívny vývoj v územnom obvode UPSVR Zvolen bol zaznamenaný aj v oblasti voľných pracovných miest, keď celkový prítok v roku 2016 dosiahol 2 453 voľných pracovných miest, čo je o 558 voľných pracovných miest viac ako v roku 2015.</w:t>
      </w:r>
    </w:p>
    <w:p w:rsidR="00197640" w:rsidRDefault="00197640">
      <w:pPr>
        <w:ind w:left="284"/>
        <w:jc w:val="both"/>
        <w:rPr>
          <w:sz w:val="24"/>
          <w:szCs w:val="24"/>
          <w:highlight w:val="yellow"/>
        </w:rPr>
      </w:pPr>
    </w:p>
    <w:tbl>
      <w:tblPr>
        <w:tblW w:w="765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85"/>
        <w:gridCol w:w="1132"/>
        <w:gridCol w:w="710"/>
        <w:gridCol w:w="1842"/>
      </w:tblGrid>
      <w:tr w:rsidR="00197640">
        <w:trPr>
          <w:trHeight w:val="1001"/>
        </w:trPr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4E2"/>
            <w:vAlign w:val="center"/>
            <w:hideMark/>
          </w:tcPr>
          <w:p w:rsidR="00197640" w:rsidRDefault="00323A4C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cs-CZ" w:eastAsia="sk-SK"/>
              </w:rPr>
              <w:t>Využívanie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cs-CZ" w:eastAsia="sk-SK"/>
              </w:rPr>
              <w:t xml:space="preserve"> AOTP v roku 2016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CE6F1"/>
            <w:vAlign w:val="center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Počet (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sk-SK"/>
              </w:rPr>
              <w:t>prítok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sk-SK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sk-SK"/>
              </w:rPr>
              <w:t>zaradených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sk-SK"/>
              </w:rPr>
              <w:t>, resp. počet (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sk-SK"/>
              </w:rPr>
              <w:t>prítok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sk-SK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sk-SK"/>
              </w:rPr>
              <w:t>podporených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sk-SK"/>
              </w:rPr>
              <w:t>UoZ</w:t>
            </w:r>
            <w:proofErr w:type="spellEnd"/>
          </w:p>
        </w:tc>
      </w:tr>
      <w:tr w:rsidR="00197640">
        <w:trPr>
          <w:trHeight w:val="407"/>
        </w:trPr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640" w:rsidRDefault="00197640">
            <w:pPr>
              <w:rPr>
                <w:rFonts w:ascii="Times New Roman" w:eastAsia="Times New Roman" w:hAnsi="Times New Roman" w:cs="Times New Roman"/>
                <w:b/>
                <w:bCs/>
                <w:lang w:val="cs-CZ" w:eastAsia="sk-SK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Prognóza 2017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90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30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70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120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75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50j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25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190</w:t>
            </w:r>
          </w:p>
        </w:tc>
      </w:tr>
      <w:tr w:rsidR="00197640">
        <w:trPr>
          <w:trHeight w:val="312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51a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50</w:t>
            </w:r>
          </w:p>
        </w:tc>
      </w:tr>
      <w:tr w:rsidR="00197640">
        <w:trPr>
          <w:trHeight w:val="275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52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97640" w:rsidRDefault="00197640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 xml:space="preserve">       252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640" w:rsidRDefault="00197640">
            <w:pPr>
              <w:rPr>
                <w:rFonts w:ascii="Times New Roman" w:eastAsia="Times New Roman" w:hAnsi="Times New Roman" w:cs="Times New Roman"/>
                <w:lang w:val="cs-CZ" w:eastAsia="sk-SK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lang w:val="cs-CZ" w:eastAsia="sk-SK"/>
              </w:rPr>
              <w:t>190</w:t>
            </w:r>
          </w:p>
        </w:tc>
      </w:tr>
      <w:tr w:rsidR="00197640">
        <w:trPr>
          <w:trHeight w:val="3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52a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210</w:t>
            </w:r>
          </w:p>
        </w:tc>
      </w:tr>
      <w:tr w:rsidR="00197640">
        <w:trPr>
          <w:trHeight w:val="343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170</w:t>
            </w:r>
          </w:p>
        </w:tc>
      </w:tr>
      <w:tr w:rsidR="00197640">
        <w:trPr>
          <w:trHeight w:val="3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53a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20</w:t>
            </w:r>
          </w:p>
        </w:tc>
      </w:tr>
      <w:tr w:rsidR="00197640">
        <w:trPr>
          <w:trHeight w:val="3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lastRenderedPageBreak/>
              <w:t>§ 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5</w:t>
            </w:r>
          </w:p>
        </w:tc>
      </w:tr>
      <w:tr w:rsidR="00197640">
        <w:trPr>
          <w:trHeight w:val="3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2</w:t>
            </w:r>
          </w:p>
        </w:tc>
      </w:tr>
      <w:tr w:rsidR="00197640">
        <w:trPr>
          <w:trHeight w:val="3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59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15</w:t>
            </w:r>
          </w:p>
        </w:tc>
      </w:tr>
      <w:tr w:rsidR="00197640">
        <w:trPr>
          <w:trHeight w:val="3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sk-SK"/>
              </w:rPr>
              <w:t>§ 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687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val="cs-CZ" w:eastAsia="sk-SK"/>
              </w:rPr>
            </w:pPr>
            <w:r>
              <w:rPr>
                <w:rFonts w:ascii="Calibri" w:eastAsia="Times New Roman" w:hAnsi="Calibri" w:cs="Times New Roman"/>
                <w:lang w:val="cs-CZ" w:eastAsia="sk-SK"/>
              </w:rPr>
              <w:t>690</w:t>
            </w:r>
          </w:p>
        </w:tc>
      </w:tr>
      <w:tr w:rsidR="00197640">
        <w:trPr>
          <w:trHeight w:val="5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sk-SK"/>
              </w:rPr>
              <w:t>Spolu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sk-SK"/>
              </w:rPr>
              <w:t>1967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sk-SK"/>
              </w:rPr>
              <w:t>1967</w:t>
            </w:r>
          </w:p>
        </w:tc>
      </w:tr>
    </w:tbl>
    <w:p w:rsidR="00197640" w:rsidRDefault="00197640">
      <w:pPr>
        <w:pStyle w:val="Odsekzoznamu"/>
        <w:spacing w:after="0" w:line="240" w:lineRule="auto"/>
        <w:ind w:left="644"/>
        <w:contextualSpacing w:val="0"/>
        <w:jc w:val="both"/>
        <w:rPr>
          <w:sz w:val="24"/>
          <w:szCs w:val="24"/>
        </w:rPr>
      </w:pPr>
    </w:p>
    <w:p w:rsidR="00197640" w:rsidRDefault="00197640">
      <w:pPr>
        <w:pStyle w:val="Odsekzoznamu"/>
        <w:spacing w:after="0" w:line="240" w:lineRule="auto"/>
        <w:ind w:left="644"/>
        <w:contextualSpacing w:val="0"/>
        <w:jc w:val="both"/>
        <w:rPr>
          <w:sz w:val="24"/>
          <w:szCs w:val="24"/>
        </w:rPr>
      </w:pPr>
    </w:p>
    <w:p w:rsidR="00197640" w:rsidRDefault="00323A4C">
      <w:pPr>
        <w:pStyle w:val="Odsekzoznamu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Stanovenie konkrétnych cieľov</w:t>
      </w:r>
    </w:p>
    <w:p w:rsidR="00197640" w:rsidRDefault="00323A4C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Určenie a kvantifikácia hlavných cieľov úradu pre rok 2017</w:t>
      </w:r>
    </w:p>
    <w:p w:rsidR="00197640" w:rsidRDefault="00323A4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7640" w:rsidRDefault="00323A4C">
      <w:pPr>
        <w:pStyle w:val="Odsekzoznamu"/>
        <w:tabs>
          <w:tab w:val="left" w:pos="4021"/>
        </w:tabs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Úrad PSVR Zvolen</w:t>
      </w:r>
      <w:r>
        <w:rPr>
          <w:b/>
          <w:sz w:val="24"/>
          <w:szCs w:val="24"/>
        </w:rPr>
        <w:tab/>
      </w: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Miera evidovanej nezamestnanosti (MEN)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Ekonomicky aktívne obyvateľstvo pre rok 2016: 61 982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Disponibilný počet uchádzačov o zamestnanie k 31.12.2016: 5 597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Súčasná MEN: 9,03 %</w:t>
      </w: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ku koncu roku 2017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Ekonomicky aktívne obyvateľstvo pre rok 2017: 61 917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disponibilný počet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k 31.12.2017: 4 617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Plánovaná MEN k 31.12.2017: 7,46 %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Zníženie počtu disponibilných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>: 980</w:t>
      </w:r>
    </w:p>
    <w:p w:rsidR="00197640" w:rsidRDefault="00197640">
      <w:pPr>
        <w:pStyle w:val="Odsekzoznamu"/>
        <w:ind w:left="644"/>
        <w:jc w:val="both"/>
        <w:rPr>
          <w:sz w:val="24"/>
          <w:szCs w:val="24"/>
        </w:rPr>
      </w:pP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Dlhodobo nezamestnaní </w:t>
      </w:r>
      <w:proofErr w:type="spellStart"/>
      <w:r>
        <w:rPr>
          <w:b/>
          <w:sz w:val="24"/>
          <w:szCs w:val="24"/>
        </w:rPr>
        <w:t>UoZ</w:t>
      </w:r>
      <w:proofErr w:type="spellEnd"/>
      <w:r>
        <w:rPr>
          <w:b/>
          <w:sz w:val="24"/>
          <w:szCs w:val="24"/>
        </w:rPr>
        <w:t xml:space="preserve"> (DN </w:t>
      </w:r>
      <w:proofErr w:type="spellStart"/>
      <w:r>
        <w:rPr>
          <w:b/>
          <w:sz w:val="24"/>
          <w:szCs w:val="24"/>
        </w:rPr>
        <w:t>UoZ</w:t>
      </w:r>
      <w:proofErr w:type="spellEnd"/>
      <w:r>
        <w:rPr>
          <w:b/>
          <w:sz w:val="24"/>
          <w:szCs w:val="24"/>
        </w:rPr>
        <w:t>)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k 31.12.2016: 3 184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Podiel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všetkých disponibilných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>: 56,88 %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počet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k 31.12.2017: 2 </w:t>
      </w:r>
      <w:r w:rsidR="0014193A">
        <w:rPr>
          <w:sz w:val="24"/>
          <w:szCs w:val="24"/>
        </w:rPr>
        <w:t>484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Plánované zníženie počtu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o: </w:t>
      </w:r>
      <w:r w:rsidR="0014193A">
        <w:rPr>
          <w:sz w:val="24"/>
          <w:szCs w:val="24"/>
        </w:rPr>
        <w:t>700</w:t>
      </w:r>
    </w:p>
    <w:p w:rsidR="00197640" w:rsidRDefault="00197640">
      <w:pPr>
        <w:pStyle w:val="Odsekzoznamu"/>
        <w:ind w:left="644"/>
        <w:jc w:val="both"/>
        <w:rPr>
          <w:sz w:val="24"/>
          <w:szCs w:val="24"/>
        </w:rPr>
      </w:pP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Počet zaradených (prítok)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relevantné AOTP (§§ 32, 43, 46, 49, 50, 50j, 51, 51a, 52, 52a, 53, 53</w:t>
      </w:r>
      <w:r w:rsidR="006D2174">
        <w:rPr>
          <w:sz w:val="24"/>
          <w:szCs w:val="24"/>
        </w:rPr>
        <w:t xml:space="preserve">a, 56, 57) v roku 2016: </w:t>
      </w:r>
      <w:r>
        <w:rPr>
          <w:b/>
          <w:sz w:val="24"/>
          <w:szCs w:val="24"/>
        </w:rPr>
        <w:t xml:space="preserve">502 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počet zaradených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relevantné AOTP (§§ 32,43, 46, 49, 50, 50j, 51, 51a, 52, 52a, </w:t>
      </w:r>
      <w:r w:rsidR="006D2174">
        <w:rPr>
          <w:sz w:val="24"/>
          <w:szCs w:val="24"/>
        </w:rPr>
        <w:t xml:space="preserve">53, 53a, 56, 57) v roku 2017: </w:t>
      </w:r>
      <w:r>
        <w:rPr>
          <w:b/>
          <w:sz w:val="24"/>
          <w:szCs w:val="24"/>
        </w:rPr>
        <w:t>505</w:t>
      </w: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Počet zaradených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Národné projekty (NP §54 aj REPAS) v roku 2016: </w:t>
      </w:r>
      <w:r>
        <w:rPr>
          <w:rFonts w:cstheme="minorHAnsi"/>
          <w:b/>
          <w:sz w:val="24"/>
          <w:szCs w:val="24"/>
        </w:rPr>
        <w:t>355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počet zaradených DN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NP §54 aj REPAS v roku 2017: </w:t>
      </w:r>
      <w:r>
        <w:rPr>
          <w:rFonts w:cstheme="minorHAnsi"/>
          <w:b/>
          <w:sz w:val="24"/>
          <w:szCs w:val="24"/>
        </w:rPr>
        <w:t>360</w:t>
      </w:r>
    </w:p>
    <w:p w:rsidR="00197640" w:rsidRDefault="00197640">
      <w:pPr>
        <w:jc w:val="both"/>
        <w:rPr>
          <w:sz w:val="24"/>
          <w:szCs w:val="24"/>
        </w:rPr>
      </w:pP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Mladí do 29 rokov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Počet mladých do 29 rokov k 31.12.2016: 1</w:t>
      </w:r>
      <w:r w:rsidR="00541B4F">
        <w:rPr>
          <w:sz w:val="24"/>
          <w:szCs w:val="24"/>
        </w:rPr>
        <w:t xml:space="preserve"> </w:t>
      </w:r>
      <w:r>
        <w:rPr>
          <w:sz w:val="24"/>
          <w:szCs w:val="24"/>
        </w:rPr>
        <w:t>576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Podiel mladých do 29 rokov na všetkých disponibilných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>: 28,16 %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počet mladých do 29 rokov k 31.12.2017: </w:t>
      </w:r>
      <w:r w:rsidR="00541B4F">
        <w:rPr>
          <w:sz w:val="24"/>
          <w:szCs w:val="24"/>
        </w:rPr>
        <w:t>1 076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Plánované zníženie počtu mladých do 29 rokov o: </w:t>
      </w:r>
      <w:r w:rsidR="00541B4F">
        <w:rPr>
          <w:sz w:val="24"/>
          <w:szCs w:val="24"/>
        </w:rPr>
        <w:t>500</w:t>
      </w:r>
    </w:p>
    <w:p w:rsidR="00197640" w:rsidRDefault="00197640">
      <w:pPr>
        <w:pStyle w:val="Odsekzoznamu"/>
        <w:ind w:left="644"/>
        <w:jc w:val="both"/>
        <w:rPr>
          <w:sz w:val="24"/>
          <w:szCs w:val="24"/>
        </w:rPr>
      </w:pP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Počet zaradených mladých do 29 rokov na relevantné AOTP (§§ 32, 43, 46, 49, 50, 50j, 51, 51a, 52, 52a, 53, 53a, 56, 57) v roku 2016: </w:t>
      </w:r>
      <w:r>
        <w:rPr>
          <w:b/>
          <w:sz w:val="24"/>
          <w:szCs w:val="24"/>
        </w:rPr>
        <w:t>386</w:t>
      </w:r>
    </w:p>
    <w:p w:rsidR="00197640" w:rsidRDefault="00323A4C">
      <w:pPr>
        <w:pStyle w:val="Odsekzoznamu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Plánovaný počet zaradených mladých do 29 rokov na relevantné AOTP (§§ 32, 43, 46, 49, 50, 50j, 51, 51a, 52, 52a, 53, 53a, 56, 57) v roku 2017: </w:t>
      </w:r>
      <w:r>
        <w:rPr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90</w:t>
      </w:r>
    </w:p>
    <w:p w:rsidR="00197640" w:rsidRDefault="00197640">
      <w:pPr>
        <w:pStyle w:val="Odsekzoznamu"/>
        <w:ind w:left="644"/>
        <w:jc w:val="both"/>
        <w:rPr>
          <w:sz w:val="24"/>
          <w:szCs w:val="24"/>
        </w:rPr>
      </w:pP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zaradených mladých do 29 rokov na NP §54 (aj REPAS, bez BAZ) v roku 2016: </w:t>
      </w:r>
      <w:r>
        <w:rPr>
          <w:rFonts w:cstheme="minorHAnsi"/>
          <w:b/>
          <w:sz w:val="24"/>
          <w:szCs w:val="24"/>
        </w:rPr>
        <w:t>162</w:t>
      </w:r>
    </w:p>
    <w:p w:rsidR="00197640" w:rsidRDefault="00323A4C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počet zaradených mladých do 29 rokov na NP §54 (aj REPAS, bez BAZ) v roku 2017: </w:t>
      </w:r>
      <w:r>
        <w:rPr>
          <w:rFonts w:cstheme="minorHAnsi"/>
          <w:b/>
          <w:sz w:val="24"/>
          <w:szCs w:val="24"/>
        </w:rPr>
        <w:t>165</w:t>
      </w:r>
    </w:p>
    <w:p w:rsidR="00197640" w:rsidRDefault="00323A4C">
      <w:pPr>
        <w:pStyle w:val="Odsekzoznamu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7640" w:rsidRDefault="00323A4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BAZ (samostatne)</w:t>
      </w:r>
    </w:p>
    <w:p w:rsidR="00197640" w:rsidRDefault="00323A4C">
      <w:pPr>
        <w:pStyle w:val="Odsekzoznamu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Počet zarade</w:t>
      </w:r>
      <w:r w:rsidR="006D2174">
        <w:rPr>
          <w:sz w:val="24"/>
          <w:szCs w:val="24"/>
        </w:rPr>
        <w:t xml:space="preserve">ných </w:t>
      </w:r>
      <w:proofErr w:type="spellStart"/>
      <w:r w:rsidR="006D2174">
        <w:rPr>
          <w:sz w:val="24"/>
          <w:szCs w:val="24"/>
        </w:rPr>
        <w:t>UoZ</w:t>
      </w:r>
      <w:proofErr w:type="spellEnd"/>
      <w:r w:rsidR="006D2174">
        <w:rPr>
          <w:sz w:val="24"/>
          <w:szCs w:val="24"/>
        </w:rPr>
        <w:t xml:space="preserve"> v roku 2016: 1660 </w:t>
      </w:r>
      <w:r>
        <w:rPr>
          <w:sz w:val="24"/>
          <w:szCs w:val="24"/>
        </w:rPr>
        <w:t>a z nich umiestnení na TP: 559 čo predstavuje 33,67%</w:t>
      </w:r>
    </w:p>
    <w:p w:rsidR="00197640" w:rsidRDefault="00323A4C">
      <w:pPr>
        <w:pStyle w:val="Odsekzoznamu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počet zaradených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v roku 2017: 800</w:t>
      </w:r>
    </w:p>
    <w:p w:rsidR="00197640" w:rsidRDefault="00197640">
      <w:pPr>
        <w:pStyle w:val="Odsekzoznamu"/>
        <w:spacing w:after="0" w:line="240" w:lineRule="auto"/>
        <w:contextualSpacing w:val="0"/>
        <w:jc w:val="both"/>
        <w:rPr>
          <w:sz w:val="24"/>
          <w:szCs w:val="24"/>
        </w:rPr>
      </w:pPr>
    </w:p>
    <w:p w:rsidR="00197640" w:rsidRDefault="00323A4C">
      <w:pPr>
        <w:pStyle w:val="Odsekzoznamu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Noví investori v regióne a hromadné prepúšťanie v roku 2017</w:t>
      </w:r>
    </w:p>
    <w:p w:rsidR="00197640" w:rsidRDefault="00323A4C">
      <w:pPr>
        <w:pStyle w:val="Odsekzoznamu"/>
        <w:spacing w:after="0" w:line="240" w:lineRule="auto"/>
        <w:ind w:left="568" w:hanging="284"/>
        <w:contextualSpacing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Noví investori v regióne</w:t>
      </w:r>
    </w:p>
    <w:p w:rsidR="00197640" w:rsidRDefault="00323A4C" w:rsidP="00834E84">
      <w:pPr>
        <w:pStyle w:val="Odsekzoznamu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roku 2017 chce v priemyselnom parku pri obci Vígľaš začať výrobu firma </w:t>
      </w:r>
      <w:proofErr w:type="spellStart"/>
      <w:r>
        <w:rPr>
          <w:sz w:val="24"/>
          <w:szCs w:val="24"/>
        </w:rPr>
        <w:t>BcLoad</w:t>
      </w:r>
      <w:proofErr w:type="spellEnd"/>
      <w:r>
        <w:rPr>
          <w:sz w:val="24"/>
          <w:szCs w:val="24"/>
        </w:rPr>
        <w:t>. Jedná sa o strojársku fabriku na výrobu nakladačov. Firma počíta so zamestnávaním okolo 100 zamestnancov.</w:t>
      </w:r>
    </w:p>
    <w:p w:rsidR="00834E84" w:rsidRPr="00834E84" w:rsidRDefault="00834E84" w:rsidP="00834E84">
      <w:pPr>
        <w:pStyle w:val="Odsekzoznamu"/>
        <w:ind w:left="644"/>
        <w:jc w:val="both"/>
        <w:rPr>
          <w:sz w:val="24"/>
          <w:szCs w:val="24"/>
        </w:rPr>
      </w:pPr>
    </w:p>
    <w:p w:rsidR="00197640" w:rsidRDefault="00323A4C">
      <w:pPr>
        <w:pStyle w:val="Odsekzoznamu"/>
        <w:spacing w:after="0" w:line="240" w:lineRule="auto"/>
        <w:ind w:left="568" w:hanging="284"/>
        <w:contextualSpacing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Tvorba nových pracovných miest</w:t>
      </w:r>
    </w:p>
    <w:p w:rsidR="00197640" w:rsidRDefault="00323A4C">
      <w:pPr>
        <w:pStyle w:val="Odsekzoznamu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roku 2017 bude úzko previazaná s možnosťami využitia príspevkov a národných projektov v spolupráci s úradom práce, sociálnych vecí a rodiny. Je potrebné aby projekty na podporu zamestnanosti zohľadňovali špecifiká regiónu, boli zamerané na dlhodobo nezamestnaných  s nízkym vzdelaním, resp. na zamestnávanie absolventov škôl.</w:t>
      </w:r>
    </w:p>
    <w:p w:rsidR="00197640" w:rsidRDefault="00323A4C">
      <w:pPr>
        <w:pStyle w:val="Odsekzoznamu"/>
        <w:spacing w:after="120" w:line="240" w:lineRule="auto"/>
        <w:ind w:left="284"/>
        <w:contextualSpacing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Stručné zhodnotenie príležitostí a hrozieb 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Príležitosti: 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Strategická poloha regiónu v centrálnej časti Slovenska aj Európy.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Možnosť využívania podporných fondov pre rozvoj regiónu.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Voľná kapacita v existujúcich priemyselných parkoch.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Nevyužívané výrobné a skladovacie priestory.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Technická univerzita a stredné odborné školy produkujúce kvalifikovanú pracovnú silu.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Využívanie nových technológií a inovácií.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Vybudovanie rýchlostnej cesty R2 Zvolen – Detva – Lučenec.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Železničný uzol Zvolen s prepojením na národnú a medzinárodnú dopravnú sieť.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Blízkosť letiska Sliač.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Podpora poľnohospodárstva a rozvoja vidieka štátom a EU.</w:t>
      </w:r>
    </w:p>
    <w:p w:rsidR="00197640" w:rsidRDefault="00323A4C">
      <w:pPr>
        <w:pStyle w:val="Odsekzoznamu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Potenciál regiónu pre rozvoj vidieka, cestovného ruchu, agroturistiky a </w:t>
      </w:r>
      <w:proofErr w:type="spellStart"/>
      <w:r>
        <w:rPr>
          <w:sz w:val="24"/>
          <w:szCs w:val="24"/>
        </w:rPr>
        <w:t>ekoturizmu</w:t>
      </w:r>
      <w:proofErr w:type="spellEnd"/>
      <w:r>
        <w:rPr>
          <w:sz w:val="24"/>
          <w:szCs w:val="24"/>
        </w:rPr>
        <w:t>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Hrozby: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Nesúlad kvalifikovanej pracovnej sily s potrebami pracovného trhu.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Úbytok kvalifikovanej pracovnej sily z regiónu.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Pretrvávajúci nezáujem o technické vzdelávanie, strojárske a remeselné profesie.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Znižujúca sa úroveň odborného vzdelávania budúcej pracovnej sily.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Nedostatok investičného kapitálu a vlastných zdrojov pre rozvoj podnikania.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Nedostatočná propagácia a podpora rozvoja cestovného ruchu a agroturistiky.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Nedobudovanie dopravnej infraštruktúry.</w:t>
      </w:r>
    </w:p>
    <w:p w:rsidR="00197640" w:rsidRDefault="00323A4C">
      <w:pPr>
        <w:pStyle w:val="Odsekzoznamu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Nepriaznivý demografický vývoj.</w:t>
      </w:r>
    </w:p>
    <w:p w:rsidR="00105DB2" w:rsidRDefault="00105DB2">
      <w:pPr>
        <w:pStyle w:val="Odsekzoznamu"/>
        <w:spacing w:after="0" w:line="240" w:lineRule="auto"/>
        <w:ind w:left="284"/>
        <w:contextualSpacing w:val="0"/>
        <w:jc w:val="both"/>
        <w:rPr>
          <w:sz w:val="24"/>
          <w:szCs w:val="24"/>
          <w:u w:val="single"/>
        </w:rPr>
      </w:pPr>
    </w:p>
    <w:p w:rsidR="00197640" w:rsidRDefault="00323A4C">
      <w:pPr>
        <w:pStyle w:val="Odsekzoznamu"/>
        <w:spacing w:after="0" w:line="240" w:lineRule="auto"/>
        <w:ind w:left="284"/>
        <w:contextualSpacing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Hromadné prepúšťanie </w:t>
      </w:r>
    </w:p>
    <w:p w:rsidR="00197640" w:rsidRDefault="00197640">
      <w:pPr>
        <w:pStyle w:val="Odsekzoznamu"/>
        <w:spacing w:after="0" w:line="240" w:lineRule="auto"/>
        <w:ind w:left="284"/>
        <w:contextualSpacing w:val="0"/>
        <w:jc w:val="both"/>
        <w:rPr>
          <w:sz w:val="24"/>
          <w:szCs w:val="24"/>
          <w:u w:val="single"/>
        </w:rPr>
      </w:pPr>
    </w:p>
    <w:p w:rsidR="00197640" w:rsidRDefault="00323A4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OJALA – Kriváň, Správca konkurznej podstaty zvážil všetky okolnosti vedúce ku konkurzu a rozhodol o ďalšom postupe. Keďže stretnutie s veriteľmi bude až v apríli 2017 tak zamestnancom bolo ponúknuté ukončenie pracovného pomeru  dohodou v zmysle §60 Zákonníka práce ku dňu 31.1.2017.</w:t>
      </w:r>
    </w:p>
    <w:p w:rsidR="00197640" w:rsidRDefault="00323A4C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Čo sa týka zamestnancov z pohľadu trvalého pobytu tak odhadol, že z okresu Detva bolo vo firme zamestnaných max. 60% z celkového počtu zamestnancov (60% z približne 200 zamestnancov), ostatní sú z okresov Lučenec, Zvolen, Banská Bystrica.</w:t>
      </w:r>
    </w:p>
    <w:p w:rsidR="00197640" w:rsidRDefault="00323A4C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pohľadu úradu práce je podstatné to, že sa v prípade firmy </w:t>
      </w:r>
      <w:proofErr w:type="spellStart"/>
      <w:r>
        <w:rPr>
          <w:rFonts w:asciiTheme="minorHAnsi" w:hAnsiTheme="minorHAnsi" w:cstheme="minorHAnsi"/>
        </w:rPr>
        <w:t>Ojala</w:t>
      </w:r>
      <w:proofErr w:type="spellEnd"/>
      <w:r>
        <w:rPr>
          <w:rFonts w:asciiTheme="minorHAnsi" w:hAnsiTheme="minorHAnsi" w:cstheme="minorHAnsi"/>
        </w:rPr>
        <w:t xml:space="preserve"> nebude jednať o hromadné prepúšťanie a aj to, že prípadné evidencie nových uchádzačov o zamestnanie negatívne neovplyvnia podstatne evidenciu v jednom okrese, ale sa títo uchádzači o zamestnanie „rozptýlia“ do viacerých okresov.</w:t>
      </w:r>
    </w:p>
    <w:p w:rsidR="00197640" w:rsidRDefault="00323A4C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Úrad práce v Detve je pripravený zvládnuť zaevidovanie bývalých zamestnancov firmy </w:t>
      </w:r>
      <w:proofErr w:type="spellStart"/>
      <w:r>
        <w:rPr>
          <w:rFonts w:asciiTheme="minorHAnsi" w:hAnsiTheme="minorHAnsi" w:cstheme="minorHAnsi"/>
        </w:rPr>
        <w:t>Ojala</w:t>
      </w:r>
      <w:proofErr w:type="spellEnd"/>
      <w:r>
        <w:rPr>
          <w:rFonts w:asciiTheme="minorHAnsi" w:hAnsiTheme="minorHAnsi" w:cstheme="minorHAnsi"/>
        </w:rPr>
        <w:t xml:space="preserve">, ktorým budú poskytnuté informácie o aktuálnych ponukách VPM v našom okrese, informácie o projektoch aktívnej politiky trhu práce, </w:t>
      </w:r>
      <w:proofErr w:type="spellStart"/>
      <w:r>
        <w:rPr>
          <w:rFonts w:asciiTheme="minorHAnsi" w:hAnsiTheme="minorHAnsi" w:cstheme="minorHAnsi"/>
        </w:rPr>
        <w:t>REPAS-e</w:t>
      </w:r>
      <w:proofErr w:type="spellEnd"/>
      <w:r>
        <w:rPr>
          <w:rFonts w:asciiTheme="minorHAnsi" w:hAnsiTheme="minorHAnsi" w:cstheme="minorHAnsi"/>
        </w:rPr>
        <w:t xml:space="preserve"> a iné informácie súvisiace s evidenciou na úrade práce. </w:t>
      </w:r>
    </w:p>
    <w:p w:rsidR="00197640" w:rsidRDefault="00323A4C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Úrad práce v súčasnosti – marec 2017 eviduje 76 bývalých zamestnancov firmy </w:t>
      </w:r>
      <w:proofErr w:type="spellStart"/>
      <w:r>
        <w:rPr>
          <w:rFonts w:asciiTheme="minorHAnsi" w:hAnsiTheme="minorHAnsi" w:cstheme="minorHAnsi"/>
        </w:rPr>
        <w:t>Ojala</w:t>
      </w:r>
      <w:proofErr w:type="spellEnd"/>
      <w:r>
        <w:rPr>
          <w:rFonts w:asciiTheme="minorHAnsi" w:hAnsiTheme="minorHAnsi" w:cstheme="minorHAnsi"/>
        </w:rPr>
        <w:t xml:space="preserve">, ktorí boli prepustení v roku 2017. Začiatkom marca 2017 (7.3.2017) zorganizoval úrad práce v Detve stretnutie bývalých zamestnancov firmy </w:t>
      </w:r>
      <w:proofErr w:type="spellStart"/>
      <w:r>
        <w:rPr>
          <w:rFonts w:asciiTheme="minorHAnsi" w:hAnsiTheme="minorHAnsi" w:cstheme="minorHAnsi"/>
        </w:rPr>
        <w:t>Ojala</w:t>
      </w:r>
      <w:proofErr w:type="spellEnd"/>
      <w:r>
        <w:rPr>
          <w:rFonts w:asciiTheme="minorHAnsi" w:hAnsiTheme="minorHAnsi" w:cstheme="minorHAnsi"/>
        </w:rPr>
        <w:t xml:space="preserve"> so zamestnávateľom Železiarne Podbrezová, a.s., ktorý prezentoval vhodné pracovné pozície pre týchto </w:t>
      </w:r>
      <w:proofErr w:type="spellStart"/>
      <w:r>
        <w:rPr>
          <w:rFonts w:asciiTheme="minorHAnsi" w:hAnsiTheme="minorHAnsi" w:cstheme="minorHAnsi"/>
        </w:rPr>
        <w:t>UoZ</w:t>
      </w:r>
      <w:proofErr w:type="spellEnd"/>
      <w:r>
        <w:rPr>
          <w:rFonts w:asciiTheme="minorHAnsi" w:hAnsiTheme="minorHAnsi" w:cstheme="minorHAnsi"/>
        </w:rPr>
        <w:t>. Na stretnutí sa zúčastnilo 63 uchádzačov o zamestnanie, odhadom 4-5 mali o možnosť zamestnať sa v menovanej firme záujem. Avšak najväčšou prekážkou sa javí vzdialenosť miesta bydliska od miesta firmy, ako aj nedostatočné dopravné spojenie.</w:t>
      </w:r>
    </w:p>
    <w:p w:rsidR="00197640" w:rsidRDefault="00323A4C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Riaditeľka ÚPSVaR Zvolen, spolu s riaditeľom odboru služieb zamestnanosti navštívili Firmu </w:t>
      </w:r>
      <w:proofErr w:type="spellStart"/>
      <w:r>
        <w:rPr>
          <w:rFonts w:asciiTheme="minorHAnsi" w:hAnsiTheme="minorHAnsi" w:cstheme="minorHAnsi"/>
        </w:rPr>
        <w:t>Continental</w:t>
      </w:r>
      <w:proofErr w:type="spellEnd"/>
      <w:r>
        <w:rPr>
          <w:rFonts w:asciiTheme="minorHAnsi" w:hAnsiTheme="minorHAnsi" w:cstheme="minorHAnsi"/>
        </w:rPr>
        <w:t xml:space="preserve"> vo Zvolene, kde sa dohodli na spolupráci pri obsadzovaní voľných pracovných miest zamestnancami z firmy </w:t>
      </w:r>
      <w:proofErr w:type="spellStart"/>
      <w:r>
        <w:rPr>
          <w:rFonts w:asciiTheme="minorHAnsi" w:hAnsiTheme="minorHAnsi" w:cstheme="minorHAnsi"/>
        </w:rPr>
        <w:t>Ojala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197640" w:rsidRDefault="00197640">
      <w:pPr>
        <w:ind w:firstLine="708"/>
        <w:jc w:val="both"/>
        <w:rPr>
          <w:sz w:val="24"/>
          <w:szCs w:val="24"/>
        </w:rPr>
      </w:pPr>
    </w:p>
    <w:p w:rsidR="00197640" w:rsidRDefault="00323A4C">
      <w:pPr>
        <w:pStyle w:val="Odsekzoznamu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Priority podpory zamestnanosti v územnom obvode úradu pre rok 2017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Počet agentov pre VPM: 4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VPM – počet vyhľadaných VPM v roku 2016: </w:t>
      </w:r>
      <w:r>
        <w:rPr>
          <w:rFonts w:cstheme="minorHAnsi"/>
          <w:sz w:val="24"/>
          <w:szCs w:val="24"/>
        </w:rPr>
        <w:t>770</w:t>
      </w:r>
    </w:p>
    <w:p w:rsidR="00197640" w:rsidRDefault="00323A4C">
      <w:pPr>
        <w:pStyle w:val="Odsekzoznamu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Plánovaný počet vyhľadávaných VPM v roku 2017: </w:t>
      </w:r>
      <w:r>
        <w:rPr>
          <w:rFonts w:cstheme="minorHAnsi"/>
          <w:sz w:val="24"/>
          <w:szCs w:val="24"/>
        </w:rPr>
        <w:t>800</w:t>
      </w:r>
    </w:p>
    <w:p w:rsidR="00197640" w:rsidRDefault="00323A4C">
      <w:pPr>
        <w:pStyle w:val="Odsekzoznamu"/>
        <w:spacing w:after="0" w:line="240" w:lineRule="auto"/>
        <w:ind w:left="567" w:hanging="283"/>
        <w:contextualSpacing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Očakávaný vývoj voľných pracovných miest, spolupráca so zamestnávateľmi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roku 2017 očakávame približne rovnaký vývoj voľných pracovných miest ako v roku 2016, prípadne mierny nárast prítoku voľných pracovných miest, za predpokladu pokračovania rastu ekonomiky a zlepšovania podnikateľského prostredia. 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Aj v roku 2017 chceme rozvíjať spoluprácu so zamestnávateľmi v regióne formou osobných individuálnych kontaktov, skupinových informačných stretnutí s etablovanými aj novými zamestnávateľmi a tiež s potenciálnymi zamestnávateľmi z radov samostatne zárobkovo činných osôb. Využívať budeme aj oslovovanie zamestnávateľov a SZČO prostredníctvom  e-mailovej, telefonickej a poštovej komunikácie.</w:t>
      </w:r>
    </w:p>
    <w:p w:rsidR="00197640" w:rsidRDefault="00323A4C">
      <w:pPr>
        <w:pStyle w:val="Odsekzoznamu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Mierne zvýšenú ponuku na trhu práce v územnom obvode očakávame v odvetviach strojárstvo, gastronómia, obchod a služby.</w:t>
      </w:r>
    </w:p>
    <w:p w:rsidR="00105DB2" w:rsidRDefault="00105DB2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p w:rsidR="00105DB2" w:rsidRDefault="00105DB2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p w:rsidR="00105DB2" w:rsidRDefault="00105DB2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p w:rsidR="00105DB2" w:rsidRDefault="00105DB2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p w:rsidR="00105DB2" w:rsidRDefault="00105DB2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p w:rsidR="00197640" w:rsidRDefault="00323A4C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Najväčší zamestnávatelia územnom obvode UPSVR Zvolen:</w:t>
      </w:r>
    </w:p>
    <w:p w:rsidR="00197640" w:rsidRDefault="00197640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tbl>
      <w:tblPr>
        <w:tblW w:w="907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960"/>
        <w:gridCol w:w="1553"/>
      </w:tblGrid>
      <w:tr w:rsidR="00197640">
        <w:trPr>
          <w:trHeight w:val="288"/>
        </w:trPr>
        <w:tc>
          <w:tcPr>
            <w:tcW w:w="1559" w:type="dxa"/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OKRES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ZAMESTNÁVATEĽ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b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lang w:eastAsia="sk-SK"/>
              </w:rPr>
              <w:t>POČET ZAM.</w:t>
            </w:r>
          </w:p>
        </w:tc>
      </w:tr>
      <w:tr w:rsidR="00197640">
        <w:trPr>
          <w:trHeight w:val="288"/>
        </w:trPr>
        <w:tc>
          <w:tcPr>
            <w:tcW w:w="1559" w:type="dxa"/>
            <w:shd w:val="clear" w:color="auto" w:fill="auto"/>
            <w:noWrap/>
            <w:vAlign w:val="bottom"/>
          </w:tcPr>
          <w:p w:rsidR="00197640" w:rsidRDefault="00197640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197640">
            <w:pPr>
              <w:rPr>
                <w:rFonts w:ascii="Calibri" w:eastAsia="Times New Roman" w:hAnsi="Calibri" w:cs="Times New Roman"/>
                <w:lang w:eastAsia="sk-SK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97640" w:rsidRDefault="00197640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</w:p>
        </w:tc>
      </w:tr>
      <w:tr w:rsidR="00197640">
        <w:trPr>
          <w:trHeight w:val="28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Krupina</w:t>
            </w:r>
          </w:p>
        </w:tc>
        <w:tc>
          <w:tcPr>
            <w:tcW w:w="5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COOP Jednota Krupina, spotrebné družstvo</w:t>
            </w:r>
          </w:p>
        </w:tc>
        <w:tc>
          <w:tcPr>
            <w:tcW w:w="1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982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Continental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Automotive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Systems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Slovakia s.r.o.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975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Detva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PPS GROUP a.s.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911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Slovenská autobusová doprava Zvolen, akciová spoločnosť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906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Technická univerzita vo Zvolene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693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Nemocnica Zvolen a.s.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651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Železničné opravovne a strojárne Zvolen, a.s.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573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Krupina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LIND MOBLER SLOVAKIA, s.r.o.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490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Centrum výcviku Lešť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288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HYDINA SLOVENSKO s.r.o.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279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Národné rehabilitačné centrum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276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Bučina DDD, spol. s r.o.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273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Mesto Zvolen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266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Detva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Slavia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Production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Systems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a.s.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231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VZOR, výrobné družstvo Zvolen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218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Krupina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Kúpele Dudince, a.s.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217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Národné lesnícke centrum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216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Geis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SK s.r.o.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215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Vojenská lesy a majetky SR, š.p.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211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Zvolen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GLOBUS spol. s r.o.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207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Krupina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Brother </w:t>
            </w:r>
            <w:proofErr w:type="spellStart"/>
            <w:r>
              <w:rPr>
                <w:rFonts w:ascii="Calibri" w:eastAsia="Times New Roman" w:hAnsi="Calibri" w:cs="Times New Roman"/>
                <w:lang w:eastAsia="sk-SK"/>
              </w:rPr>
              <w:t>Industries</w:t>
            </w:r>
            <w:proofErr w:type="spellEnd"/>
            <w:r>
              <w:rPr>
                <w:rFonts w:ascii="Calibri" w:eastAsia="Times New Roman" w:hAnsi="Calibri" w:cs="Times New Roman"/>
                <w:lang w:eastAsia="sk-SK"/>
              </w:rPr>
              <w:t xml:space="preserve"> (Slovakia) s.r.o.</w:t>
            </w:r>
          </w:p>
        </w:tc>
        <w:tc>
          <w:tcPr>
            <w:tcW w:w="1553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194</w:t>
            </w:r>
          </w:p>
        </w:tc>
      </w:tr>
      <w:tr w:rsidR="00197640">
        <w:trPr>
          <w:trHeight w:val="288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Krupina</w:t>
            </w:r>
          </w:p>
        </w:tc>
        <w:tc>
          <w:tcPr>
            <w:tcW w:w="5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WAY INDUSTRIES a.s.</w:t>
            </w:r>
          </w:p>
        </w:tc>
        <w:tc>
          <w:tcPr>
            <w:tcW w:w="1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190</w:t>
            </w:r>
          </w:p>
        </w:tc>
      </w:tr>
    </w:tbl>
    <w:p w:rsidR="00197640" w:rsidRDefault="00197640">
      <w:pPr>
        <w:pStyle w:val="Odsekzoznamu"/>
        <w:spacing w:after="0" w:line="240" w:lineRule="auto"/>
        <w:ind w:left="426"/>
        <w:contextualSpacing w:val="0"/>
        <w:jc w:val="both"/>
        <w:rPr>
          <w:sz w:val="16"/>
          <w:szCs w:val="16"/>
        </w:rPr>
      </w:pPr>
    </w:p>
    <w:p w:rsidR="00197640" w:rsidRDefault="00323A4C">
      <w:pPr>
        <w:pStyle w:val="Odsekzoznamu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Poznámka: Údaje o počtoch zamestnancov boli získané z ročných výkazov o plnení povinného podielu zamestnávania občanov so zdravotným postihnutím za r. 2015.</w:t>
      </w:r>
    </w:p>
    <w:p w:rsidR="00197640" w:rsidRDefault="00197640">
      <w:pPr>
        <w:pStyle w:val="Odsekzoznamu"/>
        <w:spacing w:after="0" w:line="240" w:lineRule="auto"/>
        <w:ind w:left="426"/>
        <w:contextualSpacing w:val="0"/>
        <w:jc w:val="both"/>
        <w:rPr>
          <w:sz w:val="24"/>
          <w:szCs w:val="24"/>
        </w:rPr>
      </w:pPr>
    </w:p>
    <w:p w:rsidR="00197640" w:rsidRDefault="00323A4C">
      <w:pPr>
        <w:pStyle w:val="Odsekzoznamu"/>
        <w:ind w:left="567" w:hanging="28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Priority pre rok 2017 </w:t>
      </w:r>
    </w:p>
    <w:p w:rsidR="00197640" w:rsidRDefault="00323A4C" w:rsidP="00105DB2">
      <w:pPr>
        <w:pStyle w:val="Odsekzoznamu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Prioritou pre rok 2017 je cieľová skupina dlhodobo nezamestnaných uchádzačov o zamestnanie, ktorým budeme venovať zvýšenú pozornosť v projekte „ZAZ“ a tiež skupina mladých uchádzačov o zamestnanie vo veku do 29 rokov, ktorých budeme aktivizovať v projekte „BAZ“. Dôvodom je vysoký podiel týchto skupín uchádzačov o zamestnanie na celkovom počte uchádzačov o zamestnanie v evidencii UPSVR Zvolen, preto je potrebné sa prioritne zamerať na riešenie ich uplatnenia na trhu práce s využitím všetkých dostupných možností. Pre tieto skupiny sú plánované a realizované príspevky a národné projekty, ktoré zamestnávatelia považujú za zaujímavé a ekonomicky výhodné.</w:t>
      </w:r>
    </w:p>
    <w:p w:rsidR="00105DB2" w:rsidRDefault="00105DB2" w:rsidP="00105DB2">
      <w:pPr>
        <w:pStyle w:val="Odsekzoznamu"/>
        <w:ind w:left="567"/>
        <w:jc w:val="both"/>
        <w:rPr>
          <w:sz w:val="24"/>
          <w:szCs w:val="24"/>
        </w:rPr>
      </w:pPr>
    </w:p>
    <w:p w:rsidR="00197640" w:rsidRDefault="00323A4C">
      <w:pPr>
        <w:pStyle w:val="Odsekzoznamu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Hlavné aktivity </w:t>
      </w:r>
      <w:r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dosiahnutie stanovených cieľov</w:t>
      </w:r>
    </w:p>
    <w:p w:rsidR="00197640" w:rsidRDefault="00323A4C">
      <w:pPr>
        <w:pStyle w:val="Odsekzoznamu"/>
        <w:numPr>
          <w:ilvl w:val="0"/>
          <w:numId w:val="29"/>
        </w:numPr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kľúčové nástroje AOTP považuje momentálne pre náš úrad § 49, § 50, § 51a  prostredníctvom ktorých sa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vyraďuje z evidencie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najviac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. Dôraz plánujeme klásť aj na podporovanie </w:t>
      </w:r>
      <w:proofErr w:type="spellStart"/>
      <w:r>
        <w:rPr>
          <w:sz w:val="24"/>
          <w:szCs w:val="24"/>
        </w:rPr>
        <w:t>REPASu</w:t>
      </w:r>
      <w:proofErr w:type="spellEnd"/>
      <w:r>
        <w:rPr>
          <w:sz w:val="24"/>
          <w:szCs w:val="24"/>
        </w:rPr>
        <w:t xml:space="preserve"> prioritne u tých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, ktorí majú prísľub zamestnávateľa a tých ktorí po ukončení vzdelávania plánujú začať vykonávať SZČ.    </w:t>
      </w:r>
    </w:p>
    <w:p w:rsidR="00197640" w:rsidRDefault="00323A4C">
      <w:pPr>
        <w:pStyle w:val="Odsekzoznamu"/>
        <w:numPr>
          <w:ilvl w:val="0"/>
          <w:numId w:val="29"/>
        </w:numPr>
        <w:spacing w:after="0" w:line="240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roku 2017 chceme zvýšiť počet podporených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práve prostredníctvom § 49, § 50 a § 51a. Ďalej chceme podporovať využívanie nástroja § 51 čo doteraz bolo dosť problematické, nakoľko takýto absolvent sa mohol uplatniť len v odbore ktorý vyštudoval. </w:t>
      </w:r>
      <w:r>
        <w:rPr>
          <w:sz w:val="24"/>
          <w:szCs w:val="24"/>
        </w:rPr>
        <w:lastRenderedPageBreak/>
        <w:t xml:space="preserve">Veríme, že po zmene zákona o službách zamestnanosti bude možné týchto mladých ľudí zaradiť do širšieho okruhu vykonávania AP. Pri všetkých uvedených nástrojoch oproti roku 2016 plánujeme v roku 2017 nárast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pri začlenení na trhu práce. V roku 2016 bol § 50 využívaný obmedzene nakoľko zamestnávatelia využívali finančne výhodnejšie projekty. Pri zaraďovaní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§51 očakávame tiež nárast začlenenia mladých ľudí na vykonávanie AP a to z dôvodu, že v roku 2016 boli dosť oklieštené podmienky zaradenia vzhľadom na súlad vzdelania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a požiadavky na profesiu od zamestnávateľa. V roku 2017 očakávame, že zmenou zákona o službách zamestnanosti bude tento problém doriešený. V roku 2017 plánujeme pri oslovovaní zamestnávateľov  pri § 51 využiť opačný postup vyhľadávania miest pre absolventov a to, že budeme oslovovať zamestnávateľov, tak že už k nemu prídeme s konkrétnymi menami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, ktorí spĺňajú všetky predpoklady na zaradenie tohto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AP u daného zamestnávateľa.  Taktiež každý zamestnávateľ, ktorý podpíše dohodu na § 51 dostane na OAOTP informácie aj s propagačným letákom k využitiu aktivity č. 2 k NP „ Absolventská prax štartuje zamestnanie“. Propagáciu tohto NP zabezpečíme aj v regionálnej tlači. Očakávame aj nárast žiadateľov o poskytnutie finančného príspevku na § 49.   </w:t>
      </w:r>
    </w:p>
    <w:p w:rsidR="00197640" w:rsidRDefault="00323A4C">
      <w:pPr>
        <w:pStyle w:val="Odsekzoznamu"/>
        <w:numPr>
          <w:ilvl w:val="0"/>
          <w:numId w:val="29"/>
        </w:numPr>
        <w:spacing w:after="120" w:line="240" w:lineRule="auto"/>
        <w:ind w:left="567" w:hanging="283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Predpokladáme, že nižší počet podporených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budeme mať prostredníctvom § 52 a § 52a. Tieto nástroje nevedú k znižovaniu nezamestnanosti, mnoho krát to vidíme ako nesystémové nakoľko starostovia obcí berú stále tých istých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, lebo mnohokrát v obci nemajú iných ľudí. </w:t>
      </w:r>
    </w:p>
    <w:p w:rsidR="00197640" w:rsidRDefault="00323A4C">
      <w:pPr>
        <w:pStyle w:val="Odsekzoznamu"/>
        <w:spacing w:after="120" w:line="240" w:lineRule="auto"/>
        <w:ind w:left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Projekty a programy § 54</w:t>
      </w:r>
    </w:p>
    <w:p w:rsidR="00197640" w:rsidRDefault="00323A4C">
      <w:pPr>
        <w:pStyle w:val="Odsekzoznamu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Ako dobre využiteľné projekty pre rok 2017 sa nám javia NP „Úspešne na trhu práce aktivita č. 1“a REPAS. Zvýšenú pozornosť chceme zamerať na NP „ Chceme byť aktívni na trhu práce“ a to z dôvodu, že práve tento projekt dáva možnosť aj starším ľuďom nad 50 rokov zaradiť sa do pracovného pomeru. Tento projekt sme doteraz nemali až tak využívaný, nakoľko boli pre zamestnávateľov po finančnej </w:t>
      </w:r>
      <w:proofErr w:type="spellStart"/>
      <w:r>
        <w:rPr>
          <w:sz w:val="24"/>
          <w:szCs w:val="24"/>
        </w:rPr>
        <w:t>stránek</w:t>
      </w:r>
      <w:proofErr w:type="spellEnd"/>
      <w:r>
        <w:rPr>
          <w:sz w:val="24"/>
          <w:szCs w:val="24"/>
        </w:rPr>
        <w:t xml:space="preserve"> zaujímavejšie projekty. Taktiež zameriame pozornosť aj na NP „ Praxou k zamestnaniu“ kde sa u zamestnávateľov mnohokrát stretávame s nezáujmom z dôvodu, že sa jedná o skrátený pracovný úväzok. Tieto NP budú zamestnávateľom okrem agentov pre VPM propagovať a ponúkať aj zamestnanci OSO a OAOTP. Priebežne v nestránkové dni budú zamestnanci OSO navštevovať zamestnávateľov, kde im budú prezentovať tieto NP. Taktiež zamestnanci OAOTP vždy pri podpise dohody, doloženia žiadostí o platbu ku všetkým živým dohodám a pri akomkoľvek podávaní informácii zamestnávateľom budú zamestnávateľov informovať o týchto NP. Zamestnávatelia okrem informácii dostanú aj leták kde budú spracované informácie o týchto NP. Taktiež budeme v spolupráci so starostami obcí a primátormi miest v ich spoločenských priestoroch realizovať spoločné stretnutia so zamestnávateľmi daných obcí kde im budú tieto informácie podané. Taktiež oslovíme regionálnu tlač, kde projekty aj s informáciami spropagujeme. </w:t>
      </w:r>
    </w:p>
    <w:p w:rsidR="00197640" w:rsidRDefault="00323A4C">
      <w:pPr>
        <w:pStyle w:val="Odsekzoznamu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Agenti pre VPM prioritne navštívia zamestnávateľov u ktorých pracujú naši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DoVP</w:t>
      </w:r>
      <w:proofErr w:type="spellEnd"/>
      <w:r>
        <w:rPr>
          <w:sz w:val="24"/>
          <w:szCs w:val="24"/>
        </w:rPr>
        <w:t xml:space="preserve"> a tiež im budú ponúkať uvedené NP. Ponuka NP bude cielene zameraná na konkrétneho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, ktorý spĺňa podmienky pre konkrétny NP.   </w:t>
      </w:r>
    </w:p>
    <w:p w:rsidR="00197640" w:rsidRDefault="00323A4C">
      <w:pPr>
        <w:pStyle w:val="Odsekzoznamu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Prínosom pre UPSVR by bol projekt, ktorý by bol určený pre kategóriu dlhodobo nezamestnaných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(napr. NP Cesta z kruhu nezamestnanosti).</w:t>
      </w:r>
    </w:p>
    <w:p w:rsidR="00197640" w:rsidRDefault="00323A4C">
      <w:pPr>
        <w:pStyle w:val="Odsekzoznamu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Vlastný pilotný alebo medzinárodný projekt v roku 2017 </w:t>
      </w:r>
    </w:p>
    <w:p w:rsidR="00197640" w:rsidRDefault="00323A4C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Počas roka 2017 budeme zvažovať nad vlastným projektom, len v tom prípade, ak budeme mať špecifickú požiadavku od zamestnávateľa, ktorá bude korešpondovať </w:t>
      </w:r>
      <w:r>
        <w:rPr>
          <w:sz w:val="24"/>
          <w:szCs w:val="24"/>
        </w:rPr>
        <w:lastRenderedPageBreak/>
        <w:t xml:space="preserve">s dopytom po VPM a výsledkom bude zníženie nezamestnanosti  a uplatnenie sa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na trhu práce. </w:t>
      </w:r>
    </w:p>
    <w:p w:rsidR="00197640" w:rsidRDefault="00197640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</w:p>
    <w:p w:rsidR="00197640" w:rsidRDefault="00323A4C">
      <w:pPr>
        <w:pStyle w:val="Odsekzoznamu"/>
        <w:spacing w:after="120" w:line="240" w:lineRule="auto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analýza a prognóza plánovaných počtov </w:t>
      </w:r>
      <w:proofErr w:type="spellStart"/>
      <w:r>
        <w:rPr>
          <w:sz w:val="24"/>
          <w:szCs w:val="24"/>
        </w:rPr>
        <w:t>UoZ</w:t>
      </w:r>
      <w:proofErr w:type="spellEnd"/>
      <w:r>
        <w:rPr>
          <w:sz w:val="24"/>
          <w:szCs w:val="24"/>
        </w:rPr>
        <w:t xml:space="preserve"> zaradených na všetky relevantné NP:</w:t>
      </w:r>
    </w:p>
    <w:tbl>
      <w:tblPr>
        <w:tblW w:w="905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387"/>
        <w:gridCol w:w="2693"/>
      </w:tblGrid>
      <w:tr w:rsidR="00197640">
        <w:trPr>
          <w:trHeight w:val="1001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Projekty a programy § 54                   UPSVR Zvolen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Počet (prítok) zaradených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, resp. počet (prítok) podporených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UoZ</w:t>
            </w:r>
            <w:proofErr w:type="spellEnd"/>
          </w:p>
        </w:tc>
      </w:tr>
      <w:tr w:rsidR="00197640">
        <w:trPr>
          <w:trHeight w:val="407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7640" w:rsidRDefault="00197640">
            <w:pP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Prognóza 2017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HRADY, HRADY 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XX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XXI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XXI/A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XXI/B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XXXIV-2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XXXVII –BSK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97640">
        <w:trPr>
          <w:trHeight w:val="3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REPAS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200</w:t>
            </w:r>
          </w:p>
        </w:tc>
      </w:tr>
      <w:tr w:rsidR="00197640">
        <w:trPr>
          <w:trHeight w:val="4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NP Podpora zamestnávania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, aktivita č. 2 verejné zamestnávanie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50</w:t>
            </w:r>
          </w:p>
        </w:tc>
      </w:tr>
      <w:tr w:rsidR="00197640">
        <w:trPr>
          <w:trHeight w:val="3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Praxou k zamestnaniu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49</w:t>
            </w:r>
          </w:p>
        </w:tc>
      </w:tr>
      <w:tr w:rsidR="00197640">
        <w:trPr>
          <w:trHeight w:val="3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Absolventská prax štartuje zamestnanie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154</w:t>
            </w:r>
          </w:p>
        </w:tc>
      </w:tr>
      <w:tr w:rsidR="00197640">
        <w:trPr>
          <w:trHeight w:val="3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Cesta z kruhu nezamestnanosti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0</w:t>
            </w:r>
          </w:p>
        </w:tc>
      </w:tr>
      <w:tr w:rsidR="00197640">
        <w:trPr>
          <w:trHeight w:val="3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Úspešne na trhu práce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40</w:t>
            </w:r>
          </w:p>
        </w:tc>
      </w:tr>
      <w:tr w:rsidR="00197640">
        <w:trPr>
          <w:trHeight w:val="3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Šanca na zamestnanie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0</w:t>
            </w:r>
          </w:p>
        </w:tc>
      </w:tr>
      <w:tr w:rsidR="00197640">
        <w:trPr>
          <w:trHeight w:val="3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NP Chceme byť aktívni na trhu práce (50+)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40</w:t>
            </w:r>
          </w:p>
        </w:tc>
      </w:tr>
      <w:tr w:rsidR="00197640">
        <w:trPr>
          <w:trHeight w:val="3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BAZ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 xml:space="preserve">     800 ●</w:t>
            </w:r>
          </w:p>
        </w:tc>
      </w:tr>
      <w:tr w:rsidR="00197640">
        <w:trPr>
          <w:trHeight w:val="33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Iné projekty a programy (doplňte)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640" w:rsidRDefault="00323A4C">
            <w:pPr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0</w:t>
            </w:r>
          </w:p>
        </w:tc>
      </w:tr>
      <w:tr w:rsidR="00197640">
        <w:trPr>
          <w:trHeight w:val="5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7640" w:rsidRDefault="00323A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2416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7640" w:rsidRDefault="0032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1355</w:t>
            </w:r>
          </w:p>
        </w:tc>
      </w:tr>
    </w:tbl>
    <w:p w:rsidR="00197640" w:rsidRDefault="00323A4C">
      <w:pPr>
        <w:pStyle w:val="Pta"/>
        <w:numPr>
          <w:ilvl w:val="0"/>
          <w:numId w:val="33"/>
        </w:numPr>
      </w:pPr>
      <w:r>
        <w:t xml:space="preserve">Dôvodom zníženého počtu, je zaraďovanie </w:t>
      </w:r>
      <w:proofErr w:type="spellStart"/>
      <w:r>
        <w:t>UoZ</w:t>
      </w:r>
      <w:proofErr w:type="spellEnd"/>
      <w:r>
        <w:t xml:space="preserve"> dlhodobo evidovaných na projekt ZAZ.</w:t>
      </w:r>
    </w:p>
    <w:p w:rsidR="00197640" w:rsidRDefault="00197640">
      <w:pPr>
        <w:pStyle w:val="Odsekzoznamu"/>
        <w:spacing w:after="0" w:line="240" w:lineRule="auto"/>
        <w:ind w:left="567"/>
        <w:contextualSpacing w:val="0"/>
        <w:jc w:val="both"/>
        <w:rPr>
          <w:sz w:val="24"/>
          <w:szCs w:val="24"/>
        </w:rPr>
      </w:pPr>
    </w:p>
    <w:p w:rsidR="00197640" w:rsidRDefault="00323A4C">
      <w:pPr>
        <w:pStyle w:val="Odsekzoznamu"/>
        <w:numPr>
          <w:ilvl w:val="0"/>
          <w:numId w:val="19"/>
        </w:numPr>
        <w:spacing w:after="0" w:line="240" w:lineRule="auto"/>
        <w:ind w:left="357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Odpočet plnenia RPZ</w:t>
      </w:r>
    </w:p>
    <w:p w:rsidR="00197640" w:rsidRDefault="00323A4C">
      <w:pPr>
        <w:pStyle w:val="Odsekzoznamu"/>
        <w:numPr>
          <w:ilvl w:val="0"/>
          <w:numId w:val="29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periodicita  odpočtu:  polročne</w:t>
      </w:r>
    </w:p>
    <w:p w:rsidR="00197640" w:rsidRDefault="00323A4C">
      <w:pPr>
        <w:pStyle w:val="Odsekzoznamu"/>
        <w:numPr>
          <w:ilvl w:val="0"/>
          <w:numId w:val="29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termíny zasielania odpočtu: 20.2.2017 (za celý rok 2016), 15.8.2017 (odpočet k polroku 2017)</w:t>
      </w:r>
    </w:p>
    <w:sectPr w:rsidR="00197640">
      <w:footerReference w:type="default" r:id="rId9"/>
      <w:headerReference w:type="first" r:id="rId10"/>
      <w:footerReference w:type="first" r:id="rId11"/>
      <w:pgSz w:w="11906" w:h="16838"/>
      <w:pgMar w:top="1418" w:right="1134" w:bottom="992" w:left="1276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81" w:rsidRDefault="004B3F81">
      <w:r>
        <w:separator/>
      </w:r>
    </w:p>
  </w:endnote>
  <w:endnote w:type="continuationSeparator" w:id="0">
    <w:p w:rsidR="004B3F81" w:rsidRDefault="004B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876"/>
      <w:docPartObj>
        <w:docPartGallery w:val="Page Numbers (Bottom of Page)"/>
        <w:docPartUnique/>
      </w:docPartObj>
    </w:sdtPr>
    <w:sdtEndPr/>
    <w:sdtContent>
      <w:p w:rsidR="00197640" w:rsidRDefault="00323A4C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2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60455"/>
      <w:docPartObj>
        <w:docPartGallery w:val="Page Numbers (Bottom of Page)"/>
        <w:docPartUnique/>
      </w:docPartObj>
    </w:sdtPr>
    <w:sdtEndPr/>
    <w:sdtContent>
      <w:p w:rsidR="00197640" w:rsidRDefault="00323A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ED">
          <w:rPr>
            <w:noProof/>
          </w:rPr>
          <w:t>1</w:t>
        </w:r>
        <w:r>
          <w:fldChar w:fldCharType="end"/>
        </w:r>
      </w:p>
    </w:sdtContent>
  </w:sdt>
  <w:p w:rsidR="00197640" w:rsidRDefault="001976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81" w:rsidRDefault="004B3F81">
      <w:r>
        <w:separator/>
      </w:r>
    </w:p>
  </w:footnote>
  <w:footnote w:type="continuationSeparator" w:id="0">
    <w:p w:rsidR="004B3F81" w:rsidRDefault="004B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40" w:rsidRDefault="00323A4C">
    <w:pPr>
      <w:jc w:val="center"/>
      <w:rPr>
        <w:sz w:val="36"/>
        <w:szCs w:val="36"/>
      </w:rPr>
    </w:pPr>
    <w:r>
      <w:rPr>
        <w:sz w:val="36"/>
        <w:szCs w:val="36"/>
      </w:rPr>
      <w:t>ÚRAD PRÁCE, SOCIÁLNYCH VECÍ A RODINY ZVOLEN</w:t>
    </w:r>
  </w:p>
  <w:p w:rsidR="00197640" w:rsidRDefault="001976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F16"/>
    <w:multiLevelType w:val="hybridMultilevel"/>
    <w:tmpl w:val="C032CE44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04C"/>
    <w:multiLevelType w:val="hybridMultilevel"/>
    <w:tmpl w:val="6442B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5EB8"/>
    <w:multiLevelType w:val="hybridMultilevel"/>
    <w:tmpl w:val="F3243226"/>
    <w:lvl w:ilvl="0" w:tplc="8664509A">
      <w:start w:val="1"/>
      <w:numFmt w:val="bullet"/>
      <w:lvlText w:val="­"/>
      <w:lvlJc w:val="left"/>
      <w:pPr>
        <w:ind w:left="1429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C3900"/>
    <w:multiLevelType w:val="hybridMultilevel"/>
    <w:tmpl w:val="87AE9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6877"/>
    <w:multiLevelType w:val="hybridMultilevel"/>
    <w:tmpl w:val="A844A5CE"/>
    <w:lvl w:ilvl="0" w:tplc="2FF41338">
      <w:numFmt w:val="bullet"/>
      <w:lvlText w:val="-"/>
      <w:lvlJc w:val="left"/>
      <w:pPr>
        <w:ind w:left="98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>
    <w:nsid w:val="16B973C0"/>
    <w:multiLevelType w:val="hybridMultilevel"/>
    <w:tmpl w:val="CFDA70CC"/>
    <w:lvl w:ilvl="0" w:tplc="CA00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5A32"/>
    <w:multiLevelType w:val="hybridMultilevel"/>
    <w:tmpl w:val="8F9E0CF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56B9"/>
    <w:multiLevelType w:val="hybridMultilevel"/>
    <w:tmpl w:val="917EF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1259A"/>
    <w:multiLevelType w:val="hybridMultilevel"/>
    <w:tmpl w:val="8848D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18D3"/>
    <w:multiLevelType w:val="hybridMultilevel"/>
    <w:tmpl w:val="81CCF7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5E385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C02A9"/>
    <w:multiLevelType w:val="hybridMultilevel"/>
    <w:tmpl w:val="9022CCA4"/>
    <w:lvl w:ilvl="0" w:tplc="1312E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6EE8"/>
    <w:multiLevelType w:val="hybridMultilevel"/>
    <w:tmpl w:val="BF28EEB8"/>
    <w:lvl w:ilvl="0" w:tplc="98D49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5DB9"/>
    <w:multiLevelType w:val="hybridMultilevel"/>
    <w:tmpl w:val="B5087BDC"/>
    <w:lvl w:ilvl="0" w:tplc="59A8E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10D5D"/>
    <w:multiLevelType w:val="hybridMultilevel"/>
    <w:tmpl w:val="5F8A914C"/>
    <w:lvl w:ilvl="0" w:tplc="38FC66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4B41FA0"/>
    <w:multiLevelType w:val="hybridMultilevel"/>
    <w:tmpl w:val="D3EEC90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6B61F11"/>
    <w:multiLevelType w:val="hybridMultilevel"/>
    <w:tmpl w:val="8EA8268A"/>
    <w:lvl w:ilvl="0" w:tplc="D37CC66A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2B1814"/>
    <w:multiLevelType w:val="hybridMultilevel"/>
    <w:tmpl w:val="897AB598"/>
    <w:lvl w:ilvl="0" w:tplc="D7E4D024">
      <w:start w:val="4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A6D2BF3"/>
    <w:multiLevelType w:val="hybridMultilevel"/>
    <w:tmpl w:val="C178C86E"/>
    <w:lvl w:ilvl="0" w:tplc="473A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3028C"/>
    <w:multiLevelType w:val="hybridMultilevel"/>
    <w:tmpl w:val="C9067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1C3A"/>
    <w:multiLevelType w:val="hybridMultilevel"/>
    <w:tmpl w:val="795EA31C"/>
    <w:lvl w:ilvl="0" w:tplc="29BA1D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421A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ED11F3"/>
    <w:multiLevelType w:val="hybridMultilevel"/>
    <w:tmpl w:val="37644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439"/>
    <w:multiLevelType w:val="hybridMultilevel"/>
    <w:tmpl w:val="37AA0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F0E15"/>
    <w:multiLevelType w:val="hybridMultilevel"/>
    <w:tmpl w:val="A5F65728"/>
    <w:lvl w:ilvl="0" w:tplc="AE929F66">
      <w:start w:val="4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41A477A2"/>
    <w:multiLevelType w:val="hybridMultilevel"/>
    <w:tmpl w:val="ABA2E30A"/>
    <w:lvl w:ilvl="0" w:tplc="C7C6A7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54FD4"/>
    <w:multiLevelType w:val="hybridMultilevel"/>
    <w:tmpl w:val="4968919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9389E"/>
    <w:multiLevelType w:val="hybridMultilevel"/>
    <w:tmpl w:val="C07A9334"/>
    <w:lvl w:ilvl="0" w:tplc="55229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B128F"/>
    <w:multiLevelType w:val="hybridMultilevel"/>
    <w:tmpl w:val="7862AD54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40453F8"/>
    <w:multiLevelType w:val="hybridMultilevel"/>
    <w:tmpl w:val="3DE28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96F5B"/>
    <w:multiLevelType w:val="hybridMultilevel"/>
    <w:tmpl w:val="C8286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A3DF8"/>
    <w:multiLevelType w:val="multilevel"/>
    <w:tmpl w:val="3ED4A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630843"/>
    <w:multiLevelType w:val="hybridMultilevel"/>
    <w:tmpl w:val="E5E64280"/>
    <w:lvl w:ilvl="0" w:tplc="5C488A6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0"/>
  </w:num>
  <w:num w:numId="6">
    <w:abstractNumId w:val="7"/>
  </w:num>
  <w:num w:numId="7">
    <w:abstractNumId w:val="26"/>
  </w:num>
  <w:num w:numId="8">
    <w:abstractNumId w:val="29"/>
  </w:num>
  <w:num w:numId="9">
    <w:abstractNumId w:val="12"/>
  </w:num>
  <w:num w:numId="10">
    <w:abstractNumId w:val="5"/>
  </w:num>
  <w:num w:numId="11">
    <w:abstractNumId w:val="24"/>
  </w:num>
  <w:num w:numId="12">
    <w:abstractNumId w:val="21"/>
  </w:num>
  <w:num w:numId="13">
    <w:abstractNumId w:val="0"/>
  </w:num>
  <w:num w:numId="14">
    <w:abstractNumId w:val="28"/>
  </w:num>
  <w:num w:numId="15">
    <w:abstractNumId w:val="18"/>
  </w:num>
  <w:num w:numId="16">
    <w:abstractNumId w:val="20"/>
  </w:num>
  <w:num w:numId="17">
    <w:abstractNumId w:val="25"/>
  </w:num>
  <w:num w:numId="18">
    <w:abstractNumId w:val="27"/>
  </w:num>
  <w:num w:numId="19">
    <w:abstractNumId w:val="3"/>
  </w:num>
  <w:num w:numId="20">
    <w:abstractNumId w:val="22"/>
  </w:num>
  <w:num w:numId="21">
    <w:abstractNumId w:val="1"/>
  </w:num>
  <w:num w:numId="22">
    <w:abstractNumId w:val="30"/>
  </w:num>
  <w:num w:numId="23">
    <w:abstractNumId w:val="9"/>
  </w:num>
  <w:num w:numId="24">
    <w:abstractNumId w:val="14"/>
  </w:num>
  <w:num w:numId="25">
    <w:abstractNumId w:val="6"/>
  </w:num>
  <w:num w:numId="26">
    <w:abstractNumId w:val="2"/>
  </w:num>
  <w:num w:numId="27">
    <w:abstractNumId w:val="4"/>
  </w:num>
  <w:num w:numId="28">
    <w:abstractNumId w:val="23"/>
  </w:num>
  <w:num w:numId="29">
    <w:abstractNumId w:val="16"/>
  </w:num>
  <w:num w:numId="30">
    <w:abstractNumId w:val="31"/>
  </w:num>
  <w:num w:numId="31">
    <w:abstractNumId w:val="13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40"/>
    <w:rsid w:val="00105DB2"/>
    <w:rsid w:val="0014193A"/>
    <w:rsid w:val="00197640"/>
    <w:rsid w:val="00323A4C"/>
    <w:rsid w:val="004B3F81"/>
    <w:rsid w:val="00541B4F"/>
    <w:rsid w:val="006D2174"/>
    <w:rsid w:val="00834E84"/>
    <w:rsid w:val="009B33A4"/>
    <w:rsid w:val="00B5741D"/>
    <w:rsid w:val="00D212ED"/>
    <w:rsid w:val="00F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">
    <w:name w:val="Základní text"/>
    <w:basedOn w:val="Default"/>
    <w:next w:val="Default"/>
    <w:uiPriority w:val="99"/>
    <w:rPr>
      <w:color w:val="auto"/>
    </w:rPr>
  </w:style>
  <w:style w:type="paragraph" w:customStyle="1" w:styleId="Normln">
    <w:name w:val="Normální"/>
    <w:basedOn w:val="Default"/>
    <w:next w:val="Default"/>
    <w:uiPriority w:val="99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">
    <w:name w:val="Základní text"/>
    <w:basedOn w:val="Default"/>
    <w:next w:val="Default"/>
    <w:uiPriority w:val="99"/>
    <w:rPr>
      <w:color w:val="auto"/>
    </w:rPr>
  </w:style>
  <w:style w:type="paragraph" w:customStyle="1" w:styleId="Normln">
    <w:name w:val="Normální"/>
    <w:basedOn w:val="Default"/>
    <w:next w:val="Default"/>
    <w:uiPriority w:val="99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9867-DEFE-4BCF-AA7D-F499EEC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PetrasovaA</cp:lastModifiedBy>
  <cp:revision>2</cp:revision>
  <cp:lastPrinted>2017-02-15T13:29:00Z</cp:lastPrinted>
  <dcterms:created xsi:type="dcterms:W3CDTF">2017-06-21T11:04:00Z</dcterms:created>
  <dcterms:modified xsi:type="dcterms:W3CDTF">2017-06-21T11:04:00Z</dcterms:modified>
</cp:coreProperties>
</file>