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17C" w:rsidRDefault="00A743D8">
      <w:pPr>
        <w:pStyle w:val="Odsekzoznamu"/>
        <w:pBdr>
          <w:top w:val="single" w:sz="4" w:space="1" w:color="auto"/>
          <w:left w:val="single" w:sz="4" w:space="4" w:color="auto"/>
          <w:bottom w:val="single" w:sz="4" w:space="1" w:color="auto"/>
          <w:right w:val="single" w:sz="4" w:space="4" w:color="auto"/>
        </w:pBdr>
        <w:spacing w:before="120" w:after="0" w:line="240" w:lineRule="auto"/>
        <w:ind w:left="357"/>
        <w:contextualSpacing w:val="0"/>
        <w:jc w:val="center"/>
        <w:rPr>
          <w:b/>
          <w:sz w:val="26"/>
          <w:szCs w:val="26"/>
        </w:rPr>
      </w:pPr>
      <w:r>
        <w:rPr>
          <w:b/>
          <w:sz w:val="26"/>
          <w:szCs w:val="26"/>
        </w:rPr>
        <w:t xml:space="preserve">Ústredie práce, sociálnych vecí a rodiny </w:t>
      </w:r>
    </w:p>
    <w:p w:rsidR="00A1017C" w:rsidRDefault="00A743D8">
      <w:pPr>
        <w:pStyle w:val="Odsekzoznamu"/>
        <w:pBdr>
          <w:top w:val="single" w:sz="4" w:space="1" w:color="auto"/>
          <w:left w:val="single" w:sz="4" w:space="4" w:color="auto"/>
          <w:bottom w:val="single" w:sz="4" w:space="1" w:color="auto"/>
          <w:right w:val="single" w:sz="4" w:space="4" w:color="auto"/>
        </w:pBdr>
        <w:spacing w:after="120" w:line="240" w:lineRule="auto"/>
        <w:ind w:left="357"/>
        <w:contextualSpacing w:val="0"/>
        <w:jc w:val="center"/>
        <w:rPr>
          <w:sz w:val="16"/>
          <w:szCs w:val="16"/>
        </w:rPr>
      </w:pPr>
      <w:r>
        <w:rPr>
          <w:sz w:val="24"/>
          <w:szCs w:val="24"/>
        </w:rPr>
        <w:t>Úrad práce, sociálnych vecí a rodiny Zvolen</w:t>
      </w:r>
    </w:p>
    <w:p w:rsidR="00A1017C" w:rsidRDefault="00A743D8">
      <w:pPr>
        <w:jc w:val="center"/>
        <w:rPr>
          <w:sz w:val="24"/>
          <w:szCs w:val="24"/>
        </w:rPr>
      </w:pPr>
      <w:r>
        <w:rPr>
          <w:sz w:val="24"/>
          <w:szCs w:val="24"/>
        </w:rPr>
        <w:t>Analýz</w:t>
      </w:r>
      <w:r w:rsidR="00EB369A">
        <w:rPr>
          <w:sz w:val="24"/>
          <w:szCs w:val="24"/>
        </w:rPr>
        <w:t>a</w:t>
      </w:r>
      <w:r>
        <w:rPr>
          <w:sz w:val="24"/>
          <w:szCs w:val="24"/>
        </w:rPr>
        <w:t xml:space="preserve"> a prognóz</w:t>
      </w:r>
      <w:r w:rsidR="00EB369A">
        <w:rPr>
          <w:sz w:val="24"/>
          <w:szCs w:val="24"/>
        </w:rPr>
        <w:t>a</w:t>
      </w:r>
      <w:r>
        <w:rPr>
          <w:sz w:val="24"/>
          <w:szCs w:val="24"/>
        </w:rPr>
        <w:t xml:space="preserve"> o vývoji trhu práce vo svojom územnom obvode podľa § 13 písm. </w:t>
      </w:r>
      <w:proofErr w:type="spellStart"/>
      <w:r>
        <w:rPr>
          <w:sz w:val="24"/>
          <w:szCs w:val="24"/>
        </w:rPr>
        <w:t>aa</w:t>
      </w:r>
      <w:proofErr w:type="spellEnd"/>
      <w:r>
        <w:rPr>
          <w:sz w:val="24"/>
          <w:szCs w:val="24"/>
        </w:rPr>
        <w:t>)  zákona o službách zamestnanosti a vyhodnotenie uplatňovania aktívnych opatrení na trhu práce v územnom obvode podľa § 13 písm. ah) zákona o službách zamestnanosti</w:t>
      </w:r>
    </w:p>
    <w:p w:rsidR="00A1017C" w:rsidRDefault="00A743D8">
      <w:pPr>
        <w:pBdr>
          <w:bottom w:val="single" w:sz="4" w:space="1" w:color="auto"/>
        </w:pBdr>
        <w:jc w:val="center"/>
        <w:rPr>
          <w:b/>
          <w:sz w:val="24"/>
          <w:szCs w:val="24"/>
        </w:rPr>
      </w:pPr>
      <w:r>
        <w:rPr>
          <w:b/>
          <w:sz w:val="24"/>
          <w:szCs w:val="24"/>
        </w:rPr>
        <w:t>Regionálny plán zamestnanosti na rok 2022</w:t>
      </w:r>
    </w:p>
    <w:p w:rsidR="00A1017C" w:rsidRDefault="00A743D8">
      <w:pPr>
        <w:pStyle w:val="Odsekzoznamu"/>
        <w:numPr>
          <w:ilvl w:val="0"/>
          <w:numId w:val="19"/>
        </w:numPr>
        <w:spacing w:before="120" w:after="0" w:line="240" w:lineRule="auto"/>
        <w:ind w:left="284" w:hanging="284"/>
        <w:contextualSpacing w:val="0"/>
        <w:jc w:val="both"/>
        <w:rPr>
          <w:b/>
          <w:sz w:val="24"/>
          <w:szCs w:val="24"/>
        </w:rPr>
      </w:pPr>
      <w:r>
        <w:rPr>
          <w:b/>
          <w:sz w:val="24"/>
          <w:szCs w:val="24"/>
        </w:rPr>
        <w:t xml:space="preserve">Analýza trhu práce </w:t>
      </w:r>
      <w:r>
        <w:rPr>
          <w:sz w:val="24"/>
          <w:szCs w:val="24"/>
        </w:rPr>
        <w:t>(ďalej len „TP“)</w:t>
      </w:r>
      <w:r>
        <w:rPr>
          <w:b/>
          <w:sz w:val="24"/>
          <w:szCs w:val="24"/>
        </w:rPr>
        <w:t xml:space="preserve"> </w:t>
      </w:r>
      <w:r w:rsidR="00715A48">
        <w:rPr>
          <w:b/>
          <w:sz w:val="24"/>
          <w:szCs w:val="24"/>
        </w:rPr>
        <w:t>v</w:t>
      </w:r>
      <w:bookmarkStart w:id="0" w:name="_GoBack"/>
      <w:bookmarkEnd w:id="0"/>
      <w:r>
        <w:rPr>
          <w:b/>
          <w:sz w:val="24"/>
          <w:szCs w:val="24"/>
        </w:rPr>
        <w:t xml:space="preserve"> územnom obvode Úradu práce, sociálnych vecí a rodiny Zvolen </w:t>
      </w:r>
      <w:r>
        <w:rPr>
          <w:sz w:val="24"/>
          <w:szCs w:val="24"/>
        </w:rPr>
        <w:t>(ďalej len „úrad“)</w:t>
      </w:r>
    </w:p>
    <w:p w:rsidR="00A1017C" w:rsidRDefault="00A1017C">
      <w:pPr>
        <w:pStyle w:val="Odsekzoznamu"/>
        <w:spacing w:after="0" w:line="240" w:lineRule="auto"/>
        <w:ind w:left="644"/>
        <w:contextualSpacing w:val="0"/>
        <w:jc w:val="both"/>
        <w:rPr>
          <w:i/>
          <w:sz w:val="24"/>
          <w:szCs w:val="24"/>
        </w:rPr>
      </w:pPr>
    </w:p>
    <w:p w:rsidR="00A1017C" w:rsidRDefault="00A743D8">
      <w:pPr>
        <w:jc w:val="center"/>
        <w:rPr>
          <w:rFonts w:cs="Tahoma"/>
          <w:sz w:val="24"/>
          <w:szCs w:val="24"/>
          <w:u w:val="single"/>
        </w:rPr>
      </w:pPr>
      <w:r>
        <w:rPr>
          <w:rFonts w:cs="Tahoma"/>
          <w:sz w:val="24"/>
          <w:szCs w:val="24"/>
          <w:u w:val="single"/>
        </w:rPr>
        <w:t>Zhodnotenie vývoja na trhu práce v roku 2021 v územnom obvode ÚPSVR Zvolen</w:t>
      </w:r>
    </w:p>
    <w:p w:rsidR="00A1017C" w:rsidRDefault="00A1017C">
      <w:pPr>
        <w:jc w:val="both"/>
        <w:rPr>
          <w:rFonts w:cs="Tahoma"/>
          <w:sz w:val="24"/>
          <w:szCs w:val="24"/>
          <w:u w:val="single"/>
        </w:rPr>
      </w:pPr>
    </w:p>
    <w:p w:rsidR="00A1017C" w:rsidRDefault="004C0713">
      <w:pPr>
        <w:spacing w:after="120"/>
        <w:jc w:val="both"/>
        <w:rPr>
          <w:rFonts w:cs="Tahoma"/>
          <w:sz w:val="24"/>
          <w:szCs w:val="24"/>
        </w:rPr>
      </w:pPr>
      <w:bookmarkStart w:id="1" w:name="OLE_LINK1"/>
      <w:bookmarkStart w:id="2" w:name="OLE_LINK2"/>
      <w:bookmarkStart w:id="3" w:name="OLE_LINK3"/>
      <w:r>
        <w:rPr>
          <w:rFonts w:cs="Tahoma"/>
          <w:sz w:val="24"/>
          <w:szCs w:val="24"/>
        </w:rPr>
        <w:t xml:space="preserve">    </w:t>
      </w:r>
      <w:r w:rsidR="00A743D8">
        <w:rPr>
          <w:rFonts w:cs="Tahoma"/>
          <w:sz w:val="24"/>
          <w:szCs w:val="24"/>
        </w:rPr>
        <w:t xml:space="preserve">Vývoj na trhu práce v územnom obvode ÚPSVR Zvolen, ktorý tvoria okresy Zvolen, Detva a Krupina, mal v roku 2021 pozitívny trend a to aj napriek pretrvávajúcej </w:t>
      </w:r>
      <w:proofErr w:type="spellStart"/>
      <w:r w:rsidR="00A743D8">
        <w:rPr>
          <w:rFonts w:cs="Tahoma"/>
          <w:sz w:val="24"/>
          <w:szCs w:val="24"/>
        </w:rPr>
        <w:t>pandemickej</w:t>
      </w:r>
      <w:proofErr w:type="spellEnd"/>
      <w:r w:rsidR="00A743D8">
        <w:rPr>
          <w:rFonts w:cs="Tahoma"/>
          <w:sz w:val="24"/>
          <w:szCs w:val="24"/>
        </w:rPr>
        <w:t xml:space="preserve"> situácii. Miera evidovanej nezamestnanosti klesla  z</w:t>
      </w:r>
      <w:r w:rsidR="00E25197">
        <w:rPr>
          <w:rFonts w:cs="Tahoma"/>
          <w:sz w:val="24"/>
          <w:szCs w:val="24"/>
        </w:rPr>
        <w:t>o</w:t>
      </w:r>
      <w:r w:rsidR="00A743D8">
        <w:rPr>
          <w:rFonts w:cs="Tahoma"/>
          <w:sz w:val="24"/>
          <w:szCs w:val="24"/>
        </w:rPr>
        <w:t xml:space="preserve"> 6,23 % k 31.12.2020 na 5,49 % k 31.12.2021, čo predstavuje pokles o 0,74 percentuálneho bodu. V absolútnom vyjadrení je to pokles o  651 disponibilných uchádzačov o zamestnanie. </w:t>
      </w:r>
      <w:r w:rsidR="00A743D8">
        <w:rPr>
          <w:rFonts w:cs="Tahoma"/>
          <w:sz w:val="24"/>
          <w:szCs w:val="24"/>
        </w:rPr>
        <w:tab/>
        <w:t xml:space="preserve">Pozitívny vývoj v územnom obvode ÚPSVR Zvolen bol zaznamenaný  aj v oblasti voľných pracovných miest, keď celkový prítok v roku 2021 dosiahol 4 033 voľných pracovných miest, čo je nárast o 174 voľných pracovných miest oproti roku 2020 a zatiaľ najvyšší počet voľných pracovných miest za posledných 5 rokov. Dôvodom navýšenia voľných pracovných miest v r. 2021 bola skutočnosť,  že noví investori aj napriek kríze spôsobenej  COVID-19 prijímali nových zamestnancov  a to z dôvodu navýšenia  objemu výroby. Trh práce sa podarilo oživiť aj vďaka projektom rezortu práce, ktorými sa jednak podarilo udržať existujúce pracovné miesta, ako aj vytvárať nové. Podarilo sa nám znížiť aj počet mladých uchádzačov o zamestnanie do 29 rokov oproti minulému roku z 1 003 uchádzačov na 721 uchádzačov o zamestnanie. V roku 2021 sme zaznamenali taktiež pozitívny trend v oblasti umiestňovania uchádzačov o zamestnanie poberateľov </w:t>
      </w:r>
      <w:proofErr w:type="spellStart"/>
      <w:r w:rsidR="00A743D8">
        <w:rPr>
          <w:rFonts w:cs="Tahoma"/>
          <w:sz w:val="24"/>
          <w:szCs w:val="24"/>
        </w:rPr>
        <w:t>DvHN</w:t>
      </w:r>
      <w:proofErr w:type="spellEnd"/>
      <w:r w:rsidR="00A743D8">
        <w:rPr>
          <w:rFonts w:cs="Tahoma"/>
          <w:sz w:val="24"/>
          <w:szCs w:val="24"/>
        </w:rPr>
        <w:t xml:space="preserve"> na trh práce, kde bolo umiestnených 322 uchádzačov o zamestnanie, čo je nárast o 14 uchádzačov o zamestnanie oproti roku 2020. </w:t>
      </w:r>
      <w:bookmarkEnd w:id="1"/>
      <w:bookmarkEnd w:id="2"/>
      <w:bookmarkEnd w:id="3"/>
    </w:p>
    <w:p w:rsidR="004C0713" w:rsidRDefault="004C0713">
      <w:pPr>
        <w:spacing w:after="120"/>
        <w:jc w:val="both"/>
        <w:rPr>
          <w:rFonts w:cs="Tahoma"/>
          <w:sz w:val="24"/>
          <w:szCs w:val="24"/>
        </w:rPr>
      </w:pPr>
    </w:p>
    <w:p w:rsidR="00A1017C" w:rsidRDefault="00A743D8">
      <w:pPr>
        <w:spacing w:after="120"/>
        <w:jc w:val="both"/>
        <w:rPr>
          <w:rFonts w:cs="Tahoma"/>
          <w:sz w:val="24"/>
          <w:szCs w:val="24"/>
        </w:rPr>
      </w:pPr>
      <w:r>
        <w:rPr>
          <w:rFonts w:cs="Tahoma"/>
          <w:sz w:val="24"/>
          <w:szCs w:val="24"/>
        </w:rPr>
        <w:t xml:space="preserve">Stručné zanalyzovanie využívania aktívnych opatrení na trhu práce v roku 2021 </w:t>
      </w:r>
    </w:p>
    <w:p w:rsidR="00A1017C" w:rsidRDefault="00A1017C">
      <w:pPr>
        <w:spacing w:after="120"/>
        <w:jc w:val="both"/>
        <w:rPr>
          <w:rFonts w:cs="Tahoma"/>
          <w:sz w:val="24"/>
          <w:szCs w:val="24"/>
        </w:rPr>
      </w:pPr>
    </w:p>
    <w:tbl>
      <w:tblPr>
        <w:tblStyle w:val="Mriekatabuky"/>
        <w:tblW w:w="0" w:type="auto"/>
        <w:tblLook w:val="04A0" w:firstRow="1" w:lastRow="0" w:firstColumn="1" w:lastColumn="0" w:noHBand="0" w:noVBand="1"/>
      </w:tblPr>
      <w:tblGrid>
        <w:gridCol w:w="5439"/>
        <w:gridCol w:w="2382"/>
        <w:gridCol w:w="1666"/>
      </w:tblGrid>
      <w:tr w:rsidR="00A1017C">
        <w:tc>
          <w:tcPr>
            <w:tcW w:w="5439" w:type="dxa"/>
          </w:tcPr>
          <w:p w:rsidR="00A1017C" w:rsidRDefault="00A743D8">
            <w:pPr>
              <w:spacing w:after="120"/>
              <w:jc w:val="center"/>
              <w:rPr>
                <w:rFonts w:cs="Tahoma"/>
                <w:sz w:val="24"/>
                <w:szCs w:val="24"/>
              </w:rPr>
            </w:pPr>
            <w:r>
              <w:rPr>
                <w:rFonts w:cs="Tahoma"/>
                <w:sz w:val="24"/>
                <w:szCs w:val="24"/>
              </w:rPr>
              <w:t>Názov projektu (nástroja AOTP)</w:t>
            </w:r>
          </w:p>
        </w:tc>
        <w:tc>
          <w:tcPr>
            <w:tcW w:w="2382" w:type="dxa"/>
          </w:tcPr>
          <w:p w:rsidR="00A1017C" w:rsidRDefault="00A743D8">
            <w:pPr>
              <w:spacing w:after="120"/>
              <w:jc w:val="center"/>
              <w:rPr>
                <w:rFonts w:cs="Tahoma"/>
                <w:sz w:val="24"/>
                <w:szCs w:val="24"/>
              </w:rPr>
            </w:pPr>
            <w:r>
              <w:rPr>
                <w:rFonts w:cs="Tahoma"/>
                <w:sz w:val="24"/>
                <w:szCs w:val="24"/>
              </w:rPr>
              <w:t>Počet zaradených klientov</w:t>
            </w:r>
          </w:p>
        </w:tc>
        <w:tc>
          <w:tcPr>
            <w:tcW w:w="1666" w:type="dxa"/>
          </w:tcPr>
          <w:p w:rsidR="00A1017C" w:rsidRDefault="00A743D8">
            <w:pPr>
              <w:spacing w:after="120"/>
              <w:jc w:val="center"/>
              <w:rPr>
                <w:rFonts w:cs="Tahoma"/>
                <w:sz w:val="24"/>
                <w:szCs w:val="24"/>
              </w:rPr>
            </w:pPr>
            <w:proofErr w:type="spellStart"/>
            <w:r>
              <w:rPr>
                <w:rFonts w:cs="Tahoma"/>
                <w:sz w:val="24"/>
                <w:szCs w:val="24"/>
              </w:rPr>
              <w:t>Zazáväzkovaný</w:t>
            </w:r>
            <w:proofErr w:type="spellEnd"/>
            <w:r>
              <w:rPr>
                <w:rFonts w:cs="Tahoma"/>
                <w:sz w:val="24"/>
                <w:szCs w:val="24"/>
              </w:rPr>
              <w:t xml:space="preserve"> príspevok</w:t>
            </w:r>
          </w:p>
        </w:tc>
      </w:tr>
      <w:tr w:rsidR="00A1017C">
        <w:tc>
          <w:tcPr>
            <w:tcW w:w="5439" w:type="dxa"/>
          </w:tcPr>
          <w:p w:rsidR="00A1017C" w:rsidRDefault="00A743D8">
            <w:pPr>
              <w:spacing w:after="120"/>
              <w:jc w:val="both"/>
              <w:rPr>
                <w:rFonts w:cs="Tahoma"/>
                <w:sz w:val="24"/>
                <w:szCs w:val="24"/>
              </w:rPr>
            </w:pPr>
            <w:r>
              <w:rPr>
                <w:rFonts w:cs="Tahoma"/>
                <w:sz w:val="24"/>
                <w:szCs w:val="24"/>
              </w:rPr>
              <w:t>NP Chyť sa svojej šance</w:t>
            </w:r>
          </w:p>
        </w:tc>
        <w:tc>
          <w:tcPr>
            <w:tcW w:w="2382" w:type="dxa"/>
          </w:tcPr>
          <w:p w:rsidR="00A1017C" w:rsidRDefault="00A743D8">
            <w:pPr>
              <w:spacing w:after="120"/>
              <w:rPr>
                <w:rFonts w:cs="Tahoma"/>
                <w:sz w:val="24"/>
                <w:szCs w:val="24"/>
              </w:rPr>
            </w:pPr>
            <w:r>
              <w:rPr>
                <w:rFonts w:cs="Tahoma"/>
                <w:sz w:val="24"/>
                <w:szCs w:val="24"/>
              </w:rPr>
              <w:t>25</w:t>
            </w:r>
          </w:p>
        </w:tc>
        <w:tc>
          <w:tcPr>
            <w:tcW w:w="1666" w:type="dxa"/>
          </w:tcPr>
          <w:p w:rsidR="00A1017C" w:rsidRDefault="00A743D8">
            <w:pPr>
              <w:spacing w:after="120"/>
              <w:rPr>
                <w:rFonts w:cs="Tahoma"/>
                <w:sz w:val="24"/>
                <w:szCs w:val="24"/>
              </w:rPr>
            </w:pPr>
            <w:r>
              <w:rPr>
                <w:rFonts w:cs="Tahoma"/>
                <w:sz w:val="24"/>
                <w:szCs w:val="24"/>
              </w:rPr>
              <w:t>115 552,12</w:t>
            </w:r>
          </w:p>
        </w:tc>
      </w:tr>
      <w:tr w:rsidR="00A1017C">
        <w:tc>
          <w:tcPr>
            <w:tcW w:w="5439" w:type="dxa"/>
          </w:tcPr>
          <w:p w:rsidR="00A1017C" w:rsidRDefault="00A743D8">
            <w:pPr>
              <w:spacing w:after="120"/>
              <w:jc w:val="both"/>
              <w:rPr>
                <w:rFonts w:cs="Tahoma"/>
                <w:sz w:val="24"/>
                <w:szCs w:val="24"/>
              </w:rPr>
            </w:pPr>
            <w:r>
              <w:rPr>
                <w:rFonts w:cs="Tahoma"/>
                <w:sz w:val="24"/>
                <w:szCs w:val="24"/>
              </w:rPr>
              <w:t xml:space="preserve">NP Podpora zamestnanosti </w:t>
            </w:r>
          </w:p>
        </w:tc>
        <w:tc>
          <w:tcPr>
            <w:tcW w:w="2382" w:type="dxa"/>
          </w:tcPr>
          <w:p w:rsidR="00A1017C" w:rsidRDefault="00A743D8">
            <w:pPr>
              <w:spacing w:after="120"/>
              <w:rPr>
                <w:rFonts w:cs="Tahoma"/>
                <w:sz w:val="24"/>
                <w:szCs w:val="24"/>
              </w:rPr>
            </w:pPr>
            <w:r>
              <w:rPr>
                <w:rFonts w:cs="Tahoma"/>
                <w:sz w:val="24"/>
                <w:szCs w:val="24"/>
              </w:rPr>
              <w:t>428</w:t>
            </w:r>
          </w:p>
        </w:tc>
        <w:tc>
          <w:tcPr>
            <w:tcW w:w="1666" w:type="dxa"/>
          </w:tcPr>
          <w:p w:rsidR="00A1017C" w:rsidRDefault="00A743D8">
            <w:pPr>
              <w:spacing w:after="120"/>
              <w:rPr>
                <w:rFonts w:cs="Tahoma"/>
                <w:sz w:val="24"/>
                <w:szCs w:val="24"/>
              </w:rPr>
            </w:pPr>
            <w:r>
              <w:rPr>
                <w:rFonts w:cs="Tahoma"/>
                <w:sz w:val="24"/>
                <w:szCs w:val="24"/>
              </w:rPr>
              <w:t>470 691,00</w:t>
            </w:r>
          </w:p>
        </w:tc>
      </w:tr>
      <w:tr w:rsidR="00A1017C">
        <w:tc>
          <w:tcPr>
            <w:tcW w:w="5439" w:type="dxa"/>
          </w:tcPr>
          <w:p w:rsidR="00A1017C" w:rsidRDefault="00A743D8">
            <w:pPr>
              <w:spacing w:after="120"/>
              <w:jc w:val="both"/>
              <w:rPr>
                <w:rFonts w:cs="Tahoma"/>
                <w:sz w:val="24"/>
                <w:szCs w:val="24"/>
              </w:rPr>
            </w:pPr>
            <w:r>
              <w:rPr>
                <w:rFonts w:cs="Tahoma"/>
                <w:sz w:val="24"/>
                <w:szCs w:val="24"/>
              </w:rPr>
              <w:t>§ 53 – Príspevok na dochádzku za prácou</w:t>
            </w:r>
          </w:p>
        </w:tc>
        <w:tc>
          <w:tcPr>
            <w:tcW w:w="2382" w:type="dxa"/>
          </w:tcPr>
          <w:p w:rsidR="00A1017C" w:rsidRDefault="00A743D8">
            <w:pPr>
              <w:spacing w:after="120"/>
              <w:rPr>
                <w:rFonts w:cs="Tahoma"/>
                <w:sz w:val="24"/>
                <w:szCs w:val="24"/>
              </w:rPr>
            </w:pPr>
            <w:r>
              <w:rPr>
                <w:rFonts w:cs="Tahoma"/>
                <w:sz w:val="24"/>
                <w:szCs w:val="24"/>
              </w:rPr>
              <w:t>365</w:t>
            </w:r>
          </w:p>
        </w:tc>
        <w:tc>
          <w:tcPr>
            <w:tcW w:w="1666" w:type="dxa"/>
          </w:tcPr>
          <w:p w:rsidR="00A1017C" w:rsidRDefault="00A743D8">
            <w:pPr>
              <w:spacing w:after="120"/>
              <w:rPr>
                <w:rFonts w:cs="Tahoma"/>
                <w:sz w:val="24"/>
                <w:szCs w:val="24"/>
              </w:rPr>
            </w:pPr>
            <w:r>
              <w:rPr>
                <w:rFonts w:cs="Tahoma"/>
                <w:sz w:val="24"/>
                <w:szCs w:val="24"/>
              </w:rPr>
              <w:t>160 823,90</w:t>
            </w:r>
          </w:p>
        </w:tc>
      </w:tr>
      <w:tr w:rsidR="00A1017C">
        <w:tc>
          <w:tcPr>
            <w:tcW w:w="5439" w:type="dxa"/>
          </w:tcPr>
          <w:p w:rsidR="00A1017C" w:rsidRDefault="00A743D8">
            <w:pPr>
              <w:spacing w:after="120"/>
              <w:jc w:val="both"/>
              <w:rPr>
                <w:rFonts w:cs="Tahoma"/>
                <w:sz w:val="24"/>
                <w:szCs w:val="24"/>
              </w:rPr>
            </w:pPr>
            <w:r>
              <w:rPr>
                <w:rFonts w:cs="Tahoma"/>
                <w:sz w:val="24"/>
                <w:szCs w:val="24"/>
              </w:rPr>
              <w:t>§ 53a – Príspevok na podporu mobility za prácou</w:t>
            </w:r>
          </w:p>
        </w:tc>
        <w:tc>
          <w:tcPr>
            <w:tcW w:w="2382" w:type="dxa"/>
          </w:tcPr>
          <w:p w:rsidR="00A1017C" w:rsidRDefault="00A743D8">
            <w:pPr>
              <w:spacing w:after="120"/>
              <w:rPr>
                <w:rFonts w:cs="Tahoma"/>
                <w:sz w:val="24"/>
                <w:szCs w:val="24"/>
              </w:rPr>
            </w:pPr>
            <w:r>
              <w:rPr>
                <w:rFonts w:cs="Tahoma"/>
                <w:sz w:val="24"/>
                <w:szCs w:val="24"/>
              </w:rPr>
              <w:t>4</w:t>
            </w:r>
          </w:p>
        </w:tc>
        <w:tc>
          <w:tcPr>
            <w:tcW w:w="1666" w:type="dxa"/>
          </w:tcPr>
          <w:p w:rsidR="00A1017C" w:rsidRDefault="00A743D8">
            <w:pPr>
              <w:spacing w:after="120"/>
              <w:rPr>
                <w:rFonts w:cs="Tahoma"/>
                <w:sz w:val="24"/>
                <w:szCs w:val="24"/>
              </w:rPr>
            </w:pPr>
            <w:r>
              <w:rPr>
                <w:rFonts w:cs="Tahoma"/>
                <w:sz w:val="24"/>
                <w:szCs w:val="24"/>
              </w:rPr>
              <w:t>6 948, 78</w:t>
            </w:r>
          </w:p>
        </w:tc>
      </w:tr>
      <w:tr w:rsidR="00A1017C">
        <w:tc>
          <w:tcPr>
            <w:tcW w:w="5439" w:type="dxa"/>
          </w:tcPr>
          <w:p w:rsidR="00A1017C" w:rsidRDefault="00A743D8">
            <w:pPr>
              <w:spacing w:after="120"/>
              <w:jc w:val="both"/>
              <w:rPr>
                <w:rFonts w:cs="Tahoma"/>
                <w:sz w:val="24"/>
                <w:szCs w:val="24"/>
              </w:rPr>
            </w:pPr>
            <w:r>
              <w:rPr>
                <w:rFonts w:cs="Tahoma"/>
                <w:sz w:val="24"/>
                <w:szCs w:val="24"/>
              </w:rPr>
              <w:t>§ 53c – Príspevok na presťahovanie za prácou</w:t>
            </w:r>
          </w:p>
        </w:tc>
        <w:tc>
          <w:tcPr>
            <w:tcW w:w="2382" w:type="dxa"/>
          </w:tcPr>
          <w:p w:rsidR="00A1017C" w:rsidRDefault="00A743D8">
            <w:pPr>
              <w:spacing w:after="120"/>
              <w:rPr>
                <w:rFonts w:cs="Tahoma"/>
                <w:sz w:val="24"/>
                <w:szCs w:val="24"/>
              </w:rPr>
            </w:pPr>
            <w:r>
              <w:rPr>
                <w:rFonts w:cs="Tahoma"/>
                <w:sz w:val="24"/>
                <w:szCs w:val="24"/>
              </w:rPr>
              <w:t>3</w:t>
            </w:r>
          </w:p>
        </w:tc>
        <w:tc>
          <w:tcPr>
            <w:tcW w:w="1666" w:type="dxa"/>
          </w:tcPr>
          <w:p w:rsidR="00A1017C" w:rsidRDefault="00A743D8">
            <w:pPr>
              <w:spacing w:after="120"/>
              <w:rPr>
                <w:rFonts w:cs="Tahoma"/>
                <w:sz w:val="24"/>
                <w:szCs w:val="24"/>
              </w:rPr>
            </w:pPr>
            <w:r>
              <w:rPr>
                <w:rFonts w:cs="Tahoma"/>
                <w:sz w:val="24"/>
                <w:szCs w:val="24"/>
              </w:rPr>
              <w:t>8 000,00</w:t>
            </w:r>
          </w:p>
        </w:tc>
      </w:tr>
      <w:tr w:rsidR="00A1017C">
        <w:tc>
          <w:tcPr>
            <w:tcW w:w="5439" w:type="dxa"/>
          </w:tcPr>
          <w:p w:rsidR="00A1017C" w:rsidRDefault="00A743D8">
            <w:pPr>
              <w:spacing w:after="120"/>
              <w:jc w:val="both"/>
              <w:rPr>
                <w:rFonts w:cs="Tahoma"/>
                <w:sz w:val="24"/>
                <w:szCs w:val="24"/>
              </w:rPr>
            </w:pPr>
            <w:r>
              <w:rPr>
                <w:rFonts w:cs="Tahoma"/>
                <w:sz w:val="24"/>
                <w:szCs w:val="24"/>
              </w:rPr>
              <w:t>§ 32</w:t>
            </w:r>
          </w:p>
        </w:tc>
        <w:tc>
          <w:tcPr>
            <w:tcW w:w="2382" w:type="dxa"/>
          </w:tcPr>
          <w:p w:rsidR="00A1017C" w:rsidRDefault="00A743D8">
            <w:pPr>
              <w:spacing w:after="120"/>
              <w:rPr>
                <w:rFonts w:cs="Tahoma"/>
                <w:sz w:val="24"/>
                <w:szCs w:val="24"/>
              </w:rPr>
            </w:pPr>
            <w:r>
              <w:rPr>
                <w:rFonts w:cs="Tahoma"/>
                <w:sz w:val="24"/>
                <w:szCs w:val="24"/>
              </w:rPr>
              <w:t>8</w:t>
            </w:r>
          </w:p>
        </w:tc>
        <w:tc>
          <w:tcPr>
            <w:tcW w:w="1666" w:type="dxa"/>
          </w:tcPr>
          <w:p w:rsidR="00A1017C" w:rsidRDefault="00A743D8">
            <w:pPr>
              <w:spacing w:after="120"/>
              <w:rPr>
                <w:rFonts w:cs="Tahoma"/>
                <w:sz w:val="24"/>
                <w:szCs w:val="24"/>
              </w:rPr>
            </w:pPr>
            <w:r>
              <w:rPr>
                <w:rFonts w:cs="Tahoma"/>
                <w:sz w:val="24"/>
                <w:szCs w:val="24"/>
              </w:rPr>
              <w:t>81,14</w:t>
            </w:r>
          </w:p>
        </w:tc>
      </w:tr>
      <w:tr w:rsidR="00A1017C">
        <w:tc>
          <w:tcPr>
            <w:tcW w:w="5439" w:type="dxa"/>
          </w:tcPr>
          <w:p w:rsidR="00A1017C" w:rsidRDefault="00A743D8">
            <w:pPr>
              <w:spacing w:after="120"/>
              <w:jc w:val="both"/>
              <w:rPr>
                <w:rFonts w:cs="Tahoma"/>
                <w:sz w:val="24"/>
                <w:szCs w:val="24"/>
              </w:rPr>
            </w:pPr>
            <w:r>
              <w:rPr>
                <w:rFonts w:cs="Tahoma"/>
                <w:sz w:val="24"/>
                <w:szCs w:val="24"/>
              </w:rPr>
              <w:t>NP Zosúladenie rodinného a pracovného života</w:t>
            </w:r>
          </w:p>
        </w:tc>
        <w:tc>
          <w:tcPr>
            <w:tcW w:w="2382" w:type="dxa"/>
          </w:tcPr>
          <w:p w:rsidR="00A1017C" w:rsidRDefault="00A743D8">
            <w:pPr>
              <w:spacing w:after="120"/>
              <w:rPr>
                <w:rFonts w:cs="Tahoma"/>
                <w:sz w:val="24"/>
                <w:szCs w:val="24"/>
              </w:rPr>
            </w:pPr>
            <w:r>
              <w:rPr>
                <w:rFonts w:cs="Tahoma"/>
                <w:sz w:val="24"/>
                <w:szCs w:val="24"/>
              </w:rPr>
              <w:t>3</w:t>
            </w:r>
          </w:p>
        </w:tc>
        <w:tc>
          <w:tcPr>
            <w:tcW w:w="1666" w:type="dxa"/>
          </w:tcPr>
          <w:p w:rsidR="00A1017C" w:rsidRDefault="00A743D8">
            <w:pPr>
              <w:spacing w:after="120"/>
              <w:rPr>
                <w:rFonts w:cs="Tahoma"/>
                <w:sz w:val="24"/>
                <w:szCs w:val="24"/>
              </w:rPr>
            </w:pPr>
            <w:r>
              <w:rPr>
                <w:rFonts w:cs="Tahoma"/>
                <w:sz w:val="24"/>
                <w:szCs w:val="24"/>
              </w:rPr>
              <w:t>12 857,33</w:t>
            </w:r>
          </w:p>
        </w:tc>
      </w:tr>
      <w:tr w:rsidR="00A1017C">
        <w:tc>
          <w:tcPr>
            <w:tcW w:w="5439" w:type="dxa"/>
          </w:tcPr>
          <w:p w:rsidR="00A1017C" w:rsidRDefault="00A743D8">
            <w:pPr>
              <w:spacing w:after="120"/>
              <w:jc w:val="both"/>
              <w:rPr>
                <w:rFonts w:cs="Tahoma"/>
                <w:sz w:val="24"/>
                <w:szCs w:val="24"/>
              </w:rPr>
            </w:pPr>
            <w:r>
              <w:rPr>
                <w:rFonts w:cs="Tahoma"/>
                <w:sz w:val="24"/>
                <w:szCs w:val="24"/>
              </w:rPr>
              <w:t xml:space="preserve">NP Podpora integračných podnikov </w:t>
            </w:r>
          </w:p>
        </w:tc>
        <w:tc>
          <w:tcPr>
            <w:tcW w:w="2382" w:type="dxa"/>
          </w:tcPr>
          <w:p w:rsidR="00A1017C" w:rsidRDefault="00A743D8">
            <w:pPr>
              <w:spacing w:after="120"/>
              <w:rPr>
                <w:rFonts w:cs="Tahoma"/>
                <w:sz w:val="24"/>
                <w:szCs w:val="24"/>
              </w:rPr>
            </w:pPr>
            <w:r>
              <w:rPr>
                <w:rFonts w:cs="Tahoma"/>
                <w:sz w:val="24"/>
                <w:szCs w:val="24"/>
              </w:rPr>
              <w:t>140</w:t>
            </w:r>
          </w:p>
        </w:tc>
        <w:tc>
          <w:tcPr>
            <w:tcW w:w="1666" w:type="dxa"/>
          </w:tcPr>
          <w:p w:rsidR="00A1017C" w:rsidRDefault="00A743D8">
            <w:pPr>
              <w:spacing w:after="120"/>
              <w:rPr>
                <w:rFonts w:cs="Tahoma"/>
                <w:sz w:val="24"/>
                <w:szCs w:val="24"/>
              </w:rPr>
            </w:pPr>
            <w:r>
              <w:rPr>
                <w:rFonts w:cs="Tahoma"/>
                <w:sz w:val="24"/>
                <w:szCs w:val="24"/>
              </w:rPr>
              <w:t>616 436,14</w:t>
            </w:r>
          </w:p>
        </w:tc>
      </w:tr>
      <w:tr w:rsidR="00A1017C">
        <w:tc>
          <w:tcPr>
            <w:tcW w:w="5439" w:type="dxa"/>
          </w:tcPr>
          <w:p w:rsidR="00A1017C" w:rsidRDefault="00A743D8">
            <w:pPr>
              <w:spacing w:after="120"/>
              <w:jc w:val="both"/>
              <w:rPr>
                <w:rFonts w:cs="Tahoma"/>
                <w:sz w:val="24"/>
                <w:szCs w:val="24"/>
              </w:rPr>
            </w:pPr>
            <w:r>
              <w:rPr>
                <w:rFonts w:cs="Tahoma"/>
                <w:sz w:val="24"/>
                <w:szCs w:val="24"/>
              </w:rPr>
              <w:t>NP Investičná pomoc pre SP – nenávratná zložka</w:t>
            </w:r>
          </w:p>
        </w:tc>
        <w:tc>
          <w:tcPr>
            <w:tcW w:w="2382" w:type="dxa"/>
          </w:tcPr>
          <w:p w:rsidR="00A1017C" w:rsidRDefault="00A743D8">
            <w:pPr>
              <w:spacing w:after="120"/>
              <w:rPr>
                <w:rFonts w:cs="Tahoma"/>
                <w:sz w:val="24"/>
                <w:szCs w:val="24"/>
              </w:rPr>
            </w:pPr>
            <w:r>
              <w:rPr>
                <w:rFonts w:cs="Tahoma"/>
                <w:sz w:val="24"/>
                <w:szCs w:val="24"/>
              </w:rPr>
              <w:t>1</w:t>
            </w:r>
          </w:p>
        </w:tc>
        <w:tc>
          <w:tcPr>
            <w:tcW w:w="1666" w:type="dxa"/>
          </w:tcPr>
          <w:p w:rsidR="00A1017C" w:rsidRDefault="00A743D8">
            <w:pPr>
              <w:spacing w:after="120"/>
              <w:rPr>
                <w:rFonts w:cs="Tahoma"/>
                <w:sz w:val="24"/>
                <w:szCs w:val="24"/>
              </w:rPr>
            </w:pPr>
            <w:r>
              <w:rPr>
                <w:rFonts w:cs="Tahoma"/>
                <w:sz w:val="24"/>
                <w:szCs w:val="24"/>
              </w:rPr>
              <w:t>75 672,04</w:t>
            </w:r>
          </w:p>
        </w:tc>
      </w:tr>
      <w:tr w:rsidR="00A1017C">
        <w:tc>
          <w:tcPr>
            <w:tcW w:w="5439" w:type="dxa"/>
          </w:tcPr>
          <w:p w:rsidR="00A1017C" w:rsidRDefault="00A743D8">
            <w:pPr>
              <w:spacing w:after="120"/>
              <w:jc w:val="both"/>
              <w:rPr>
                <w:rFonts w:cs="Tahoma"/>
                <w:sz w:val="24"/>
                <w:szCs w:val="24"/>
              </w:rPr>
            </w:pPr>
            <w:r>
              <w:rPr>
                <w:rFonts w:cs="Tahoma"/>
                <w:sz w:val="24"/>
                <w:szCs w:val="24"/>
              </w:rPr>
              <w:t xml:space="preserve">§ 59 – Príspevok na činnosť pracovného asistenta </w:t>
            </w:r>
          </w:p>
        </w:tc>
        <w:tc>
          <w:tcPr>
            <w:tcW w:w="2382" w:type="dxa"/>
          </w:tcPr>
          <w:p w:rsidR="00A1017C" w:rsidRDefault="00A743D8">
            <w:pPr>
              <w:spacing w:after="120"/>
              <w:rPr>
                <w:rFonts w:cs="Tahoma"/>
                <w:sz w:val="24"/>
                <w:szCs w:val="24"/>
              </w:rPr>
            </w:pPr>
            <w:r>
              <w:rPr>
                <w:rFonts w:cs="Tahoma"/>
                <w:sz w:val="24"/>
                <w:szCs w:val="24"/>
              </w:rPr>
              <w:t>11</w:t>
            </w:r>
          </w:p>
        </w:tc>
        <w:tc>
          <w:tcPr>
            <w:tcW w:w="1666" w:type="dxa"/>
          </w:tcPr>
          <w:p w:rsidR="00A1017C" w:rsidRDefault="00A743D8">
            <w:pPr>
              <w:spacing w:after="120"/>
              <w:rPr>
                <w:rFonts w:cs="Tahoma"/>
                <w:sz w:val="24"/>
                <w:szCs w:val="24"/>
              </w:rPr>
            </w:pPr>
            <w:r>
              <w:rPr>
                <w:rFonts w:cs="Tahoma"/>
                <w:sz w:val="24"/>
                <w:szCs w:val="24"/>
              </w:rPr>
              <w:t>77 553,11</w:t>
            </w:r>
          </w:p>
        </w:tc>
      </w:tr>
      <w:tr w:rsidR="00A1017C">
        <w:tc>
          <w:tcPr>
            <w:tcW w:w="5439" w:type="dxa"/>
          </w:tcPr>
          <w:p w:rsidR="00A1017C" w:rsidRDefault="00A743D8">
            <w:pPr>
              <w:spacing w:after="120"/>
              <w:jc w:val="both"/>
              <w:rPr>
                <w:rFonts w:cs="Tahoma"/>
                <w:sz w:val="24"/>
                <w:szCs w:val="24"/>
              </w:rPr>
            </w:pPr>
            <w:r>
              <w:rPr>
                <w:rFonts w:cs="Tahoma"/>
                <w:sz w:val="24"/>
                <w:szCs w:val="24"/>
              </w:rPr>
              <w:lastRenderedPageBreak/>
              <w:t xml:space="preserve">Zapojenie nezamestnaných do obnovy kultúrneho dedičstva v roku 2021 (ŠR) </w:t>
            </w:r>
          </w:p>
        </w:tc>
        <w:tc>
          <w:tcPr>
            <w:tcW w:w="2382" w:type="dxa"/>
          </w:tcPr>
          <w:p w:rsidR="00A1017C" w:rsidRDefault="00A743D8">
            <w:pPr>
              <w:spacing w:after="120"/>
              <w:rPr>
                <w:rFonts w:cs="Tahoma"/>
                <w:sz w:val="24"/>
                <w:szCs w:val="24"/>
              </w:rPr>
            </w:pPr>
            <w:r>
              <w:rPr>
                <w:rFonts w:cs="Tahoma"/>
                <w:sz w:val="24"/>
                <w:szCs w:val="24"/>
              </w:rPr>
              <w:t>12</w:t>
            </w:r>
          </w:p>
        </w:tc>
        <w:tc>
          <w:tcPr>
            <w:tcW w:w="1666" w:type="dxa"/>
          </w:tcPr>
          <w:p w:rsidR="00A1017C" w:rsidRDefault="00A743D8">
            <w:pPr>
              <w:spacing w:after="120"/>
              <w:rPr>
                <w:rFonts w:cs="Tahoma"/>
                <w:sz w:val="24"/>
                <w:szCs w:val="24"/>
              </w:rPr>
            </w:pPr>
            <w:r>
              <w:rPr>
                <w:rFonts w:cs="Tahoma"/>
                <w:sz w:val="24"/>
                <w:szCs w:val="24"/>
              </w:rPr>
              <w:t>46 644,89</w:t>
            </w:r>
          </w:p>
        </w:tc>
      </w:tr>
      <w:tr w:rsidR="00A1017C">
        <w:tc>
          <w:tcPr>
            <w:tcW w:w="5439" w:type="dxa"/>
          </w:tcPr>
          <w:p w:rsidR="00A1017C" w:rsidRDefault="00A743D8">
            <w:pPr>
              <w:spacing w:after="120"/>
              <w:jc w:val="both"/>
              <w:rPr>
                <w:rFonts w:cs="Tahoma"/>
                <w:sz w:val="24"/>
                <w:szCs w:val="24"/>
              </w:rPr>
            </w:pPr>
            <w:r>
              <w:rPr>
                <w:rFonts w:cs="Tahoma"/>
                <w:sz w:val="24"/>
                <w:szCs w:val="24"/>
              </w:rPr>
              <w:t xml:space="preserve">§ 60 – Príspevok na úhradu prevádzkových nákladov CHD alebo CHP  </w:t>
            </w:r>
          </w:p>
        </w:tc>
        <w:tc>
          <w:tcPr>
            <w:tcW w:w="2382" w:type="dxa"/>
          </w:tcPr>
          <w:p w:rsidR="00A1017C" w:rsidRDefault="00A743D8">
            <w:pPr>
              <w:spacing w:after="120"/>
              <w:rPr>
                <w:rFonts w:cs="Tahoma"/>
                <w:sz w:val="24"/>
                <w:szCs w:val="24"/>
              </w:rPr>
            </w:pPr>
            <w:r>
              <w:rPr>
                <w:rFonts w:cs="Tahoma"/>
                <w:sz w:val="24"/>
                <w:szCs w:val="24"/>
              </w:rPr>
              <w:t>134</w:t>
            </w:r>
          </w:p>
        </w:tc>
        <w:tc>
          <w:tcPr>
            <w:tcW w:w="1666" w:type="dxa"/>
          </w:tcPr>
          <w:p w:rsidR="00A1017C" w:rsidRDefault="00A743D8">
            <w:pPr>
              <w:spacing w:after="120"/>
              <w:rPr>
                <w:rFonts w:cs="Tahoma"/>
                <w:sz w:val="24"/>
                <w:szCs w:val="24"/>
              </w:rPr>
            </w:pPr>
            <w:r>
              <w:rPr>
                <w:rFonts w:cs="Tahoma"/>
                <w:sz w:val="24"/>
                <w:szCs w:val="24"/>
              </w:rPr>
              <w:t>489 111,15</w:t>
            </w:r>
          </w:p>
        </w:tc>
      </w:tr>
      <w:tr w:rsidR="00A1017C">
        <w:tc>
          <w:tcPr>
            <w:tcW w:w="5439" w:type="dxa"/>
          </w:tcPr>
          <w:p w:rsidR="00A1017C" w:rsidRDefault="00A743D8">
            <w:pPr>
              <w:spacing w:after="120"/>
              <w:jc w:val="both"/>
              <w:rPr>
                <w:rFonts w:cs="Tahoma"/>
                <w:sz w:val="24"/>
                <w:szCs w:val="24"/>
              </w:rPr>
            </w:pPr>
            <w:r>
              <w:rPr>
                <w:rFonts w:cs="Tahoma"/>
                <w:sz w:val="24"/>
                <w:szCs w:val="24"/>
              </w:rPr>
              <w:t xml:space="preserve">NP Poskytnutie mimoriadnych FP pre zamestnancov poskytovateľov SS a vybraných subjektov </w:t>
            </w:r>
            <w:proofErr w:type="spellStart"/>
            <w:r>
              <w:rPr>
                <w:rFonts w:cs="Tahoma"/>
                <w:sz w:val="24"/>
                <w:szCs w:val="24"/>
              </w:rPr>
              <w:t>SPODaSK</w:t>
            </w:r>
            <w:proofErr w:type="spellEnd"/>
            <w:r>
              <w:rPr>
                <w:rFonts w:cs="Tahoma"/>
                <w:sz w:val="24"/>
                <w:szCs w:val="24"/>
              </w:rPr>
              <w:t xml:space="preserve"> za obdobie druhej vlny pandémie</w:t>
            </w:r>
          </w:p>
        </w:tc>
        <w:tc>
          <w:tcPr>
            <w:tcW w:w="2382" w:type="dxa"/>
          </w:tcPr>
          <w:p w:rsidR="00A1017C" w:rsidRDefault="00A743D8">
            <w:pPr>
              <w:spacing w:after="120"/>
              <w:rPr>
                <w:rFonts w:cs="Tahoma"/>
                <w:sz w:val="24"/>
                <w:szCs w:val="24"/>
              </w:rPr>
            </w:pPr>
            <w:r>
              <w:rPr>
                <w:rFonts w:cs="Tahoma"/>
                <w:sz w:val="24"/>
                <w:szCs w:val="24"/>
              </w:rPr>
              <w:t>684</w:t>
            </w:r>
          </w:p>
        </w:tc>
        <w:tc>
          <w:tcPr>
            <w:tcW w:w="1666" w:type="dxa"/>
          </w:tcPr>
          <w:p w:rsidR="00A1017C" w:rsidRDefault="00A743D8">
            <w:pPr>
              <w:spacing w:after="120"/>
              <w:rPr>
                <w:rFonts w:cs="Tahoma"/>
                <w:sz w:val="24"/>
                <w:szCs w:val="24"/>
              </w:rPr>
            </w:pPr>
            <w:r>
              <w:rPr>
                <w:rFonts w:cs="Tahoma"/>
                <w:sz w:val="24"/>
                <w:szCs w:val="24"/>
              </w:rPr>
              <w:t>436  514,35</w:t>
            </w:r>
          </w:p>
        </w:tc>
      </w:tr>
      <w:tr w:rsidR="00A1017C">
        <w:tc>
          <w:tcPr>
            <w:tcW w:w="5439" w:type="dxa"/>
          </w:tcPr>
          <w:p w:rsidR="00A1017C" w:rsidRDefault="00A743D8">
            <w:pPr>
              <w:spacing w:after="120"/>
              <w:jc w:val="both"/>
              <w:rPr>
                <w:rFonts w:cs="Tahoma"/>
                <w:sz w:val="24"/>
                <w:szCs w:val="24"/>
              </w:rPr>
            </w:pPr>
            <w:r>
              <w:rPr>
                <w:rFonts w:cs="Tahoma"/>
                <w:sz w:val="24"/>
                <w:szCs w:val="24"/>
              </w:rPr>
              <w:t>NP Podpora udržania zamestnanosti v ZUŠ</w:t>
            </w:r>
          </w:p>
        </w:tc>
        <w:tc>
          <w:tcPr>
            <w:tcW w:w="2382" w:type="dxa"/>
          </w:tcPr>
          <w:p w:rsidR="00A1017C" w:rsidRDefault="00A743D8">
            <w:pPr>
              <w:spacing w:after="120"/>
              <w:rPr>
                <w:rFonts w:cs="Tahoma"/>
                <w:sz w:val="24"/>
                <w:szCs w:val="24"/>
              </w:rPr>
            </w:pPr>
            <w:r>
              <w:rPr>
                <w:rFonts w:cs="Tahoma"/>
                <w:sz w:val="24"/>
                <w:szCs w:val="24"/>
              </w:rPr>
              <w:t>183</w:t>
            </w:r>
          </w:p>
        </w:tc>
        <w:tc>
          <w:tcPr>
            <w:tcW w:w="1666" w:type="dxa"/>
          </w:tcPr>
          <w:p w:rsidR="00A1017C" w:rsidRDefault="00A743D8">
            <w:pPr>
              <w:spacing w:after="120"/>
              <w:rPr>
                <w:rFonts w:cs="Tahoma"/>
                <w:sz w:val="24"/>
                <w:szCs w:val="24"/>
              </w:rPr>
            </w:pPr>
            <w:r>
              <w:rPr>
                <w:rFonts w:cs="Tahoma"/>
                <w:sz w:val="24"/>
                <w:szCs w:val="24"/>
              </w:rPr>
              <w:t>396 491,21</w:t>
            </w:r>
          </w:p>
        </w:tc>
      </w:tr>
      <w:tr w:rsidR="00A1017C">
        <w:tc>
          <w:tcPr>
            <w:tcW w:w="5439" w:type="dxa"/>
          </w:tcPr>
          <w:p w:rsidR="00A1017C" w:rsidRDefault="00A743D8">
            <w:pPr>
              <w:spacing w:after="120"/>
              <w:jc w:val="both"/>
              <w:rPr>
                <w:rFonts w:cs="Tahoma"/>
                <w:sz w:val="24"/>
                <w:szCs w:val="24"/>
              </w:rPr>
            </w:pPr>
            <w:r>
              <w:rPr>
                <w:rFonts w:cs="Tahoma"/>
                <w:sz w:val="24"/>
                <w:szCs w:val="24"/>
              </w:rPr>
              <w:t xml:space="preserve">NP Podpora udržania zamestnanosti v MŠ </w:t>
            </w:r>
          </w:p>
        </w:tc>
        <w:tc>
          <w:tcPr>
            <w:tcW w:w="2382" w:type="dxa"/>
          </w:tcPr>
          <w:p w:rsidR="00A1017C" w:rsidRDefault="00A743D8">
            <w:pPr>
              <w:spacing w:after="120"/>
              <w:rPr>
                <w:rFonts w:cs="Tahoma"/>
                <w:sz w:val="24"/>
                <w:szCs w:val="24"/>
              </w:rPr>
            </w:pPr>
            <w:r>
              <w:rPr>
                <w:rFonts w:cs="Tahoma"/>
                <w:sz w:val="24"/>
                <w:szCs w:val="24"/>
              </w:rPr>
              <w:t>26</w:t>
            </w:r>
          </w:p>
        </w:tc>
        <w:tc>
          <w:tcPr>
            <w:tcW w:w="1666" w:type="dxa"/>
          </w:tcPr>
          <w:p w:rsidR="00A1017C" w:rsidRDefault="00A743D8">
            <w:pPr>
              <w:spacing w:after="120"/>
              <w:rPr>
                <w:rFonts w:cs="Tahoma"/>
                <w:sz w:val="24"/>
                <w:szCs w:val="24"/>
              </w:rPr>
            </w:pPr>
            <w:r>
              <w:rPr>
                <w:rFonts w:cs="Tahoma"/>
                <w:sz w:val="24"/>
                <w:szCs w:val="24"/>
              </w:rPr>
              <w:t>59 964,27</w:t>
            </w:r>
          </w:p>
        </w:tc>
      </w:tr>
      <w:tr w:rsidR="00A1017C">
        <w:tc>
          <w:tcPr>
            <w:tcW w:w="5439" w:type="dxa"/>
          </w:tcPr>
          <w:p w:rsidR="00A1017C" w:rsidRDefault="00A743D8">
            <w:pPr>
              <w:spacing w:after="120"/>
              <w:jc w:val="both"/>
              <w:rPr>
                <w:rFonts w:cs="Tahoma"/>
                <w:sz w:val="24"/>
                <w:szCs w:val="24"/>
              </w:rPr>
            </w:pPr>
            <w:r>
              <w:rPr>
                <w:rFonts w:cs="Tahoma"/>
                <w:sz w:val="24"/>
                <w:szCs w:val="24"/>
              </w:rPr>
              <w:t>Prvá pomoc</w:t>
            </w:r>
          </w:p>
        </w:tc>
        <w:tc>
          <w:tcPr>
            <w:tcW w:w="2382" w:type="dxa"/>
          </w:tcPr>
          <w:p w:rsidR="00A1017C" w:rsidRDefault="00A743D8">
            <w:pPr>
              <w:spacing w:after="120"/>
              <w:rPr>
                <w:rFonts w:cs="Tahoma"/>
                <w:sz w:val="24"/>
                <w:szCs w:val="24"/>
              </w:rPr>
            </w:pPr>
            <w:r>
              <w:rPr>
                <w:rFonts w:cs="Tahoma"/>
                <w:sz w:val="24"/>
                <w:szCs w:val="24"/>
              </w:rPr>
              <w:t>3 066</w:t>
            </w:r>
          </w:p>
        </w:tc>
        <w:tc>
          <w:tcPr>
            <w:tcW w:w="1666" w:type="dxa"/>
          </w:tcPr>
          <w:p w:rsidR="00A1017C" w:rsidRDefault="00A743D8">
            <w:pPr>
              <w:spacing w:after="120"/>
              <w:rPr>
                <w:rFonts w:cs="Tahoma"/>
                <w:sz w:val="24"/>
                <w:szCs w:val="24"/>
              </w:rPr>
            </w:pPr>
            <w:r>
              <w:rPr>
                <w:rFonts w:cs="Tahoma"/>
                <w:sz w:val="24"/>
                <w:szCs w:val="24"/>
              </w:rPr>
              <w:t>9 437 586,11</w:t>
            </w:r>
          </w:p>
        </w:tc>
      </w:tr>
      <w:tr w:rsidR="00A1017C">
        <w:tc>
          <w:tcPr>
            <w:tcW w:w="5439" w:type="dxa"/>
          </w:tcPr>
          <w:p w:rsidR="00A1017C" w:rsidRDefault="00A743D8">
            <w:pPr>
              <w:spacing w:after="120"/>
              <w:jc w:val="both"/>
              <w:rPr>
                <w:rFonts w:cs="Tahoma"/>
                <w:sz w:val="24"/>
                <w:szCs w:val="24"/>
              </w:rPr>
            </w:pPr>
            <w:r>
              <w:rPr>
                <w:rFonts w:cs="Tahoma"/>
                <w:sz w:val="24"/>
                <w:szCs w:val="24"/>
              </w:rPr>
              <w:t>Kompenzačný projekt – Prvá pomoc</w:t>
            </w:r>
          </w:p>
        </w:tc>
        <w:tc>
          <w:tcPr>
            <w:tcW w:w="2382" w:type="dxa"/>
          </w:tcPr>
          <w:p w:rsidR="00A1017C" w:rsidRDefault="00A743D8">
            <w:pPr>
              <w:spacing w:after="120"/>
              <w:rPr>
                <w:rFonts w:cs="Tahoma"/>
                <w:sz w:val="24"/>
                <w:szCs w:val="24"/>
              </w:rPr>
            </w:pPr>
            <w:r>
              <w:rPr>
                <w:rFonts w:cs="Tahoma"/>
                <w:sz w:val="24"/>
                <w:szCs w:val="24"/>
              </w:rPr>
              <w:t>12</w:t>
            </w:r>
          </w:p>
        </w:tc>
        <w:tc>
          <w:tcPr>
            <w:tcW w:w="1666" w:type="dxa"/>
          </w:tcPr>
          <w:p w:rsidR="00A1017C" w:rsidRDefault="00A743D8">
            <w:pPr>
              <w:spacing w:after="120"/>
              <w:rPr>
                <w:rFonts w:cs="Tahoma"/>
                <w:sz w:val="24"/>
                <w:szCs w:val="24"/>
              </w:rPr>
            </w:pPr>
            <w:r>
              <w:rPr>
                <w:rFonts w:cs="Tahoma"/>
                <w:sz w:val="24"/>
                <w:szCs w:val="24"/>
              </w:rPr>
              <w:t>29 505,00</w:t>
            </w:r>
          </w:p>
        </w:tc>
      </w:tr>
      <w:tr w:rsidR="00A1017C">
        <w:tc>
          <w:tcPr>
            <w:tcW w:w="5439" w:type="dxa"/>
          </w:tcPr>
          <w:p w:rsidR="00A1017C" w:rsidRDefault="00A743D8">
            <w:pPr>
              <w:spacing w:after="120"/>
              <w:jc w:val="both"/>
              <w:rPr>
                <w:rFonts w:cs="Tahoma"/>
                <w:sz w:val="24"/>
                <w:szCs w:val="24"/>
              </w:rPr>
            </w:pPr>
            <w:r>
              <w:rPr>
                <w:rFonts w:cs="Tahoma"/>
                <w:sz w:val="24"/>
                <w:szCs w:val="24"/>
              </w:rPr>
              <w:t xml:space="preserve">NP Projekt na podporu zamestnávania </w:t>
            </w:r>
            <w:proofErr w:type="spellStart"/>
            <w:r>
              <w:rPr>
                <w:rFonts w:cs="Tahoma"/>
                <w:sz w:val="24"/>
                <w:szCs w:val="24"/>
              </w:rPr>
              <w:t>UoZ</w:t>
            </w:r>
            <w:proofErr w:type="spellEnd"/>
            <w:r>
              <w:rPr>
                <w:rFonts w:cs="Tahoma"/>
                <w:sz w:val="24"/>
                <w:szCs w:val="24"/>
              </w:rPr>
              <w:t xml:space="preserve"> v odvetví poľnohospodárstva </w:t>
            </w:r>
          </w:p>
        </w:tc>
        <w:tc>
          <w:tcPr>
            <w:tcW w:w="2382" w:type="dxa"/>
          </w:tcPr>
          <w:p w:rsidR="00A1017C" w:rsidRDefault="00A743D8">
            <w:pPr>
              <w:spacing w:after="120"/>
              <w:rPr>
                <w:rFonts w:cs="Tahoma"/>
                <w:sz w:val="24"/>
                <w:szCs w:val="24"/>
              </w:rPr>
            </w:pPr>
            <w:r>
              <w:rPr>
                <w:rFonts w:cs="Tahoma"/>
                <w:sz w:val="24"/>
                <w:szCs w:val="24"/>
              </w:rPr>
              <w:t>1</w:t>
            </w:r>
          </w:p>
        </w:tc>
        <w:tc>
          <w:tcPr>
            <w:tcW w:w="1666" w:type="dxa"/>
          </w:tcPr>
          <w:p w:rsidR="00A1017C" w:rsidRDefault="00A743D8">
            <w:pPr>
              <w:spacing w:after="120"/>
              <w:rPr>
                <w:rFonts w:cs="Tahoma"/>
                <w:sz w:val="24"/>
                <w:szCs w:val="24"/>
              </w:rPr>
            </w:pPr>
            <w:r>
              <w:rPr>
                <w:rFonts w:cs="Tahoma"/>
                <w:sz w:val="24"/>
                <w:szCs w:val="24"/>
              </w:rPr>
              <w:t>1 043,76</w:t>
            </w:r>
          </w:p>
        </w:tc>
      </w:tr>
      <w:tr w:rsidR="00A1017C">
        <w:trPr>
          <w:trHeight w:val="460"/>
        </w:trPr>
        <w:tc>
          <w:tcPr>
            <w:tcW w:w="5439" w:type="dxa"/>
          </w:tcPr>
          <w:p w:rsidR="00A1017C" w:rsidRDefault="00A743D8">
            <w:pPr>
              <w:spacing w:after="120"/>
              <w:ind w:left="-5"/>
              <w:jc w:val="both"/>
              <w:rPr>
                <w:rFonts w:cs="Tahoma"/>
                <w:sz w:val="24"/>
                <w:szCs w:val="24"/>
              </w:rPr>
            </w:pPr>
            <w:r>
              <w:rPr>
                <w:rFonts w:cs="Tahoma"/>
                <w:sz w:val="24"/>
                <w:szCs w:val="24"/>
              </w:rPr>
              <w:t>NP Vzdelávanie uchádzačov o zamestnanie – 2 (REPAS+, KOMPAS+)</w:t>
            </w:r>
          </w:p>
        </w:tc>
        <w:tc>
          <w:tcPr>
            <w:tcW w:w="2382" w:type="dxa"/>
          </w:tcPr>
          <w:p w:rsidR="00A1017C" w:rsidRDefault="00A743D8">
            <w:pPr>
              <w:spacing w:after="120"/>
              <w:ind w:left="-5"/>
              <w:rPr>
                <w:rFonts w:cs="Tahoma"/>
                <w:sz w:val="24"/>
                <w:szCs w:val="24"/>
              </w:rPr>
            </w:pPr>
            <w:r>
              <w:rPr>
                <w:rFonts w:cs="Tahoma"/>
                <w:sz w:val="24"/>
                <w:szCs w:val="24"/>
              </w:rPr>
              <w:t>129</w:t>
            </w:r>
          </w:p>
        </w:tc>
        <w:tc>
          <w:tcPr>
            <w:tcW w:w="1666" w:type="dxa"/>
          </w:tcPr>
          <w:p w:rsidR="00A1017C" w:rsidRDefault="00A743D8">
            <w:pPr>
              <w:pStyle w:val="Odsekzoznamu"/>
              <w:numPr>
                <w:ilvl w:val="0"/>
                <w:numId w:val="41"/>
              </w:numPr>
              <w:spacing w:after="120"/>
              <w:rPr>
                <w:rFonts w:cs="Tahoma"/>
                <w:sz w:val="24"/>
                <w:szCs w:val="24"/>
              </w:rPr>
            </w:pPr>
            <w:r>
              <w:rPr>
                <w:rFonts w:cs="Tahoma"/>
                <w:sz w:val="24"/>
                <w:szCs w:val="24"/>
              </w:rPr>
              <w:t>149,81</w:t>
            </w:r>
          </w:p>
        </w:tc>
      </w:tr>
    </w:tbl>
    <w:p w:rsidR="00A1017C" w:rsidRDefault="00A1017C">
      <w:pPr>
        <w:spacing w:before="120"/>
        <w:jc w:val="both"/>
        <w:rPr>
          <w:b/>
          <w:sz w:val="24"/>
          <w:szCs w:val="24"/>
        </w:rPr>
      </w:pPr>
    </w:p>
    <w:p w:rsidR="00A1017C" w:rsidRDefault="00A743D8" w:rsidP="004C0713">
      <w:pPr>
        <w:pStyle w:val="Odsekzoznamu"/>
        <w:numPr>
          <w:ilvl w:val="0"/>
          <w:numId w:val="19"/>
        </w:numPr>
        <w:spacing w:before="120"/>
        <w:ind w:left="284" w:hanging="284"/>
        <w:jc w:val="both"/>
        <w:rPr>
          <w:b/>
          <w:sz w:val="24"/>
          <w:szCs w:val="24"/>
        </w:rPr>
      </w:pPr>
      <w:r>
        <w:rPr>
          <w:b/>
          <w:sz w:val="24"/>
          <w:szCs w:val="24"/>
        </w:rPr>
        <w:t xml:space="preserve">Prognóza vývoja TP - určenie a kvantifikácia hlavných cieľov úradu práce, sociálnych vecí a rodiny (ďalej len „úrad“) pre rok 2022  </w:t>
      </w:r>
    </w:p>
    <w:p w:rsidR="00A1017C" w:rsidRDefault="00A1017C">
      <w:pPr>
        <w:pStyle w:val="Odsekzoznamu"/>
        <w:spacing w:before="120"/>
        <w:jc w:val="both"/>
        <w:rPr>
          <w:b/>
          <w:sz w:val="24"/>
          <w:szCs w:val="24"/>
        </w:rPr>
      </w:pPr>
    </w:p>
    <w:p w:rsidR="00A1017C" w:rsidRDefault="00A743D8">
      <w:pPr>
        <w:pStyle w:val="Odsekzoznamu"/>
        <w:numPr>
          <w:ilvl w:val="0"/>
          <w:numId w:val="32"/>
        </w:numPr>
        <w:spacing w:before="120" w:after="0" w:line="240" w:lineRule="auto"/>
        <w:ind w:left="284" w:hanging="284"/>
        <w:contextualSpacing w:val="0"/>
        <w:jc w:val="both"/>
        <w:rPr>
          <w:sz w:val="24"/>
          <w:szCs w:val="24"/>
        </w:rPr>
      </w:pPr>
      <w:r>
        <w:rPr>
          <w:b/>
          <w:sz w:val="24"/>
          <w:szCs w:val="24"/>
        </w:rPr>
        <w:t xml:space="preserve">Miera evidovanej nezamestnanosti </w:t>
      </w:r>
      <w:r>
        <w:rPr>
          <w:sz w:val="24"/>
          <w:szCs w:val="24"/>
        </w:rPr>
        <w:t>(ďalej len „MEN“)</w:t>
      </w:r>
    </w:p>
    <w:p w:rsidR="00A1017C" w:rsidRDefault="00A743D8">
      <w:pPr>
        <w:pStyle w:val="Odsekzoznamu"/>
        <w:numPr>
          <w:ilvl w:val="0"/>
          <w:numId w:val="31"/>
        </w:numPr>
        <w:spacing w:line="240" w:lineRule="auto"/>
        <w:jc w:val="both"/>
        <w:rPr>
          <w:sz w:val="24"/>
          <w:szCs w:val="24"/>
        </w:rPr>
      </w:pPr>
      <w:r>
        <w:rPr>
          <w:sz w:val="24"/>
          <w:szCs w:val="24"/>
        </w:rPr>
        <w:t>Ekonomicky aktívne obyvateľstvo: 62 987</w:t>
      </w:r>
    </w:p>
    <w:p w:rsidR="00A1017C" w:rsidRDefault="00A743D8">
      <w:pPr>
        <w:pStyle w:val="Odsekzoznamu"/>
        <w:numPr>
          <w:ilvl w:val="0"/>
          <w:numId w:val="31"/>
        </w:numPr>
        <w:spacing w:line="240" w:lineRule="auto"/>
        <w:jc w:val="both"/>
        <w:rPr>
          <w:sz w:val="24"/>
          <w:szCs w:val="24"/>
        </w:rPr>
      </w:pPr>
      <w:r>
        <w:rPr>
          <w:sz w:val="24"/>
          <w:szCs w:val="24"/>
        </w:rPr>
        <w:t>Disponibilný počet uchádzačov o zamestnanie (ďalej len „</w:t>
      </w:r>
      <w:proofErr w:type="spellStart"/>
      <w:r>
        <w:rPr>
          <w:sz w:val="24"/>
          <w:szCs w:val="24"/>
        </w:rPr>
        <w:t>UoZ</w:t>
      </w:r>
      <w:proofErr w:type="spellEnd"/>
      <w:r>
        <w:rPr>
          <w:sz w:val="24"/>
          <w:szCs w:val="24"/>
        </w:rPr>
        <w:t>“) k 31. 12. 2021: 3 460</w:t>
      </w:r>
    </w:p>
    <w:p w:rsidR="00A1017C" w:rsidRDefault="00A743D8">
      <w:pPr>
        <w:pStyle w:val="Odsekzoznamu"/>
        <w:numPr>
          <w:ilvl w:val="0"/>
          <w:numId w:val="31"/>
        </w:numPr>
        <w:spacing w:after="0" w:line="240" w:lineRule="auto"/>
        <w:ind w:left="641" w:hanging="357"/>
        <w:contextualSpacing w:val="0"/>
        <w:jc w:val="both"/>
        <w:rPr>
          <w:sz w:val="24"/>
          <w:szCs w:val="24"/>
        </w:rPr>
      </w:pPr>
      <w:r>
        <w:rPr>
          <w:sz w:val="24"/>
          <w:szCs w:val="24"/>
        </w:rPr>
        <w:t>MEN</w:t>
      </w:r>
      <w:r>
        <w:t xml:space="preserve"> </w:t>
      </w:r>
      <w:r>
        <w:rPr>
          <w:sz w:val="24"/>
          <w:szCs w:val="24"/>
        </w:rPr>
        <w:t xml:space="preserve">k 31. 12. 2021: 5,49  %    </w:t>
      </w:r>
    </w:p>
    <w:p w:rsidR="00A1017C" w:rsidRDefault="00A743D8">
      <w:pPr>
        <w:ind w:firstLine="284"/>
        <w:jc w:val="both"/>
        <w:rPr>
          <w:b/>
          <w:sz w:val="24"/>
          <w:szCs w:val="24"/>
        </w:rPr>
      </w:pPr>
      <w:r>
        <w:rPr>
          <w:b/>
          <w:sz w:val="24"/>
          <w:szCs w:val="24"/>
        </w:rPr>
        <w:t>Plán ku koncu roka 2022</w:t>
      </w:r>
    </w:p>
    <w:p w:rsidR="00A1017C" w:rsidRDefault="00A743D8">
      <w:pPr>
        <w:pStyle w:val="Odsekzoznamu"/>
        <w:numPr>
          <w:ilvl w:val="0"/>
          <w:numId w:val="31"/>
        </w:numPr>
        <w:spacing w:line="240" w:lineRule="auto"/>
        <w:jc w:val="both"/>
        <w:rPr>
          <w:sz w:val="24"/>
          <w:szCs w:val="24"/>
        </w:rPr>
      </w:pPr>
      <w:r>
        <w:rPr>
          <w:sz w:val="24"/>
          <w:szCs w:val="24"/>
        </w:rPr>
        <w:t xml:space="preserve">Plánovaný disponibilný počet </w:t>
      </w:r>
      <w:proofErr w:type="spellStart"/>
      <w:r>
        <w:rPr>
          <w:sz w:val="24"/>
          <w:szCs w:val="24"/>
        </w:rPr>
        <w:t>UoZ</w:t>
      </w:r>
      <w:proofErr w:type="spellEnd"/>
      <w:r>
        <w:rPr>
          <w:sz w:val="24"/>
          <w:szCs w:val="24"/>
        </w:rPr>
        <w:t xml:space="preserve"> k 31. 12. 2022: 3 290</w:t>
      </w:r>
    </w:p>
    <w:p w:rsidR="00A1017C" w:rsidRDefault="00A743D8">
      <w:pPr>
        <w:pStyle w:val="Odsekzoznamu"/>
        <w:numPr>
          <w:ilvl w:val="0"/>
          <w:numId w:val="31"/>
        </w:numPr>
        <w:spacing w:line="240" w:lineRule="auto"/>
        <w:jc w:val="both"/>
        <w:rPr>
          <w:sz w:val="24"/>
          <w:szCs w:val="24"/>
        </w:rPr>
      </w:pPr>
      <w:r>
        <w:rPr>
          <w:sz w:val="24"/>
          <w:szCs w:val="24"/>
        </w:rPr>
        <w:t>Plánovaná MEN k 31. 12. 2022:  5,40   %</w:t>
      </w:r>
    </w:p>
    <w:p w:rsidR="00A1017C" w:rsidRDefault="00A743D8">
      <w:pPr>
        <w:pStyle w:val="Odsekzoznamu"/>
        <w:numPr>
          <w:ilvl w:val="0"/>
          <w:numId w:val="32"/>
        </w:numPr>
        <w:spacing w:before="120" w:after="0" w:line="240" w:lineRule="auto"/>
        <w:ind w:left="284" w:hanging="284"/>
        <w:contextualSpacing w:val="0"/>
        <w:jc w:val="both"/>
        <w:rPr>
          <w:b/>
          <w:sz w:val="24"/>
          <w:szCs w:val="24"/>
        </w:rPr>
      </w:pPr>
      <w:r>
        <w:rPr>
          <w:b/>
          <w:sz w:val="24"/>
          <w:szCs w:val="24"/>
        </w:rPr>
        <w:t xml:space="preserve">Dlhodobo nezamestnaní </w:t>
      </w:r>
      <w:proofErr w:type="spellStart"/>
      <w:r>
        <w:rPr>
          <w:b/>
          <w:sz w:val="24"/>
          <w:szCs w:val="24"/>
        </w:rPr>
        <w:t>UoZ</w:t>
      </w:r>
      <w:proofErr w:type="spellEnd"/>
      <w:r>
        <w:rPr>
          <w:b/>
          <w:sz w:val="24"/>
          <w:szCs w:val="24"/>
        </w:rPr>
        <w:t xml:space="preserve"> </w:t>
      </w:r>
      <w:r>
        <w:rPr>
          <w:sz w:val="24"/>
          <w:szCs w:val="24"/>
        </w:rPr>
        <w:t xml:space="preserve">(ďalej len „DN </w:t>
      </w:r>
      <w:proofErr w:type="spellStart"/>
      <w:r>
        <w:rPr>
          <w:sz w:val="24"/>
          <w:szCs w:val="24"/>
        </w:rPr>
        <w:t>UoZ</w:t>
      </w:r>
      <w:proofErr w:type="spellEnd"/>
      <w:r>
        <w:rPr>
          <w:sz w:val="24"/>
          <w:szCs w:val="24"/>
        </w:rPr>
        <w:t>“)</w:t>
      </w:r>
    </w:p>
    <w:p w:rsidR="00A1017C" w:rsidRDefault="00A743D8">
      <w:pPr>
        <w:pStyle w:val="Odsekzoznamu"/>
        <w:numPr>
          <w:ilvl w:val="0"/>
          <w:numId w:val="31"/>
        </w:numPr>
        <w:spacing w:line="240" w:lineRule="auto"/>
        <w:jc w:val="both"/>
        <w:rPr>
          <w:sz w:val="24"/>
          <w:szCs w:val="24"/>
        </w:rPr>
      </w:pPr>
      <w:r>
        <w:rPr>
          <w:sz w:val="24"/>
          <w:szCs w:val="24"/>
        </w:rPr>
        <w:t xml:space="preserve">Počet DN </w:t>
      </w:r>
      <w:proofErr w:type="spellStart"/>
      <w:r>
        <w:rPr>
          <w:sz w:val="24"/>
          <w:szCs w:val="24"/>
        </w:rPr>
        <w:t>UoZ</w:t>
      </w:r>
      <w:proofErr w:type="spellEnd"/>
      <w:r>
        <w:rPr>
          <w:sz w:val="24"/>
          <w:szCs w:val="24"/>
        </w:rPr>
        <w:t xml:space="preserve"> k 31. 12. 2021: 1 807</w:t>
      </w:r>
    </w:p>
    <w:p w:rsidR="00A1017C" w:rsidRDefault="00A743D8">
      <w:pPr>
        <w:pStyle w:val="Odsekzoznamu"/>
        <w:numPr>
          <w:ilvl w:val="0"/>
          <w:numId w:val="31"/>
        </w:numPr>
        <w:spacing w:line="240" w:lineRule="auto"/>
        <w:jc w:val="both"/>
        <w:rPr>
          <w:sz w:val="24"/>
          <w:szCs w:val="24"/>
        </w:rPr>
      </w:pPr>
      <w:r>
        <w:rPr>
          <w:sz w:val="24"/>
          <w:szCs w:val="24"/>
        </w:rPr>
        <w:t xml:space="preserve">Plánovaný počet DN </w:t>
      </w:r>
      <w:proofErr w:type="spellStart"/>
      <w:r>
        <w:rPr>
          <w:sz w:val="24"/>
          <w:szCs w:val="24"/>
        </w:rPr>
        <w:t>UoZ</w:t>
      </w:r>
      <w:proofErr w:type="spellEnd"/>
      <w:r>
        <w:rPr>
          <w:sz w:val="24"/>
          <w:szCs w:val="24"/>
        </w:rPr>
        <w:t xml:space="preserve"> k 31. 12. 2022: 1 722</w:t>
      </w:r>
    </w:p>
    <w:p w:rsidR="00A1017C" w:rsidRDefault="00A743D8">
      <w:pPr>
        <w:pStyle w:val="Odsekzoznamu"/>
        <w:numPr>
          <w:ilvl w:val="0"/>
          <w:numId w:val="32"/>
        </w:numPr>
        <w:spacing w:before="120" w:after="0" w:line="240" w:lineRule="auto"/>
        <w:ind w:left="284" w:hanging="284"/>
        <w:contextualSpacing w:val="0"/>
        <w:jc w:val="both"/>
        <w:rPr>
          <w:b/>
          <w:sz w:val="24"/>
          <w:szCs w:val="24"/>
        </w:rPr>
      </w:pPr>
      <w:r>
        <w:rPr>
          <w:b/>
          <w:sz w:val="24"/>
          <w:szCs w:val="24"/>
        </w:rPr>
        <w:t>Mladí do 29 rokov</w:t>
      </w:r>
    </w:p>
    <w:p w:rsidR="00A1017C" w:rsidRDefault="00A743D8">
      <w:pPr>
        <w:pStyle w:val="Odsekzoznamu"/>
        <w:numPr>
          <w:ilvl w:val="0"/>
          <w:numId w:val="31"/>
        </w:numPr>
        <w:spacing w:line="240" w:lineRule="auto"/>
        <w:jc w:val="both"/>
        <w:rPr>
          <w:sz w:val="24"/>
          <w:szCs w:val="24"/>
        </w:rPr>
      </w:pPr>
      <w:r>
        <w:rPr>
          <w:sz w:val="24"/>
          <w:szCs w:val="24"/>
        </w:rPr>
        <w:t>Počet mladých do 29 rokov k 31. 12. 2021: 721</w:t>
      </w:r>
    </w:p>
    <w:p w:rsidR="00A1017C" w:rsidRDefault="00A743D8">
      <w:pPr>
        <w:pStyle w:val="Odsekzoznamu"/>
        <w:numPr>
          <w:ilvl w:val="0"/>
          <w:numId w:val="31"/>
        </w:numPr>
        <w:spacing w:after="120" w:line="240" w:lineRule="auto"/>
        <w:ind w:left="641" w:hanging="357"/>
        <w:contextualSpacing w:val="0"/>
        <w:jc w:val="both"/>
        <w:rPr>
          <w:sz w:val="24"/>
          <w:szCs w:val="24"/>
        </w:rPr>
      </w:pPr>
      <w:r>
        <w:rPr>
          <w:sz w:val="24"/>
          <w:szCs w:val="24"/>
        </w:rPr>
        <w:t>Plánovaný počet mladých do 29 rokov k 31. 12. 2022: 665</w:t>
      </w:r>
    </w:p>
    <w:p w:rsidR="00A1017C" w:rsidRDefault="00A1017C">
      <w:pPr>
        <w:spacing w:before="120"/>
        <w:jc w:val="both"/>
        <w:rPr>
          <w:b/>
          <w:sz w:val="24"/>
          <w:szCs w:val="24"/>
        </w:rPr>
      </w:pPr>
    </w:p>
    <w:p w:rsidR="00A1017C" w:rsidRDefault="00A743D8">
      <w:pPr>
        <w:spacing w:before="120"/>
        <w:jc w:val="both"/>
        <w:rPr>
          <w:sz w:val="24"/>
          <w:szCs w:val="24"/>
        </w:rPr>
      </w:pPr>
      <w:r>
        <w:rPr>
          <w:b/>
          <w:sz w:val="24"/>
          <w:szCs w:val="24"/>
        </w:rPr>
        <w:t>3. Investori v regióne a hromadné prepúšťanie</w:t>
      </w:r>
    </w:p>
    <w:p w:rsidR="00A1017C" w:rsidRDefault="00A1017C">
      <w:pPr>
        <w:ind w:left="720"/>
        <w:jc w:val="both"/>
        <w:rPr>
          <w:color w:val="00B050"/>
          <w:sz w:val="24"/>
          <w:szCs w:val="24"/>
          <w:u w:val="single"/>
        </w:rPr>
      </w:pPr>
    </w:p>
    <w:p w:rsidR="00A1017C" w:rsidRDefault="00A743D8" w:rsidP="004C0713">
      <w:pPr>
        <w:ind w:left="284"/>
        <w:jc w:val="both"/>
        <w:rPr>
          <w:sz w:val="24"/>
          <w:szCs w:val="24"/>
          <w:u w:val="single"/>
        </w:rPr>
      </w:pPr>
      <w:r>
        <w:rPr>
          <w:sz w:val="24"/>
          <w:szCs w:val="24"/>
          <w:u w:val="single"/>
        </w:rPr>
        <w:t>Tvorba nových pracovných miest</w:t>
      </w:r>
    </w:p>
    <w:p w:rsidR="00A1017C" w:rsidRDefault="00A1017C">
      <w:pPr>
        <w:ind w:left="720"/>
        <w:jc w:val="both"/>
        <w:rPr>
          <w:sz w:val="24"/>
          <w:szCs w:val="24"/>
          <w:u w:val="single"/>
        </w:rPr>
      </w:pPr>
    </w:p>
    <w:p w:rsidR="00A1017C" w:rsidRDefault="004C0713" w:rsidP="004C0713">
      <w:pPr>
        <w:ind w:left="284"/>
        <w:jc w:val="both"/>
        <w:rPr>
          <w:sz w:val="24"/>
          <w:szCs w:val="24"/>
        </w:rPr>
      </w:pPr>
      <w:r>
        <w:rPr>
          <w:sz w:val="24"/>
          <w:szCs w:val="24"/>
        </w:rPr>
        <w:t xml:space="preserve">     </w:t>
      </w:r>
      <w:r w:rsidR="00A743D8">
        <w:rPr>
          <w:sz w:val="24"/>
          <w:szCs w:val="24"/>
        </w:rPr>
        <w:t xml:space="preserve">V regióne Detva nám nebol avizovaný príchod nových investorov, no pokračuje navyšovanie pracovných miest u strategických investoroch. </w:t>
      </w:r>
      <w:r w:rsidR="00A743D8">
        <w:rPr>
          <w:rFonts w:eastAsia="Times New Roman" w:cstheme="minorHAnsi"/>
          <w:sz w:val="24"/>
          <w:szCs w:val="24"/>
          <w:lang w:eastAsia="sk-SK"/>
        </w:rPr>
        <w:t>Príchod nových investorov v predchádzajúcich rokoch mal  pre celý región významný hospodársky a sociálny prínos. Investície nadviazali na dlhoročnú tradíciu strojárskej výroby na Podpoľaní a výrazne znížili nezamestnanosť v regióne a v tomto trende  pokračujú aj tento rok. Realizácia investícií sa prejavuje aj tvorbou nepriamych pracovných miest u regionálnych dodávateľov.</w:t>
      </w:r>
    </w:p>
    <w:p w:rsidR="00A1017C" w:rsidRDefault="00A1017C" w:rsidP="004C0713">
      <w:pPr>
        <w:tabs>
          <w:tab w:val="left" w:pos="567"/>
        </w:tabs>
        <w:ind w:left="284"/>
        <w:jc w:val="both"/>
        <w:rPr>
          <w:sz w:val="24"/>
          <w:szCs w:val="24"/>
        </w:rPr>
      </w:pPr>
    </w:p>
    <w:p w:rsidR="00A1017C" w:rsidRDefault="004C0713" w:rsidP="004C0713">
      <w:pPr>
        <w:tabs>
          <w:tab w:val="left" w:pos="567"/>
        </w:tabs>
        <w:ind w:left="284"/>
        <w:jc w:val="both"/>
        <w:rPr>
          <w:sz w:val="24"/>
          <w:szCs w:val="24"/>
        </w:rPr>
      </w:pPr>
      <w:r>
        <w:rPr>
          <w:sz w:val="24"/>
          <w:szCs w:val="24"/>
        </w:rPr>
        <w:lastRenderedPageBreak/>
        <w:t xml:space="preserve">     </w:t>
      </w:r>
      <w:r w:rsidR="00A743D8">
        <w:rPr>
          <w:sz w:val="24"/>
          <w:szCs w:val="24"/>
        </w:rPr>
        <w:t xml:space="preserve">Automobilová spoločnosť </w:t>
      </w:r>
      <w:proofErr w:type="spellStart"/>
      <w:r w:rsidR="00A743D8">
        <w:rPr>
          <w:sz w:val="24"/>
          <w:szCs w:val="24"/>
        </w:rPr>
        <w:t>Intercable</w:t>
      </w:r>
      <w:proofErr w:type="spellEnd"/>
      <w:r w:rsidR="00A743D8">
        <w:rPr>
          <w:sz w:val="24"/>
          <w:szCs w:val="24"/>
        </w:rPr>
        <w:t xml:space="preserve"> s. r. o., Kriváň</w:t>
      </w:r>
      <w:r w:rsidR="00A743D8">
        <w:rPr>
          <w:i/>
          <w:sz w:val="24"/>
          <w:szCs w:val="24"/>
        </w:rPr>
        <w:t xml:space="preserve"> </w:t>
      </w:r>
      <w:r w:rsidR="00A743D8">
        <w:rPr>
          <w:sz w:val="24"/>
          <w:szCs w:val="24"/>
        </w:rPr>
        <w:t xml:space="preserve"> v regióne Detva patrí medzi </w:t>
      </w:r>
      <w:r w:rsidR="00A743D8">
        <w:rPr>
          <w:b/>
          <w:sz w:val="24"/>
          <w:szCs w:val="24"/>
        </w:rPr>
        <w:t>strategických investorov</w:t>
      </w:r>
      <w:r w:rsidR="00A743D8">
        <w:rPr>
          <w:i/>
          <w:sz w:val="24"/>
          <w:szCs w:val="24"/>
        </w:rPr>
        <w:t xml:space="preserve">, </w:t>
      </w:r>
      <w:r w:rsidR="00A743D8">
        <w:rPr>
          <w:sz w:val="24"/>
          <w:szCs w:val="24"/>
        </w:rPr>
        <w:t xml:space="preserve">v súčasnom období  zamestnáva  804 zamestnancov a do konca roka plánuje navýšiť počet zamestnancov o ďalších 100 až 150 zamestnancov. </w:t>
      </w:r>
    </w:p>
    <w:p w:rsidR="00A1017C" w:rsidRDefault="00A743D8" w:rsidP="004C0713">
      <w:pPr>
        <w:ind w:left="284"/>
        <w:jc w:val="both"/>
        <w:rPr>
          <w:sz w:val="24"/>
          <w:szCs w:val="24"/>
        </w:rPr>
      </w:pPr>
      <w:r>
        <w:rPr>
          <w:sz w:val="24"/>
          <w:szCs w:val="24"/>
        </w:rPr>
        <w:t>Spoločnosť ZF Slovakia, a. s</w:t>
      </w:r>
      <w:r>
        <w:rPr>
          <w:i/>
          <w:sz w:val="24"/>
          <w:szCs w:val="24"/>
        </w:rPr>
        <w:t xml:space="preserve">., </w:t>
      </w:r>
      <w:r>
        <w:rPr>
          <w:sz w:val="24"/>
          <w:szCs w:val="24"/>
        </w:rPr>
        <w:t>Detva</w:t>
      </w:r>
      <w:r>
        <w:t xml:space="preserve"> </w:t>
      </w:r>
      <w:r>
        <w:rPr>
          <w:sz w:val="24"/>
          <w:szCs w:val="24"/>
        </w:rPr>
        <w:t xml:space="preserve">ktorá sa zameriava na výrobu podvozkových komponentov do motorových vozidiel, zamestnáva v súčasnosti  191 zamestnancov a v pláne má ku koncu roka 2022 zamestnávať 242 zamestnancov. Celosvetová strojárenská spoločnosť  </w:t>
      </w:r>
      <w:proofErr w:type="spellStart"/>
      <w:r>
        <w:rPr>
          <w:sz w:val="24"/>
          <w:szCs w:val="24"/>
        </w:rPr>
        <w:t>Punch</w:t>
      </w:r>
      <w:proofErr w:type="spellEnd"/>
      <w:r>
        <w:rPr>
          <w:sz w:val="24"/>
          <w:szCs w:val="24"/>
        </w:rPr>
        <w:t xml:space="preserve"> </w:t>
      </w:r>
      <w:proofErr w:type="spellStart"/>
      <w:r>
        <w:rPr>
          <w:sz w:val="24"/>
          <w:szCs w:val="24"/>
        </w:rPr>
        <w:t>Precision</w:t>
      </w:r>
      <w:proofErr w:type="spellEnd"/>
      <w:r>
        <w:rPr>
          <w:sz w:val="24"/>
          <w:szCs w:val="24"/>
        </w:rPr>
        <w:t xml:space="preserve"> Detva, s. r. o. v súčasnom období zamestnáva 97 zamestnancov a plánuje postupne navyšovať počty do konca roka 2022 na 150 zamestnancov.</w:t>
      </w:r>
    </w:p>
    <w:p w:rsidR="00A1017C" w:rsidRDefault="004C0713" w:rsidP="004C0713">
      <w:pPr>
        <w:pStyle w:val="Normlnywebov"/>
        <w:ind w:left="284"/>
        <w:jc w:val="both"/>
        <w:rPr>
          <w:rFonts w:asciiTheme="minorHAnsi" w:hAnsiTheme="minorHAnsi" w:cstheme="minorHAnsi"/>
        </w:rPr>
      </w:pPr>
      <w:r>
        <w:rPr>
          <w:rFonts w:asciiTheme="minorHAnsi" w:hAnsiTheme="minorHAnsi" w:cstheme="minorHAnsi"/>
        </w:rPr>
        <w:t xml:space="preserve">     </w:t>
      </w:r>
      <w:r w:rsidR="00A743D8">
        <w:rPr>
          <w:rFonts w:asciiTheme="minorHAnsi" w:hAnsiTheme="minorHAnsi" w:cstheme="minorHAnsi"/>
        </w:rPr>
        <w:t>Medzi významných zamestnávateľov v regióne patria aj dlhoročné strojárske spoločnosti a to PPS Group a. s. a </w:t>
      </w:r>
      <w:proofErr w:type="spellStart"/>
      <w:r w:rsidR="00A743D8">
        <w:rPr>
          <w:rFonts w:asciiTheme="minorHAnsi" w:hAnsiTheme="minorHAnsi" w:cstheme="minorHAnsi"/>
        </w:rPr>
        <w:t>Slavia</w:t>
      </w:r>
      <w:proofErr w:type="spellEnd"/>
      <w:r w:rsidR="00A743D8">
        <w:rPr>
          <w:rFonts w:asciiTheme="minorHAnsi" w:hAnsiTheme="minorHAnsi" w:cstheme="minorHAnsi"/>
        </w:rPr>
        <w:t xml:space="preserve"> </w:t>
      </w:r>
      <w:proofErr w:type="spellStart"/>
      <w:r w:rsidR="00A743D8">
        <w:rPr>
          <w:rFonts w:asciiTheme="minorHAnsi" w:hAnsiTheme="minorHAnsi" w:cstheme="minorHAnsi"/>
        </w:rPr>
        <w:t>Production</w:t>
      </w:r>
      <w:proofErr w:type="spellEnd"/>
      <w:r w:rsidR="00A743D8">
        <w:rPr>
          <w:rFonts w:asciiTheme="minorHAnsi" w:hAnsiTheme="minorHAnsi" w:cstheme="minorHAnsi"/>
        </w:rPr>
        <w:t xml:space="preserve"> Systems a. s., v ktorých nachádzajú uplatnenie  hlavne zvárači kovov, obrábači kovov, brusiči kovov, konštruktéri strojných zariadení, strojný zámočníci, nástrojári, CNC frézari, </w:t>
      </w:r>
      <w:proofErr w:type="spellStart"/>
      <w:r w:rsidR="00A743D8">
        <w:rPr>
          <w:rFonts w:asciiTheme="minorHAnsi" w:hAnsiTheme="minorHAnsi" w:cstheme="minorHAnsi"/>
        </w:rPr>
        <w:t>horizontkári</w:t>
      </w:r>
      <w:proofErr w:type="spellEnd"/>
      <w:r w:rsidR="00A743D8">
        <w:rPr>
          <w:rFonts w:asciiTheme="minorHAnsi" w:hAnsiTheme="minorHAnsi" w:cstheme="minorHAnsi"/>
        </w:rPr>
        <w:t xml:space="preserve"> NC, ale ti</w:t>
      </w:r>
      <w:r w:rsidR="00A20947">
        <w:rPr>
          <w:rFonts w:asciiTheme="minorHAnsi" w:hAnsiTheme="minorHAnsi" w:cstheme="minorHAnsi"/>
        </w:rPr>
        <w:t>ež elektrotechnici a prevádzkoví</w:t>
      </w:r>
      <w:r w:rsidR="00A743D8">
        <w:rPr>
          <w:rFonts w:asciiTheme="minorHAnsi" w:hAnsiTheme="minorHAnsi" w:cstheme="minorHAnsi"/>
        </w:rPr>
        <w:t xml:space="preserve"> elektrikári.</w:t>
      </w:r>
    </w:p>
    <w:p w:rsidR="00A1017C" w:rsidRDefault="004C0713" w:rsidP="004C0713">
      <w:pPr>
        <w:ind w:left="284"/>
        <w:jc w:val="both"/>
        <w:rPr>
          <w:sz w:val="24"/>
          <w:szCs w:val="24"/>
        </w:rPr>
      </w:pPr>
      <w:r>
        <w:rPr>
          <w:sz w:val="24"/>
          <w:szCs w:val="24"/>
        </w:rPr>
        <w:t xml:space="preserve">     </w:t>
      </w:r>
      <w:r w:rsidR="00A743D8">
        <w:rPr>
          <w:sz w:val="24"/>
          <w:szCs w:val="24"/>
        </w:rPr>
        <w:t xml:space="preserve">V regióne Zvolen  nebol aktuálne avizovaný príchod nových investorov. V súčasnosti  medzi  najvýznamnejších zamestnávateľov v okrese  Zvolen patrí spoločnosť Continental </w:t>
      </w:r>
      <w:proofErr w:type="spellStart"/>
      <w:r w:rsidR="00A743D8">
        <w:rPr>
          <w:sz w:val="24"/>
          <w:szCs w:val="24"/>
        </w:rPr>
        <w:t>Automotive</w:t>
      </w:r>
      <w:proofErr w:type="spellEnd"/>
      <w:r w:rsidR="00A743D8">
        <w:rPr>
          <w:sz w:val="24"/>
          <w:szCs w:val="24"/>
        </w:rPr>
        <w:t xml:space="preserve"> Systems Slovakia, s. r. o., ktorá sa zaraďuje medzi 5 najlepších svetových dodávateľov pre automobilový priemysel (v súčasnosti závod vo Zvolene zamestnáva cca 980 zamestnancov). Nakoľko ide o technologickú spoločnosť orientovanú nielen na výrobu, ale aj na inováciu, svoje uplatnenie tu nájdu nielen montážni pracovníci, ale aj kvalifikovaní odborníci v rôznych oblastiach.  Ďalším významným zamestnávateľom sú Železničné opravovne a strojárne Zvolen, a. s., ktoré  momentálne navyšujú pracovné miesta v oblasti </w:t>
      </w:r>
      <w:proofErr w:type="spellStart"/>
      <w:r w:rsidR="00A743D8">
        <w:rPr>
          <w:sz w:val="24"/>
          <w:szCs w:val="24"/>
        </w:rPr>
        <w:t>elektronik</w:t>
      </w:r>
      <w:proofErr w:type="spellEnd"/>
      <w:r w:rsidR="00A743D8">
        <w:rPr>
          <w:sz w:val="24"/>
          <w:szCs w:val="24"/>
        </w:rPr>
        <w:t xml:space="preserve">, elektromechanik, NC obrábač kovov a mechanik.  Spoločnosť KRONOSPAN           s. r. o. stále udržuje tradíciu v drevospracujúcom odvetví, kde nachádzajú uplatnenie hlavne drevárski inžinieri, mechanici strojov a operátori vo výrobe. Medzi ďalších významných zamestnávateľov v regióne patria spoločnosti DRU a. s., G.L.S. s. r. o., </w:t>
      </w:r>
      <w:proofErr w:type="spellStart"/>
      <w:r w:rsidR="00A743D8">
        <w:rPr>
          <w:sz w:val="24"/>
          <w:szCs w:val="24"/>
        </w:rPr>
        <w:t>Mäspoma</w:t>
      </w:r>
      <w:proofErr w:type="spellEnd"/>
      <w:r w:rsidR="00A743D8">
        <w:rPr>
          <w:sz w:val="24"/>
          <w:szCs w:val="24"/>
        </w:rPr>
        <w:t xml:space="preserve">, spol. s r. o., Nemocnica AGEL Zvolen a. s., DEKONA s. r. o., Zvolenská mliekareň, s. r. o., SAD Zvolen, Vojenské lesy a majetky SR, š. p., ktoré aj napriek nepriaznivej mimoriadnej situácii nehlásili výrazný úbytok pracovných miest a prispeli k stabilite na trhu a v značnej miere aj k znižovaniu nezamestnanosti. </w:t>
      </w:r>
    </w:p>
    <w:p w:rsidR="00A1017C" w:rsidRDefault="00A1017C" w:rsidP="004C0713">
      <w:pPr>
        <w:ind w:left="284"/>
        <w:jc w:val="both"/>
        <w:rPr>
          <w:sz w:val="24"/>
          <w:szCs w:val="24"/>
        </w:rPr>
      </w:pPr>
    </w:p>
    <w:p w:rsidR="00A1017C" w:rsidRDefault="004C0713" w:rsidP="004C0713">
      <w:pPr>
        <w:ind w:left="284"/>
        <w:jc w:val="both"/>
        <w:rPr>
          <w:sz w:val="24"/>
          <w:szCs w:val="24"/>
        </w:rPr>
      </w:pPr>
      <w:r>
        <w:rPr>
          <w:sz w:val="24"/>
          <w:szCs w:val="24"/>
        </w:rPr>
        <w:t xml:space="preserve">     </w:t>
      </w:r>
      <w:r w:rsidR="00A743D8">
        <w:rPr>
          <w:sz w:val="24"/>
          <w:szCs w:val="24"/>
        </w:rPr>
        <w:t>V okrese Krupina je avizovaný príchod  nového investora a to spoločnosť LIDL, kde predpokladáme, že  budú nahlásené  nové pracovné miesta pre niekoľko desiatok zamestnancov.</w:t>
      </w:r>
    </w:p>
    <w:p w:rsidR="00A1017C" w:rsidRDefault="00A743D8" w:rsidP="004C0713">
      <w:pPr>
        <w:ind w:left="284"/>
        <w:jc w:val="both"/>
        <w:rPr>
          <w:sz w:val="24"/>
          <w:szCs w:val="24"/>
        </w:rPr>
      </w:pPr>
      <w:r>
        <w:rPr>
          <w:sz w:val="24"/>
          <w:szCs w:val="24"/>
        </w:rPr>
        <w:t xml:space="preserve">Spoločnosti WITTUR, s. r. o. a LIND MOBLER SLOVAKIA, s. r. o. sú najvýznamnejší zamestnávatelia v okrese Krupina, ktorí ani  počas </w:t>
      </w:r>
      <w:proofErr w:type="spellStart"/>
      <w:r>
        <w:rPr>
          <w:sz w:val="24"/>
          <w:szCs w:val="24"/>
        </w:rPr>
        <w:t>pandemickej</w:t>
      </w:r>
      <w:proofErr w:type="spellEnd"/>
      <w:r>
        <w:rPr>
          <w:sz w:val="24"/>
          <w:szCs w:val="24"/>
        </w:rPr>
        <w:t xml:space="preserve">  krízy neprepúšťali svojich zamestnancov a stále vytvárajú nové  pracovné miesta.</w:t>
      </w:r>
    </w:p>
    <w:p w:rsidR="00A1017C" w:rsidRDefault="00A743D8" w:rsidP="004C0713">
      <w:pPr>
        <w:ind w:left="284"/>
        <w:jc w:val="both"/>
        <w:rPr>
          <w:sz w:val="24"/>
          <w:szCs w:val="24"/>
        </w:rPr>
      </w:pPr>
      <w:r>
        <w:rPr>
          <w:sz w:val="24"/>
          <w:szCs w:val="24"/>
        </w:rPr>
        <w:t>Spoločnosť Brother, s. r. o. patrí medzi jedných z najväčších a najstabilnejších  zamestnávateľov v okrese Krupina a momentálne rozširuje svoju prevádzku na dvojzmennú. V súčasnosti zamestnáva 254 zamestnancov.</w:t>
      </w:r>
    </w:p>
    <w:p w:rsidR="004C0713" w:rsidRDefault="004C0713" w:rsidP="004C0713">
      <w:pPr>
        <w:ind w:left="284"/>
        <w:jc w:val="both"/>
        <w:rPr>
          <w:sz w:val="24"/>
          <w:szCs w:val="24"/>
        </w:rPr>
      </w:pPr>
    </w:p>
    <w:p w:rsidR="00A1017C" w:rsidRDefault="004C0713" w:rsidP="004C0713">
      <w:pPr>
        <w:ind w:left="284"/>
        <w:jc w:val="both"/>
        <w:rPr>
          <w:sz w:val="24"/>
          <w:szCs w:val="24"/>
        </w:rPr>
      </w:pPr>
      <w:r>
        <w:rPr>
          <w:sz w:val="24"/>
          <w:szCs w:val="24"/>
        </w:rPr>
        <w:t xml:space="preserve">     </w:t>
      </w:r>
      <w:r w:rsidR="00A743D8">
        <w:rPr>
          <w:sz w:val="24"/>
          <w:szCs w:val="24"/>
        </w:rPr>
        <w:t>Vo všetkých troch okresoch sa momentálne  začína rozbiehať segment stavebníctva (pomocné práce na stavbách, murári, zvárači, tesári) a segment gastronómie  (čašníci, kuchári, pomocné práce do kuchyne).</w:t>
      </w:r>
    </w:p>
    <w:p w:rsidR="00A1017C" w:rsidRDefault="00A1017C" w:rsidP="004C0713">
      <w:pPr>
        <w:ind w:left="284"/>
        <w:jc w:val="both"/>
        <w:rPr>
          <w:sz w:val="24"/>
          <w:szCs w:val="24"/>
        </w:rPr>
      </w:pPr>
    </w:p>
    <w:p w:rsidR="00A1017C" w:rsidRDefault="004C0713" w:rsidP="004C0713">
      <w:pPr>
        <w:ind w:left="284"/>
        <w:jc w:val="both"/>
        <w:rPr>
          <w:sz w:val="24"/>
          <w:szCs w:val="24"/>
        </w:rPr>
      </w:pPr>
      <w:r>
        <w:rPr>
          <w:sz w:val="24"/>
          <w:szCs w:val="24"/>
        </w:rPr>
        <w:t xml:space="preserve">     </w:t>
      </w:r>
      <w:r w:rsidR="00A743D8">
        <w:rPr>
          <w:sz w:val="24"/>
          <w:szCs w:val="24"/>
        </w:rPr>
        <w:t>Vznik nových pracovných miest je do značnej miery ovplyvnený kvalitnými projektmi AOTP a bude úzko previazaný s možnosťami využitia príspevkov a národných projektov v spolupráci s Úradom práce, sociálnych vecí a rodiny. Je potrebné, aby projekty na podporu zamestnanosti zohľadňovali špecifiká regiónu, boli zamerané na dlhodobo nezamestnaných s nízkym vzdelaním, uchádzačov o zamestnanie nad 50 rokov a  na zamestnávanie absolventov škôl.</w:t>
      </w:r>
    </w:p>
    <w:p w:rsidR="00A1017C" w:rsidRDefault="00A743D8" w:rsidP="004C0713">
      <w:pPr>
        <w:ind w:left="284"/>
        <w:jc w:val="both"/>
        <w:rPr>
          <w:sz w:val="24"/>
          <w:szCs w:val="24"/>
        </w:rPr>
      </w:pPr>
      <w:r>
        <w:rPr>
          <w:sz w:val="24"/>
          <w:szCs w:val="24"/>
        </w:rPr>
        <w:lastRenderedPageBreak/>
        <w:t>Taktiež  je potrebná súčinnosť škôl, zamestnávateľo</w:t>
      </w:r>
      <w:r w:rsidR="00E25197">
        <w:rPr>
          <w:sz w:val="24"/>
          <w:szCs w:val="24"/>
        </w:rPr>
        <w:t>v, vyššieho územného celku a Ú</w:t>
      </w:r>
      <w:r>
        <w:rPr>
          <w:sz w:val="24"/>
          <w:szCs w:val="24"/>
        </w:rPr>
        <w:t>radu práce</w:t>
      </w:r>
      <w:r w:rsidR="00E25197">
        <w:rPr>
          <w:sz w:val="24"/>
          <w:szCs w:val="24"/>
        </w:rPr>
        <w:t>, sociálnych vecí a rodiny</w:t>
      </w:r>
      <w:r>
        <w:rPr>
          <w:sz w:val="24"/>
          <w:szCs w:val="24"/>
        </w:rPr>
        <w:t xml:space="preserve"> s cieľom prípravy mladých ľudí pre potreby trhu práce.</w:t>
      </w:r>
    </w:p>
    <w:p w:rsidR="00A1017C" w:rsidRDefault="00A1017C" w:rsidP="004C0713">
      <w:pPr>
        <w:ind w:left="284"/>
        <w:jc w:val="both"/>
        <w:rPr>
          <w:sz w:val="24"/>
          <w:szCs w:val="24"/>
        </w:rPr>
      </w:pPr>
    </w:p>
    <w:p w:rsidR="00A1017C" w:rsidRDefault="004C0713" w:rsidP="004C0713">
      <w:pPr>
        <w:ind w:left="284"/>
        <w:jc w:val="both"/>
        <w:rPr>
          <w:sz w:val="24"/>
          <w:szCs w:val="24"/>
        </w:rPr>
      </w:pPr>
      <w:r>
        <w:rPr>
          <w:sz w:val="24"/>
          <w:szCs w:val="24"/>
        </w:rPr>
        <w:t xml:space="preserve">     </w:t>
      </w:r>
      <w:r w:rsidR="00A743D8">
        <w:rPr>
          <w:sz w:val="24"/>
          <w:szCs w:val="24"/>
        </w:rPr>
        <w:t>Do budúcna plánujeme naďalej rozvíjať spoluprácu so zamestnávateľmi prostredníctvom osobnej, e-mailovej, či telefonickej komunikácie. Zamestnávateľov budeme informovať o možnosti zrealizovania výberového konania, využívania portálu služby zamestnanosti a o aktuálnych projektoch a programoch.</w:t>
      </w:r>
    </w:p>
    <w:p w:rsidR="00A1017C" w:rsidRDefault="00A1017C">
      <w:pPr>
        <w:ind w:left="720"/>
        <w:jc w:val="both"/>
        <w:rPr>
          <w:sz w:val="24"/>
          <w:szCs w:val="24"/>
        </w:rPr>
      </w:pPr>
    </w:p>
    <w:p w:rsidR="00A1017C" w:rsidRDefault="00A1017C">
      <w:pPr>
        <w:ind w:left="720"/>
        <w:jc w:val="both"/>
        <w:rPr>
          <w:sz w:val="24"/>
          <w:szCs w:val="24"/>
        </w:rPr>
      </w:pPr>
    </w:p>
    <w:p w:rsidR="00A1017C" w:rsidRDefault="00A743D8" w:rsidP="00BC52FC">
      <w:pPr>
        <w:ind w:left="284"/>
        <w:jc w:val="both"/>
        <w:rPr>
          <w:sz w:val="24"/>
          <w:szCs w:val="24"/>
          <w:u w:val="single"/>
        </w:rPr>
      </w:pPr>
      <w:r>
        <w:rPr>
          <w:sz w:val="24"/>
          <w:szCs w:val="24"/>
          <w:u w:val="single"/>
        </w:rPr>
        <w:t xml:space="preserve">Stručné zhodnotenie príležitostí a hrozieb </w:t>
      </w:r>
    </w:p>
    <w:p w:rsidR="00A1017C" w:rsidRDefault="00A1017C">
      <w:pPr>
        <w:ind w:left="720"/>
        <w:jc w:val="both"/>
        <w:rPr>
          <w:sz w:val="24"/>
          <w:szCs w:val="24"/>
          <w:u w:val="single"/>
        </w:rPr>
      </w:pPr>
    </w:p>
    <w:p w:rsidR="00A1017C" w:rsidRDefault="00A743D8" w:rsidP="00BC52FC">
      <w:pPr>
        <w:tabs>
          <w:tab w:val="left" w:pos="2858"/>
        </w:tabs>
        <w:ind w:left="284"/>
        <w:jc w:val="both"/>
        <w:rPr>
          <w:sz w:val="24"/>
          <w:szCs w:val="24"/>
        </w:rPr>
      </w:pPr>
      <w:r>
        <w:rPr>
          <w:b/>
          <w:sz w:val="24"/>
          <w:szCs w:val="24"/>
        </w:rPr>
        <w:t>Príležitosti</w:t>
      </w:r>
      <w:r>
        <w:rPr>
          <w:sz w:val="24"/>
          <w:szCs w:val="24"/>
        </w:rPr>
        <w:t xml:space="preserve">: </w:t>
      </w:r>
    </w:p>
    <w:p w:rsidR="00A1017C" w:rsidRDefault="00A743D8" w:rsidP="00BC52FC">
      <w:pPr>
        <w:spacing w:line="276" w:lineRule="auto"/>
        <w:ind w:left="284"/>
        <w:jc w:val="both"/>
        <w:rPr>
          <w:sz w:val="24"/>
          <w:szCs w:val="24"/>
        </w:rPr>
      </w:pPr>
      <w:r>
        <w:rPr>
          <w:sz w:val="24"/>
          <w:szCs w:val="24"/>
        </w:rPr>
        <w:t>Voľná kapacita v existujúcich priemyselných parkoch.</w:t>
      </w:r>
    </w:p>
    <w:p w:rsidR="00A1017C" w:rsidRDefault="00A743D8" w:rsidP="00BC52FC">
      <w:pPr>
        <w:spacing w:line="276" w:lineRule="auto"/>
        <w:ind w:left="284"/>
        <w:jc w:val="both"/>
        <w:rPr>
          <w:sz w:val="24"/>
          <w:szCs w:val="24"/>
        </w:rPr>
      </w:pPr>
      <w:r>
        <w:rPr>
          <w:sz w:val="24"/>
          <w:szCs w:val="24"/>
        </w:rPr>
        <w:t>Nevyužívané výrobné a skladovacie priestory.</w:t>
      </w:r>
    </w:p>
    <w:p w:rsidR="00A1017C" w:rsidRDefault="00A743D8" w:rsidP="00BC52FC">
      <w:pPr>
        <w:spacing w:line="276" w:lineRule="auto"/>
        <w:ind w:left="284"/>
        <w:jc w:val="both"/>
        <w:rPr>
          <w:sz w:val="24"/>
          <w:szCs w:val="24"/>
        </w:rPr>
      </w:pPr>
      <w:r>
        <w:rPr>
          <w:sz w:val="24"/>
          <w:szCs w:val="24"/>
        </w:rPr>
        <w:t>Strategická poloha regiónu v centrálnej časti Slovenska aj Európy.</w:t>
      </w:r>
    </w:p>
    <w:p w:rsidR="00A1017C" w:rsidRDefault="00A743D8" w:rsidP="00BC52FC">
      <w:pPr>
        <w:spacing w:line="276" w:lineRule="auto"/>
        <w:ind w:left="284"/>
        <w:jc w:val="both"/>
        <w:rPr>
          <w:sz w:val="24"/>
          <w:szCs w:val="24"/>
        </w:rPr>
      </w:pPr>
      <w:r>
        <w:rPr>
          <w:sz w:val="24"/>
          <w:szCs w:val="24"/>
        </w:rPr>
        <w:t>Vybudovanie rýchlostnej cesty R2 Kriváň - Mýtna - Lučenec.</w:t>
      </w:r>
    </w:p>
    <w:p w:rsidR="00A1017C" w:rsidRDefault="00A743D8" w:rsidP="00BC52FC">
      <w:pPr>
        <w:spacing w:line="276" w:lineRule="auto"/>
        <w:ind w:left="284"/>
        <w:jc w:val="both"/>
        <w:rPr>
          <w:sz w:val="24"/>
          <w:szCs w:val="24"/>
        </w:rPr>
      </w:pPr>
      <w:r>
        <w:rPr>
          <w:sz w:val="24"/>
          <w:szCs w:val="24"/>
        </w:rPr>
        <w:t>Železničný uzol Zvolen s prepojením na národnú a medzinárodnú dopravnú sieť.</w:t>
      </w:r>
    </w:p>
    <w:p w:rsidR="00A1017C" w:rsidRDefault="00A743D8" w:rsidP="00BC52FC">
      <w:pPr>
        <w:spacing w:line="276" w:lineRule="auto"/>
        <w:ind w:left="284"/>
        <w:jc w:val="both"/>
        <w:rPr>
          <w:sz w:val="24"/>
          <w:szCs w:val="24"/>
        </w:rPr>
      </w:pPr>
      <w:r>
        <w:rPr>
          <w:sz w:val="24"/>
          <w:szCs w:val="24"/>
        </w:rPr>
        <w:t>Možnosť využívania podporných fondov pre rozvoj regiónu.</w:t>
      </w:r>
    </w:p>
    <w:p w:rsidR="00A1017C" w:rsidRDefault="00A743D8" w:rsidP="00BC52FC">
      <w:pPr>
        <w:spacing w:line="276" w:lineRule="auto"/>
        <w:ind w:left="284"/>
        <w:jc w:val="both"/>
        <w:rPr>
          <w:sz w:val="24"/>
          <w:szCs w:val="24"/>
        </w:rPr>
      </w:pPr>
      <w:r>
        <w:rPr>
          <w:sz w:val="24"/>
          <w:szCs w:val="24"/>
        </w:rPr>
        <w:t>Využívanie nových technológií a inovácií.</w:t>
      </w:r>
    </w:p>
    <w:p w:rsidR="00A1017C" w:rsidRDefault="00A743D8" w:rsidP="00BC52FC">
      <w:pPr>
        <w:spacing w:line="276" w:lineRule="auto"/>
        <w:ind w:left="284"/>
        <w:jc w:val="both"/>
        <w:rPr>
          <w:sz w:val="24"/>
          <w:szCs w:val="24"/>
        </w:rPr>
      </w:pPr>
      <w:r>
        <w:rPr>
          <w:sz w:val="24"/>
          <w:szCs w:val="24"/>
        </w:rPr>
        <w:t>Potenciál regiónu pre rozvoj vidieka, cestovného ruchu, agroturistiky a </w:t>
      </w:r>
      <w:proofErr w:type="spellStart"/>
      <w:r>
        <w:rPr>
          <w:sz w:val="24"/>
          <w:szCs w:val="24"/>
        </w:rPr>
        <w:t>ekoturizmu</w:t>
      </w:r>
      <w:proofErr w:type="spellEnd"/>
      <w:r>
        <w:rPr>
          <w:sz w:val="24"/>
          <w:szCs w:val="24"/>
        </w:rPr>
        <w:t>.</w:t>
      </w:r>
    </w:p>
    <w:p w:rsidR="00A1017C" w:rsidRDefault="00A1017C" w:rsidP="00BC52FC">
      <w:pPr>
        <w:ind w:left="284"/>
        <w:jc w:val="both"/>
        <w:rPr>
          <w:b/>
          <w:sz w:val="24"/>
          <w:szCs w:val="24"/>
        </w:rPr>
      </w:pPr>
    </w:p>
    <w:p w:rsidR="00A1017C" w:rsidRDefault="00A743D8" w:rsidP="00BC52FC">
      <w:pPr>
        <w:ind w:left="284"/>
        <w:jc w:val="both"/>
        <w:rPr>
          <w:b/>
          <w:sz w:val="24"/>
          <w:szCs w:val="24"/>
        </w:rPr>
      </w:pPr>
      <w:r>
        <w:rPr>
          <w:b/>
          <w:sz w:val="24"/>
          <w:szCs w:val="24"/>
        </w:rPr>
        <w:t>Hrozby:</w:t>
      </w:r>
    </w:p>
    <w:p w:rsidR="00A1017C" w:rsidRDefault="00A743D8" w:rsidP="00BC52FC">
      <w:pPr>
        <w:ind w:left="284"/>
        <w:jc w:val="both"/>
        <w:rPr>
          <w:sz w:val="24"/>
          <w:szCs w:val="24"/>
        </w:rPr>
      </w:pPr>
      <w:r>
        <w:rPr>
          <w:sz w:val="24"/>
          <w:szCs w:val="24"/>
        </w:rPr>
        <w:t xml:space="preserve">Znižujúca sa úroveň odborného vzdelávania budúcej pracovnej sily v dôsledku nevykonávania odbornej praxe z dôvodu </w:t>
      </w:r>
      <w:proofErr w:type="spellStart"/>
      <w:r>
        <w:rPr>
          <w:sz w:val="24"/>
          <w:szCs w:val="24"/>
        </w:rPr>
        <w:t>pandemických</w:t>
      </w:r>
      <w:proofErr w:type="spellEnd"/>
      <w:r>
        <w:rPr>
          <w:sz w:val="24"/>
          <w:szCs w:val="24"/>
        </w:rPr>
        <w:t xml:space="preserve"> opatrení.</w:t>
      </w:r>
    </w:p>
    <w:p w:rsidR="00A1017C" w:rsidRDefault="00A743D8" w:rsidP="00BC52FC">
      <w:pPr>
        <w:ind w:left="284"/>
        <w:jc w:val="both"/>
        <w:rPr>
          <w:sz w:val="24"/>
          <w:szCs w:val="24"/>
        </w:rPr>
      </w:pPr>
      <w:r>
        <w:rPr>
          <w:sz w:val="24"/>
          <w:szCs w:val="24"/>
        </w:rPr>
        <w:t>Mimoriadna situácia a núdzový stav z dôvodu pandémie COVID 19.</w:t>
      </w:r>
    </w:p>
    <w:p w:rsidR="00A1017C" w:rsidRDefault="00A743D8" w:rsidP="00BC52FC">
      <w:pPr>
        <w:ind w:left="284"/>
        <w:jc w:val="both"/>
        <w:rPr>
          <w:sz w:val="24"/>
          <w:szCs w:val="24"/>
        </w:rPr>
      </w:pPr>
      <w:r>
        <w:rPr>
          <w:sz w:val="24"/>
          <w:szCs w:val="24"/>
        </w:rPr>
        <w:t>Pretrvávajúci nezáujem o technické vzdelávanie, strojárske a remeselné profesie.</w:t>
      </w:r>
    </w:p>
    <w:p w:rsidR="00A1017C" w:rsidRDefault="00A743D8" w:rsidP="00BC52FC">
      <w:pPr>
        <w:ind w:left="284"/>
        <w:jc w:val="both"/>
        <w:rPr>
          <w:sz w:val="24"/>
          <w:szCs w:val="24"/>
        </w:rPr>
      </w:pPr>
      <w:r>
        <w:rPr>
          <w:sz w:val="24"/>
          <w:szCs w:val="24"/>
        </w:rPr>
        <w:t>Úbytok kvalifikovanej pracovnej sily z regiónu – automobilky západné Slovensko.</w:t>
      </w:r>
    </w:p>
    <w:p w:rsidR="00A1017C" w:rsidRDefault="00A743D8" w:rsidP="00BC52FC">
      <w:pPr>
        <w:ind w:left="284"/>
        <w:jc w:val="both"/>
        <w:rPr>
          <w:sz w:val="24"/>
          <w:szCs w:val="24"/>
        </w:rPr>
      </w:pPr>
      <w:r>
        <w:rPr>
          <w:sz w:val="24"/>
          <w:szCs w:val="24"/>
        </w:rPr>
        <w:t>Nedostatok investičného kapitálu a vlastných zdrojov pre rozvoj podnikania.</w:t>
      </w:r>
    </w:p>
    <w:p w:rsidR="00A1017C" w:rsidRDefault="00A743D8" w:rsidP="00BC52FC">
      <w:pPr>
        <w:ind w:left="284"/>
        <w:jc w:val="both"/>
        <w:rPr>
          <w:sz w:val="24"/>
          <w:szCs w:val="24"/>
        </w:rPr>
      </w:pPr>
      <w:r>
        <w:rPr>
          <w:sz w:val="24"/>
          <w:szCs w:val="24"/>
        </w:rPr>
        <w:t>Nedostatočná propagácia a podpora rozvoja cestovného ruchu a agroturistiky.</w:t>
      </w:r>
    </w:p>
    <w:p w:rsidR="00A1017C" w:rsidRDefault="00A743D8" w:rsidP="00BC52FC">
      <w:pPr>
        <w:ind w:left="284"/>
        <w:jc w:val="both"/>
        <w:rPr>
          <w:sz w:val="24"/>
          <w:szCs w:val="24"/>
        </w:rPr>
      </w:pPr>
      <w:r>
        <w:rPr>
          <w:sz w:val="24"/>
          <w:szCs w:val="24"/>
        </w:rPr>
        <w:t>Nesúlad kvalifikovanej pracovnej sily s potrebami pracovného trhu.</w:t>
      </w:r>
    </w:p>
    <w:p w:rsidR="00A1017C" w:rsidRDefault="00A743D8" w:rsidP="00BC52FC">
      <w:pPr>
        <w:ind w:left="284"/>
        <w:jc w:val="both"/>
        <w:rPr>
          <w:sz w:val="24"/>
          <w:szCs w:val="24"/>
        </w:rPr>
      </w:pPr>
      <w:r>
        <w:rPr>
          <w:sz w:val="24"/>
          <w:szCs w:val="24"/>
        </w:rPr>
        <w:t>Nedostatok materiálov a výpadky v zásobovaní.</w:t>
      </w:r>
    </w:p>
    <w:p w:rsidR="00A1017C" w:rsidRDefault="00A743D8" w:rsidP="00BC52FC">
      <w:pPr>
        <w:ind w:left="284"/>
        <w:jc w:val="both"/>
        <w:rPr>
          <w:sz w:val="24"/>
          <w:szCs w:val="24"/>
        </w:rPr>
      </w:pPr>
      <w:r>
        <w:rPr>
          <w:sz w:val="24"/>
          <w:szCs w:val="24"/>
        </w:rPr>
        <w:t>Nepriaznivý demografický vývoj.</w:t>
      </w:r>
    </w:p>
    <w:p w:rsidR="00A1017C" w:rsidRDefault="00A743D8" w:rsidP="00BC52FC">
      <w:pPr>
        <w:ind w:left="284"/>
        <w:jc w:val="both"/>
        <w:rPr>
          <w:sz w:val="24"/>
          <w:szCs w:val="24"/>
        </w:rPr>
      </w:pPr>
      <w:r>
        <w:rPr>
          <w:sz w:val="24"/>
          <w:szCs w:val="24"/>
        </w:rPr>
        <w:t>Nedobudovanie dopravnej infraštruktúry.</w:t>
      </w:r>
    </w:p>
    <w:p w:rsidR="00A1017C" w:rsidRDefault="00A1017C" w:rsidP="00BC52FC">
      <w:pPr>
        <w:ind w:left="284"/>
        <w:jc w:val="both"/>
        <w:rPr>
          <w:sz w:val="24"/>
          <w:szCs w:val="24"/>
          <w:u w:val="single"/>
        </w:rPr>
      </w:pPr>
    </w:p>
    <w:p w:rsidR="00A1017C" w:rsidRDefault="00A743D8" w:rsidP="00BC52FC">
      <w:pPr>
        <w:ind w:left="284"/>
        <w:jc w:val="both"/>
        <w:rPr>
          <w:b/>
          <w:sz w:val="24"/>
          <w:szCs w:val="24"/>
          <w:u w:val="single"/>
        </w:rPr>
      </w:pPr>
      <w:r>
        <w:rPr>
          <w:b/>
          <w:sz w:val="24"/>
          <w:szCs w:val="24"/>
          <w:u w:val="single"/>
        </w:rPr>
        <w:t xml:space="preserve">Hromadné prepúšťanie </w:t>
      </w:r>
    </w:p>
    <w:p w:rsidR="00A1017C" w:rsidRDefault="00A1017C" w:rsidP="00BC52FC">
      <w:pPr>
        <w:ind w:left="284"/>
        <w:jc w:val="both"/>
        <w:rPr>
          <w:sz w:val="24"/>
          <w:szCs w:val="24"/>
          <w:u w:val="single"/>
        </w:rPr>
      </w:pPr>
    </w:p>
    <w:p w:rsidR="00A1017C" w:rsidRDefault="00A743D8" w:rsidP="00BC52FC">
      <w:pPr>
        <w:spacing w:after="200" w:line="276" w:lineRule="auto"/>
        <w:ind w:left="284"/>
        <w:contextualSpacing/>
        <w:jc w:val="both"/>
        <w:rPr>
          <w:sz w:val="24"/>
          <w:szCs w:val="24"/>
          <w:u w:val="single"/>
        </w:rPr>
      </w:pPr>
      <w:r>
        <w:rPr>
          <w:iCs/>
          <w:sz w:val="24"/>
          <w:szCs w:val="24"/>
        </w:rPr>
        <w:t>V období od 1.1.2021 do 31.12.2021  v okresoch  Zvolen, Detva a Krupina nebolo nahlásené   žiadne hromadné prepúšťanie.  </w:t>
      </w:r>
    </w:p>
    <w:p w:rsidR="00A1017C" w:rsidRDefault="00A743D8" w:rsidP="00BC52FC">
      <w:pPr>
        <w:ind w:left="284"/>
        <w:jc w:val="both"/>
        <w:rPr>
          <w:sz w:val="24"/>
          <w:szCs w:val="24"/>
        </w:rPr>
      </w:pPr>
      <w:r>
        <w:rPr>
          <w:sz w:val="24"/>
          <w:szCs w:val="24"/>
        </w:rPr>
        <w:t xml:space="preserve">Zrealizované bolo jedno hromadné prepúšťanie pre spoločnosť  Letisko Sliač a. s., </w:t>
      </w:r>
    </w:p>
    <w:p w:rsidR="00A1017C" w:rsidRDefault="00A743D8" w:rsidP="00BC52FC">
      <w:pPr>
        <w:ind w:left="284"/>
        <w:jc w:val="both"/>
        <w:rPr>
          <w:sz w:val="24"/>
          <w:szCs w:val="24"/>
        </w:rPr>
      </w:pPr>
      <w:r>
        <w:rPr>
          <w:sz w:val="24"/>
          <w:szCs w:val="24"/>
        </w:rPr>
        <w:t>IČO: 36633283 v období od 18.01.2021 do 01.03.2021 s celkovým počtom prepustených zamestnancov 24.</w:t>
      </w:r>
    </w:p>
    <w:p w:rsidR="00A1017C" w:rsidRDefault="00A1017C">
      <w:pPr>
        <w:jc w:val="both"/>
        <w:rPr>
          <w:sz w:val="24"/>
          <w:szCs w:val="24"/>
        </w:rPr>
      </w:pPr>
    </w:p>
    <w:p w:rsidR="00A1017C" w:rsidRDefault="00A743D8">
      <w:pPr>
        <w:pStyle w:val="Odsekzoznamu"/>
        <w:numPr>
          <w:ilvl w:val="0"/>
          <w:numId w:val="33"/>
        </w:numPr>
        <w:spacing w:before="120" w:after="0" w:line="240" w:lineRule="auto"/>
        <w:ind w:left="284" w:hanging="284"/>
        <w:contextualSpacing w:val="0"/>
        <w:jc w:val="both"/>
        <w:rPr>
          <w:sz w:val="24"/>
          <w:szCs w:val="24"/>
        </w:rPr>
      </w:pPr>
      <w:r>
        <w:rPr>
          <w:b/>
          <w:sz w:val="24"/>
          <w:szCs w:val="24"/>
        </w:rPr>
        <w:t>Priority podpory zamestnanosti v územnom obvode úradu pre rok 2022</w:t>
      </w:r>
    </w:p>
    <w:p w:rsidR="00A1017C" w:rsidRDefault="00A743D8">
      <w:pPr>
        <w:pStyle w:val="Odsekzoznamu"/>
        <w:numPr>
          <w:ilvl w:val="0"/>
          <w:numId w:val="31"/>
        </w:numPr>
        <w:jc w:val="both"/>
        <w:rPr>
          <w:sz w:val="24"/>
          <w:szCs w:val="24"/>
        </w:rPr>
      </w:pPr>
      <w:r>
        <w:rPr>
          <w:sz w:val="24"/>
          <w:szCs w:val="24"/>
        </w:rPr>
        <w:t>Počet agentov pre voľné pracovné miesta (ďalej len „VPM“): 7</w:t>
      </w:r>
    </w:p>
    <w:p w:rsidR="00A1017C" w:rsidRDefault="00A743D8">
      <w:pPr>
        <w:pStyle w:val="Odsekzoznamu"/>
        <w:numPr>
          <w:ilvl w:val="0"/>
          <w:numId w:val="31"/>
        </w:numPr>
        <w:jc w:val="both"/>
        <w:rPr>
          <w:sz w:val="24"/>
          <w:szCs w:val="24"/>
        </w:rPr>
      </w:pPr>
      <w:r>
        <w:rPr>
          <w:sz w:val="24"/>
          <w:szCs w:val="24"/>
        </w:rPr>
        <w:t>VPM – počet VPM v roku 2021 (prítok): 4 033</w:t>
      </w:r>
    </w:p>
    <w:p w:rsidR="00A1017C" w:rsidRDefault="00A743D8">
      <w:pPr>
        <w:pStyle w:val="Odsekzoznamu"/>
        <w:numPr>
          <w:ilvl w:val="0"/>
          <w:numId w:val="31"/>
        </w:numPr>
        <w:jc w:val="both"/>
        <w:rPr>
          <w:sz w:val="24"/>
          <w:szCs w:val="24"/>
        </w:rPr>
      </w:pPr>
      <w:r>
        <w:rPr>
          <w:sz w:val="24"/>
          <w:szCs w:val="24"/>
        </w:rPr>
        <w:t>Predpokladaný počet VPM v roku 2022 (prítok za celý rok): 4 200</w:t>
      </w:r>
    </w:p>
    <w:p w:rsidR="00A1017C" w:rsidRDefault="00A743D8">
      <w:pPr>
        <w:pStyle w:val="Odsekzoznamu"/>
        <w:numPr>
          <w:ilvl w:val="0"/>
          <w:numId w:val="31"/>
        </w:numPr>
        <w:jc w:val="both"/>
        <w:rPr>
          <w:color w:val="00B050"/>
          <w:sz w:val="24"/>
          <w:szCs w:val="24"/>
        </w:rPr>
      </w:pPr>
      <w:r>
        <w:rPr>
          <w:sz w:val="24"/>
          <w:szCs w:val="24"/>
        </w:rPr>
        <w:t>Počet realizovaných výberových konaní (ďalej len „VK“) v roku 2021: 52</w:t>
      </w:r>
    </w:p>
    <w:p w:rsidR="00A1017C" w:rsidRDefault="00A743D8">
      <w:pPr>
        <w:pStyle w:val="Odsekzoznamu"/>
        <w:numPr>
          <w:ilvl w:val="0"/>
          <w:numId w:val="31"/>
        </w:numPr>
        <w:jc w:val="both"/>
        <w:rPr>
          <w:color w:val="00B050"/>
          <w:sz w:val="24"/>
          <w:szCs w:val="24"/>
        </w:rPr>
      </w:pPr>
      <w:r>
        <w:rPr>
          <w:sz w:val="24"/>
          <w:szCs w:val="24"/>
        </w:rPr>
        <w:lastRenderedPageBreak/>
        <w:t>Plánovaný počet VK na rok 2022: 60</w:t>
      </w:r>
    </w:p>
    <w:p w:rsidR="00A1017C" w:rsidRDefault="00A743D8">
      <w:pPr>
        <w:pStyle w:val="Odsekzoznamu"/>
        <w:numPr>
          <w:ilvl w:val="0"/>
          <w:numId w:val="31"/>
        </w:numPr>
        <w:jc w:val="both"/>
        <w:rPr>
          <w:sz w:val="24"/>
          <w:szCs w:val="24"/>
        </w:rPr>
      </w:pPr>
      <w:r>
        <w:rPr>
          <w:sz w:val="24"/>
          <w:szCs w:val="24"/>
        </w:rPr>
        <w:t>Počet osobných návštev u zamestnávateľov v roku 2021 (vrátane realizovaných stretnutí so zamestnávateľmi na úrade, raňajok so zamestnávateľmi): 353</w:t>
      </w:r>
    </w:p>
    <w:p w:rsidR="00A1017C" w:rsidRPr="00A20947" w:rsidRDefault="00A743D8" w:rsidP="00A20947">
      <w:pPr>
        <w:pStyle w:val="Odsekzoznamu"/>
        <w:numPr>
          <w:ilvl w:val="0"/>
          <w:numId w:val="31"/>
        </w:numPr>
        <w:jc w:val="both"/>
        <w:rPr>
          <w:sz w:val="24"/>
          <w:szCs w:val="24"/>
        </w:rPr>
      </w:pPr>
      <w:r>
        <w:rPr>
          <w:sz w:val="24"/>
          <w:szCs w:val="24"/>
        </w:rPr>
        <w:t>Plánovaný počet osobných návštev u zamestnávateľov v roku 2022: 580</w:t>
      </w:r>
    </w:p>
    <w:p w:rsidR="00A1017C" w:rsidRDefault="00A1017C">
      <w:pPr>
        <w:pStyle w:val="Odsekzoznamu"/>
        <w:ind w:left="644"/>
        <w:rPr>
          <w:b/>
          <w:sz w:val="24"/>
          <w:szCs w:val="24"/>
        </w:rPr>
      </w:pPr>
    </w:p>
    <w:p w:rsidR="00A1017C" w:rsidRDefault="00A743D8">
      <w:pPr>
        <w:pStyle w:val="Odsekzoznamu"/>
        <w:ind w:left="644"/>
        <w:jc w:val="center"/>
        <w:rPr>
          <w:b/>
          <w:sz w:val="24"/>
          <w:szCs w:val="24"/>
        </w:rPr>
      </w:pPr>
      <w:r>
        <w:rPr>
          <w:b/>
          <w:sz w:val="24"/>
          <w:szCs w:val="24"/>
        </w:rPr>
        <w:t>Najväčší zamestnávatelia v územnom obvode ÚPSVR Zvolen</w:t>
      </w:r>
    </w:p>
    <w:p w:rsidR="00A1017C" w:rsidRDefault="00A1017C">
      <w:pPr>
        <w:pStyle w:val="Odsekzoznamu"/>
        <w:spacing w:after="0" w:line="240" w:lineRule="auto"/>
        <w:ind w:left="644"/>
        <w:contextualSpacing w:val="0"/>
        <w:jc w:val="both"/>
        <w:rPr>
          <w:sz w:val="24"/>
          <w:szCs w:val="24"/>
        </w:rPr>
      </w:pPr>
    </w:p>
    <w:tbl>
      <w:tblPr>
        <w:tblStyle w:val="Mriekatabuky"/>
        <w:tblW w:w="0" w:type="auto"/>
        <w:tblInd w:w="959" w:type="dxa"/>
        <w:tblLook w:val="04A0" w:firstRow="1" w:lastRow="0" w:firstColumn="1" w:lastColumn="0" w:noHBand="0" w:noVBand="1"/>
      </w:tblPr>
      <w:tblGrid>
        <w:gridCol w:w="1179"/>
        <w:gridCol w:w="3727"/>
        <w:gridCol w:w="1739"/>
        <w:gridCol w:w="1883"/>
      </w:tblGrid>
      <w:tr w:rsidR="00A1017C">
        <w:tc>
          <w:tcPr>
            <w:tcW w:w="1179" w:type="dxa"/>
          </w:tcPr>
          <w:p w:rsidR="00A1017C" w:rsidRDefault="00A743D8">
            <w:pPr>
              <w:pStyle w:val="Odsekzoznamu"/>
              <w:spacing w:after="0" w:line="240" w:lineRule="auto"/>
              <w:ind w:left="0"/>
              <w:contextualSpacing w:val="0"/>
              <w:jc w:val="center"/>
              <w:rPr>
                <w:b/>
                <w:sz w:val="24"/>
                <w:szCs w:val="24"/>
              </w:rPr>
            </w:pPr>
            <w:r>
              <w:rPr>
                <w:b/>
                <w:sz w:val="24"/>
                <w:szCs w:val="24"/>
              </w:rPr>
              <w:t>OKRES</w:t>
            </w:r>
          </w:p>
        </w:tc>
        <w:tc>
          <w:tcPr>
            <w:tcW w:w="3727" w:type="dxa"/>
          </w:tcPr>
          <w:p w:rsidR="00A1017C" w:rsidRDefault="00A743D8">
            <w:pPr>
              <w:pStyle w:val="Odsekzoznamu"/>
              <w:spacing w:after="0" w:line="240" w:lineRule="auto"/>
              <w:ind w:left="0"/>
              <w:contextualSpacing w:val="0"/>
              <w:jc w:val="center"/>
              <w:rPr>
                <w:b/>
                <w:sz w:val="24"/>
                <w:szCs w:val="24"/>
              </w:rPr>
            </w:pPr>
            <w:r>
              <w:rPr>
                <w:b/>
                <w:sz w:val="24"/>
                <w:szCs w:val="24"/>
              </w:rPr>
              <w:t>ZAMESTNÁVATEĽ</w:t>
            </w:r>
          </w:p>
        </w:tc>
        <w:tc>
          <w:tcPr>
            <w:tcW w:w="1739" w:type="dxa"/>
          </w:tcPr>
          <w:p w:rsidR="00A1017C" w:rsidRDefault="00A743D8">
            <w:pPr>
              <w:pStyle w:val="Odsekzoznamu"/>
              <w:spacing w:after="0" w:line="240" w:lineRule="auto"/>
              <w:ind w:left="0"/>
              <w:contextualSpacing w:val="0"/>
              <w:jc w:val="center"/>
              <w:rPr>
                <w:b/>
                <w:sz w:val="24"/>
                <w:szCs w:val="24"/>
              </w:rPr>
            </w:pPr>
            <w:r>
              <w:rPr>
                <w:b/>
                <w:sz w:val="24"/>
                <w:szCs w:val="24"/>
              </w:rPr>
              <w:t>SK - NACE</w:t>
            </w:r>
          </w:p>
        </w:tc>
        <w:tc>
          <w:tcPr>
            <w:tcW w:w="1883" w:type="dxa"/>
          </w:tcPr>
          <w:p w:rsidR="00A1017C" w:rsidRDefault="00A743D8">
            <w:pPr>
              <w:pStyle w:val="Odsekzoznamu"/>
              <w:spacing w:after="0" w:line="240" w:lineRule="auto"/>
              <w:ind w:left="0"/>
              <w:contextualSpacing w:val="0"/>
              <w:jc w:val="center"/>
              <w:rPr>
                <w:b/>
                <w:sz w:val="24"/>
                <w:szCs w:val="24"/>
              </w:rPr>
            </w:pPr>
            <w:r>
              <w:rPr>
                <w:b/>
                <w:sz w:val="24"/>
                <w:szCs w:val="24"/>
              </w:rPr>
              <w:t>POČET ZAM.</w:t>
            </w:r>
          </w:p>
        </w:tc>
      </w:tr>
      <w:tr w:rsidR="00A1017C">
        <w:trPr>
          <w:trHeight w:val="564"/>
        </w:trPr>
        <w:tc>
          <w:tcPr>
            <w:tcW w:w="1179" w:type="dxa"/>
            <w:vAlign w:val="bottom"/>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Krupina</w:t>
            </w:r>
          </w:p>
        </w:tc>
        <w:tc>
          <w:tcPr>
            <w:tcW w:w="3727" w:type="dxa"/>
            <w:vAlign w:val="bottom"/>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COOP Jednota Krupina, spotrebné družstvo</w:t>
            </w:r>
          </w:p>
        </w:tc>
        <w:tc>
          <w:tcPr>
            <w:tcW w:w="1739" w:type="dxa"/>
          </w:tcPr>
          <w:p w:rsidR="00A1017C" w:rsidRDefault="00A1017C">
            <w:pPr>
              <w:jc w:val="center"/>
              <w:rPr>
                <w:rFonts w:eastAsia="Times New Roman" w:cs="Times New Roman"/>
                <w:sz w:val="24"/>
                <w:szCs w:val="24"/>
                <w:lang w:eastAsia="sk-SK"/>
              </w:rPr>
            </w:pPr>
          </w:p>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47110</w:t>
            </w:r>
          </w:p>
        </w:tc>
        <w:tc>
          <w:tcPr>
            <w:tcW w:w="1883" w:type="dxa"/>
            <w:vAlign w:val="bottom"/>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1 063</w:t>
            </w:r>
          </w:p>
        </w:tc>
      </w:tr>
      <w:tr w:rsidR="00A1017C">
        <w:trPr>
          <w:trHeight w:val="564"/>
        </w:trPr>
        <w:tc>
          <w:tcPr>
            <w:tcW w:w="1179" w:type="dxa"/>
            <w:vAlign w:val="center"/>
          </w:tcPr>
          <w:p w:rsidR="00A1017C" w:rsidRDefault="00A1017C">
            <w:pPr>
              <w:jc w:val="center"/>
              <w:rPr>
                <w:rFonts w:eastAsia="Times New Roman" w:cs="Times New Roman"/>
                <w:sz w:val="24"/>
                <w:szCs w:val="24"/>
                <w:lang w:eastAsia="sk-SK"/>
              </w:rPr>
            </w:pPr>
          </w:p>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Zvolen</w:t>
            </w:r>
          </w:p>
        </w:tc>
        <w:tc>
          <w:tcPr>
            <w:tcW w:w="3727" w:type="dxa"/>
            <w:vAlign w:val="bottom"/>
          </w:tcPr>
          <w:p w:rsidR="00A1017C" w:rsidRDefault="00A743D8">
            <w:pPr>
              <w:jc w:val="both"/>
              <w:rPr>
                <w:rFonts w:eastAsia="Times New Roman" w:cs="Times New Roman"/>
                <w:sz w:val="24"/>
                <w:szCs w:val="24"/>
                <w:lang w:eastAsia="sk-SK"/>
              </w:rPr>
            </w:pPr>
            <w:r>
              <w:rPr>
                <w:rFonts w:eastAsia="Times New Roman" w:cs="Times New Roman"/>
                <w:sz w:val="24"/>
                <w:szCs w:val="24"/>
                <w:lang w:eastAsia="sk-SK"/>
              </w:rPr>
              <w:t xml:space="preserve">Continental </w:t>
            </w:r>
            <w:proofErr w:type="spellStart"/>
            <w:r>
              <w:rPr>
                <w:rFonts w:eastAsia="Times New Roman" w:cs="Times New Roman"/>
                <w:sz w:val="24"/>
                <w:szCs w:val="24"/>
                <w:lang w:eastAsia="sk-SK"/>
              </w:rPr>
              <w:t>Automotive</w:t>
            </w:r>
            <w:proofErr w:type="spellEnd"/>
            <w:r>
              <w:rPr>
                <w:rFonts w:eastAsia="Times New Roman" w:cs="Times New Roman"/>
                <w:sz w:val="24"/>
                <w:szCs w:val="24"/>
                <w:lang w:eastAsia="sk-SK"/>
              </w:rPr>
              <w:t xml:space="preserve"> Systems Slovakia s. r. o.</w:t>
            </w:r>
          </w:p>
        </w:tc>
        <w:tc>
          <w:tcPr>
            <w:tcW w:w="1739" w:type="dxa"/>
          </w:tcPr>
          <w:p w:rsidR="00A1017C" w:rsidRDefault="00A1017C">
            <w:pPr>
              <w:jc w:val="center"/>
              <w:rPr>
                <w:rFonts w:eastAsia="Times New Roman" w:cs="Times New Roman"/>
                <w:sz w:val="24"/>
                <w:szCs w:val="24"/>
                <w:lang w:eastAsia="sk-SK"/>
              </w:rPr>
            </w:pPr>
          </w:p>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29320</w:t>
            </w:r>
          </w:p>
        </w:tc>
        <w:tc>
          <w:tcPr>
            <w:tcW w:w="1883" w:type="dxa"/>
            <w:vAlign w:val="center"/>
          </w:tcPr>
          <w:p w:rsidR="00A1017C" w:rsidRDefault="00A1017C">
            <w:pPr>
              <w:jc w:val="center"/>
              <w:rPr>
                <w:rFonts w:eastAsia="Times New Roman" w:cs="Times New Roman"/>
                <w:sz w:val="24"/>
                <w:szCs w:val="24"/>
                <w:lang w:eastAsia="sk-SK"/>
              </w:rPr>
            </w:pPr>
          </w:p>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980</w:t>
            </w:r>
          </w:p>
        </w:tc>
      </w:tr>
      <w:tr w:rsidR="00A1017C">
        <w:tc>
          <w:tcPr>
            <w:tcW w:w="1179" w:type="dxa"/>
            <w:vAlign w:val="bottom"/>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Detva</w:t>
            </w:r>
          </w:p>
        </w:tc>
        <w:tc>
          <w:tcPr>
            <w:tcW w:w="3727" w:type="dxa"/>
            <w:vAlign w:val="bottom"/>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INTERCABLE, s. r. o.</w:t>
            </w:r>
          </w:p>
        </w:tc>
        <w:tc>
          <w:tcPr>
            <w:tcW w:w="1739" w:type="dxa"/>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28290</w:t>
            </w:r>
          </w:p>
        </w:tc>
        <w:tc>
          <w:tcPr>
            <w:tcW w:w="1883" w:type="dxa"/>
            <w:vAlign w:val="bottom"/>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847</w:t>
            </w:r>
          </w:p>
        </w:tc>
      </w:tr>
      <w:tr w:rsidR="00A1017C">
        <w:tc>
          <w:tcPr>
            <w:tcW w:w="1179" w:type="dxa"/>
            <w:vAlign w:val="bottom"/>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Zvolen</w:t>
            </w:r>
          </w:p>
        </w:tc>
        <w:tc>
          <w:tcPr>
            <w:tcW w:w="3727" w:type="dxa"/>
            <w:vAlign w:val="bottom"/>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Slovenská autobusová doprava Zvolen, a. s.</w:t>
            </w:r>
          </w:p>
        </w:tc>
        <w:tc>
          <w:tcPr>
            <w:tcW w:w="1739" w:type="dxa"/>
          </w:tcPr>
          <w:p w:rsidR="00A1017C" w:rsidRDefault="00A1017C">
            <w:pPr>
              <w:jc w:val="center"/>
              <w:rPr>
                <w:rFonts w:eastAsia="Times New Roman" w:cs="Times New Roman"/>
                <w:sz w:val="24"/>
                <w:szCs w:val="24"/>
                <w:lang w:eastAsia="sk-SK"/>
              </w:rPr>
            </w:pPr>
          </w:p>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49310</w:t>
            </w:r>
          </w:p>
        </w:tc>
        <w:tc>
          <w:tcPr>
            <w:tcW w:w="1883" w:type="dxa"/>
            <w:vAlign w:val="bottom"/>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843</w:t>
            </w:r>
          </w:p>
        </w:tc>
      </w:tr>
      <w:tr w:rsidR="00A1017C">
        <w:trPr>
          <w:trHeight w:val="135"/>
        </w:trPr>
        <w:tc>
          <w:tcPr>
            <w:tcW w:w="1179" w:type="dxa"/>
            <w:vAlign w:val="bottom"/>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Krupina</w:t>
            </w:r>
          </w:p>
        </w:tc>
        <w:tc>
          <w:tcPr>
            <w:tcW w:w="3727" w:type="dxa"/>
            <w:vAlign w:val="bottom"/>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LIND MOBLER SLOVAKIA, s. r. o.</w:t>
            </w:r>
          </w:p>
        </w:tc>
        <w:tc>
          <w:tcPr>
            <w:tcW w:w="1739" w:type="dxa"/>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31090</w:t>
            </w:r>
          </w:p>
        </w:tc>
        <w:tc>
          <w:tcPr>
            <w:tcW w:w="1883" w:type="dxa"/>
            <w:vAlign w:val="bottom"/>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824</w:t>
            </w:r>
          </w:p>
        </w:tc>
      </w:tr>
      <w:tr w:rsidR="00A1017C">
        <w:trPr>
          <w:trHeight w:val="135"/>
        </w:trPr>
        <w:tc>
          <w:tcPr>
            <w:tcW w:w="1179" w:type="dxa"/>
            <w:vAlign w:val="bottom"/>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Zvolen</w:t>
            </w:r>
          </w:p>
        </w:tc>
        <w:tc>
          <w:tcPr>
            <w:tcW w:w="3727" w:type="dxa"/>
            <w:vAlign w:val="bottom"/>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 xml:space="preserve">Nemocnica </w:t>
            </w:r>
            <w:proofErr w:type="spellStart"/>
            <w:r>
              <w:rPr>
                <w:rFonts w:eastAsia="Times New Roman" w:cs="Times New Roman"/>
                <w:sz w:val="24"/>
                <w:szCs w:val="24"/>
                <w:lang w:eastAsia="sk-SK"/>
              </w:rPr>
              <w:t>Agel</w:t>
            </w:r>
            <w:proofErr w:type="spellEnd"/>
            <w:r>
              <w:rPr>
                <w:rFonts w:eastAsia="Times New Roman" w:cs="Times New Roman"/>
                <w:sz w:val="24"/>
                <w:szCs w:val="24"/>
                <w:lang w:eastAsia="sk-SK"/>
              </w:rPr>
              <w:t xml:space="preserve"> Zvolen, a. s.</w:t>
            </w:r>
          </w:p>
        </w:tc>
        <w:tc>
          <w:tcPr>
            <w:tcW w:w="1739" w:type="dxa"/>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86100</w:t>
            </w:r>
          </w:p>
        </w:tc>
        <w:tc>
          <w:tcPr>
            <w:tcW w:w="1883" w:type="dxa"/>
            <w:vAlign w:val="bottom"/>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722</w:t>
            </w:r>
          </w:p>
        </w:tc>
      </w:tr>
      <w:tr w:rsidR="00A1017C">
        <w:trPr>
          <w:trHeight w:val="135"/>
        </w:trPr>
        <w:tc>
          <w:tcPr>
            <w:tcW w:w="1179" w:type="dxa"/>
            <w:vAlign w:val="bottom"/>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Detva</w:t>
            </w:r>
          </w:p>
        </w:tc>
        <w:tc>
          <w:tcPr>
            <w:tcW w:w="3727" w:type="dxa"/>
            <w:vAlign w:val="bottom"/>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PPS Group, a. s.</w:t>
            </w:r>
          </w:p>
        </w:tc>
        <w:tc>
          <w:tcPr>
            <w:tcW w:w="1739" w:type="dxa"/>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28920</w:t>
            </w:r>
          </w:p>
        </w:tc>
        <w:tc>
          <w:tcPr>
            <w:tcW w:w="1883" w:type="dxa"/>
            <w:vAlign w:val="bottom"/>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698</w:t>
            </w:r>
          </w:p>
        </w:tc>
      </w:tr>
      <w:tr w:rsidR="00A1017C">
        <w:tc>
          <w:tcPr>
            <w:tcW w:w="1179" w:type="dxa"/>
            <w:vAlign w:val="bottom"/>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Zvolen</w:t>
            </w:r>
          </w:p>
        </w:tc>
        <w:tc>
          <w:tcPr>
            <w:tcW w:w="3727" w:type="dxa"/>
            <w:vAlign w:val="bottom"/>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Technická univerzita vo Zvolene</w:t>
            </w:r>
          </w:p>
        </w:tc>
        <w:tc>
          <w:tcPr>
            <w:tcW w:w="1739" w:type="dxa"/>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85420</w:t>
            </w:r>
          </w:p>
        </w:tc>
        <w:tc>
          <w:tcPr>
            <w:tcW w:w="1883" w:type="dxa"/>
            <w:vAlign w:val="bottom"/>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604</w:t>
            </w:r>
          </w:p>
        </w:tc>
      </w:tr>
      <w:tr w:rsidR="00A1017C">
        <w:tc>
          <w:tcPr>
            <w:tcW w:w="1179" w:type="dxa"/>
            <w:vAlign w:val="bottom"/>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Zvolen</w:t>
            </w:r>
          </w:p>
        </w:tc>
        <w:tc>
          <w:tcPr>
            <w:tcW w:w="3727" w:type="dxa"/>
            <w:vAlign w:val="bottom"/>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Železničné opravovne a strojárne Zvolen, a. s.</w:t>
            </w:r>
          </w:p>
        </w:tc>
        <w:tc>
          <w:tcPr>
            <w:tcW w:w="1739" w:type="dxa"/>
          </w:tcPr>
          <w:p w:rsidR="00A1017C" w:rsidRDefault="00A1017C">
            <w:pPr>
              <w:jc w:val="center"/>
              <w:rPr>
                <w:rFonts w:eastAsia="Times New Roman" w:cs="Times New Roman"/>
                <w:sz w:val="24"/>
                <w:szCs w:val="24"/>
                <w:lang w:eastAsia="sk-SK"/>
              </w:rPr>
            </w:pPr>
          </w:p>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33170</w:t>
            </w:r>
          </w:p>
        </w:tc>
        <w:tc>
          <w:tcPr>
            <w:tcW w:w="1883" w:type="dxa"/>
            <w:vAlign w:val="bottom"/>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382</w:t>
            </w:r>
          </w:p>
        </w:tc>
      </w:tr>
      <w:tr w:rsidR="00A1017C">
        <w:tc>
          <w:tcPr>
            <w:tcW w:w="1179" w:type="dxa"/>
            <w:vAlign w:val="bottom"/>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Krupina</w:t>
            </w:r>
          </w:p>
        </w:tc>
        <w:tc>
          <w:tcPr>
            <w:tcW w:w="3727" w:type="dxa"/>
            <w:vAlign w:val="bottom"/>
          </w:tcPr>
          <w:p w:rsidR="00A1017C" w:rsidRDefault="00A743D8">
            <w:pPr>
              <w:jc w:val="center"/>
              <w:rPr>
                <w:rFonts w:eastAsia="Times New Roman" w:cs="Times New Roman"/>
                <w:sz w:val="24"/>
                <w:szCs w:val="24"/>
                <w:lang w:eastAsia="sk-SK"/>
              </w:rPr>
            </w:pPr>
            <w:proofErr w:type="spellStart"/>
            <w:r>
              <w:rPr>
                <w:rFonts w:eastAsia="Times New Roman" w:cs="Times New Roman"/>
                <w:sz w:val="24"/>
                <w:szCs w:val="24"/>
                <w:lang w:eastAsia="sk-SK"/>
              </w:rPr>
              <w:t>Wittur</w:t>
            </w:r>
            <w:proofErr w:type="spellEnd"/>
            <w:r>
              <w:rPr>
                <w:rFonts w:eastAsia="Times New Roman" w:cs="Times New Roman"/>
                <w:sz w:val="24"/>
                <w:szCs w:val="24"/>
                <w:lang w:eastAsia="sk-SK"/>
              </w:rPr>
              <w:t xml:space="preserve"> s. r. o.</w:t>
            </w:r>
          </w:p>
        </w:tc>
        <w:tc>
          <w:tcPr>
            <w:tcW w:w="1739" w:type="dxa"/>
            <w:vAlign w:val="bottom"/>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28220</w:t>
            </w:r>
          </w:p>
        </w:tc>
        <w:tc>
          <w:tcPr>
            <w:tcW w:w="1883" w:type="dxa"/>
            <w:vAlign w:val="bottom"/>
          </w:tcPr>
          <w:p w:rsidR="00A1017C" w:rsidRDefault="00A743D8">
            <w:pPr>
              <w:jc w:val="center"/>
              <w:rPr>
                <w:rFonts w:eastAsia="Times New Roman" w:cs="Times New Roman"/>
                <w:sz w:val="24"/>
                <w:szCs w:val="24"/>
                <w:lang w:eastAsia="sk-SK"/>
              </w:rPr>
            </w:pPr>
            <w:r>
              <w:rPr>
                <w:rFonts w:eastAsia="Times New Roman" w:cs="Times New Roman"/>
                <w:sz w:val="24"/>
                <w:szCs w:val="24"/>
                <w:lang w:eastAsia="sk-SK"/>
              </w:rPr>
              <w:t>334</w:t>
            </w:r>
          </w:p>
        </w:tc>
      </w:tr>
    </w:tbl>
    <w:p w:rsidR="00A1017C" w:rsidRPr="00BC52FC" w:rsidRDefault="00A1017C" w:rsidP="00BC52FC">
      <w:pPr>
        <w:jc w:val="both"/>
        <w:rPr>
          <w:sz w:val="24"/>
          <w:szCs w:val="24"/>
        </w:rPr>
      </w:pPr>
    </w:p>
    <w:p w:rsidR="00A1017C" w:rsidRDefault="00A743D8" w:rsidP="00BC52FC">
      <w:pPr>
        <w:pStyle w:val="Odsekzoznamu"/>
        <w:ind w:left="284"/>
        <w:jc w:val="both"/>
        <w:rPr>
          <w:sz w:val="24"/>
          <w:szCs w:val="24"/>
          <w:u w:val="single"/>
        </w:rPr>
      </w:pPr>
      <w:r>
        <w:rPr>
          <w:sz w:val="24"/>
          <w:szCs w:val="24"/>
          <w:u w:val="single"/>
        </w:rPr>
        <w:t xml:space="preserve">Priority pre rok 2022 </w:t>
      </w:r>
    </w:p>
    <w:p w:rsidR="00A1017C" w:rsidRDefault="004C0713" w:rsidP="00BC52FC">
      <w:pPr>
        <w:spacing w:after="240"/>
        <w:ind w:left="284"/>
        <w:jc w:val="both"/>
        <w:rPr>
          <w:sz w:val="24"/>
          <w:szCs w:val="24"/>
        </w:rPr>
      </w:pPr>
      <w:r>
        <w:rPr>
          <w:sz w:val="24"/>
          <w:szCs w:val="24"/>
        </w:rPr>
        <w:t xml:space="preserve">     </w:t>
      </w:r>
      <w:r w:rsidR="00A743D8">
        <w:rPr>
          <w:sz w:val="24"/>
          <w:szCs w:val="24"/>
        </w:rPr>
        <w:t xml:space="preserve">Prioritou úradu na rok 2022 je  práca s dlhodobo evidovanými uchádzačmi o zamestnanie (DN </w:t>
      </w:r>
      <w:proofErr w:type="spellStart"/>
      <w:r w:rsidR="00A743D8">
        <w:rPr>
          <w:sz w:val="24"/>
          <w:szCs w:val="24"/>
        </w:rPr>
        <w:t>UoZ</w:t>
      </w:r>
      <w:proofErr w:type="spellEnd"/>
      <w:r w:rsidR="00A743D8">
        <w:rPr>
          <w:sz w:val="24"/>
          <w:szCs w:val="24"/>
        </w:rPr>
        <w:t xml:space="preserve">) ako aj zvýšená podpora venovaná mladým </w:t>
      </w:r>
      <w:proofErr w:type="spellStart"/>
      <w:r w:rsidR="00A743D8">
        <w:rPr>
          <w:sz w:val="24"/>
          <w:szCs w:val="24"/>
        </w:rPr>
        <w:t>UoZ</w:t>
      </w:r>
      <w:proofErr w:type="spellEnd"/>
      <w:r w:rsidR="00A743D8">
        <w:rPr>
          <w:sz w:val="24"/>
          <w:szCs w:val="24"/>
        </w:rPr>
        <w:t xml:space="preserve"> zo skupiny NEET do 29 rokov, zvýšenú pozornosť  chceme venovať aj občanom  so zdravotným postihnutím. Z pohľadu Úradu práce, sociálnych vecí a rodiny Zvolen  bude naďalej potrebné klásť dôraz na zvyšovanie možnosti uplatnenia týchto ohrozených skupín uchádzačov o zamestnanie formou zvyšovania kvalifikácie, využitím služieb odborného poradenstva a v neposlednom rade využitím vhodných nástrojov aktívnych opatrení trhu práce.</w:t>
      </w:r>
    </w:p>
    <w:p w:rsidR="00A1017C" w:rsidRDefault="00A743D8">
      <w:pPr>
        <w:pStyle w:val="Odsekzoznamu"/>
        <w:numPr>
          <w:ilvl w:val="0"/>
          <w:numId w:val="33"/>
        </w:numPr>
        <w:spacing w:after="0" w:line="240" w:lineRule="auto"/>
        <w:ind w:left="284" w:hanging="284"/>
        <w:contextualSpacing w:val="0"/>
        <w:jc w:val="both"/>
        <w:rPr>
          <w:b/>
          <w:sz w:val="24"/>
          <w:szCs w:val="24"/>
        </w:rPr>
      </w:pPr>
      <w:r>
        <w:rPr>
          <w:b/>
          <w:sz w:val="24"/>
          <w:szCs w:val="24"/>
        </w:rPr>
        <w:t xml:space="preserve">Projekty a programy AOTP </w:t>
      </w:r>
    </w:p>
    <w:p w:rsidR="00A1017C" w:rsidRDefault="00A743D8" w:rsidP="00BC52FC">
      <w:pPr>
        <w:ind w:left="284"/>
        <w:jc w:val="both"/>
        <w:rPr>
          <w:sz w:val="24"/>
          <w:szCs w:val="24"/>
          <w:u w:val="single"/>
        </w:rPr>
      </w:pPr>
      <w:r>
        <w:rPr>
          <w:sz w:val="24"/>
          <w:szCs w:val="24"/>
          <w:u w:val="single"/>
        </w:rPr>
        <w:t>Hlavné aktivity na dosiahnutie stanovených cieľov</w:t>
      </w:r>
    </w:p>
    <w:p w:rsidR="00A1017C" w:rsidRDefault="00A1017C">
      <w:pPr>
        <w:pStyle w:val="Odsekzoznamu"/>
        <w:spacing w:after="0" w:line="240" w:lineRule="auto"/>
        <w:ind w:left="284"/>
        <w:contextualSpacing w:val="0"/>
        <w:jc w:val="both"/>
        <w:rPr>
          <w:b/>
          <w:sz w:val="24"/>
          <w:szCs w:val="24"/>
        </w:rPr>
      </w:pPr>
    </w:p>
    <w:p w:rsidR="00A1017C" w:rsidRDefault="00BC52FC">
      <w:pPr>
        <w:jc w:val="both"/>
        <w:rPr>
          <w:sz w:val="24"/>
          <w:szCs w:val="24"/>
        </w:rPr>
      </w:pPr>
      <w:r>
        <w:rPr>
          <w:sz w:val="24"/>
          <w:szCs w:val="24"/>
        </w:rPr>
        <w:t xml:space="preserve">     </w:t>
      </w:r>
      <w:r w:rsidR="00A743D8">
        <w:rPr>
          <w:sz w:val="24"/>
          <w:szCs w:val="24"/>
        </w:rPr>
        <w:t xml:space="preserve">Medzi  hlavné nástroje práce s DEN, </w:t>
      </w:r>
      <w:proofErr w:type="spellStart"/>
      <w:r w:rsidR="00A743D8">
        <w:rPr>
          <w:sz w:val="24"/>
          <w:szCs w:val="24"/>
        </w:rPr>
        <w:t>UoZ</w:t>
      </w:r>
      <w:proofErr w:type="spellEnd"/>
      <w:r w:rsidR="00A743D8">
        <w:rPr>
          <w:sz w:val="24"/>
          <w:szCs w:val="24"/>
        </w:rPr>
        <w:t xml:space="preserve"> zo znevýhodnených skupín patria projekty : </w:t>
      </w:r>
    </w:p>
    <w:p w:rsidR="00A1017C" w:rsidRDefault="00A743D8">
      <w:pPr>
        <w:pStyle w:val="Odsekzoznamu"/>
        <w:numPr>
          <w:ilvl w:val="0"/>
          <w:numId w:val="38"/>
        </w:numPr>
        <w:jc w:val="both"/>
        <w:rPr>
          <w:sz w:val="24"/>
          <w:szCs w:val="24"/>
        </w:rPr>
      </w:pPr>
      <w:r>
        <w:rPr>
          <w:sz w:val="24"/>
          <w:szCs w:val="24"/>
        </w:rPr>
        <w:t xml:space="preserve">NP Vzdelávanie uchádzačov o zamestnanie – 2. </w:t>
      </w:r>
      <w:proofErr w:type="spellStart"/>
      <w:r>
        <w:rPr>
          <w:sz w:val="24"/>
          <w:szCs w:val="24"/>
        </w:rPr>
        <w:t>UoZ</w:t>
      </w:r>
      <w:proofErr w:type="spellEnd"/>
      <w:r>
        <w:rPr>
          <w:sz w:val="24"/>
          <w:szCs w:val="24"/>
        </w:rPr>
        <w:t xml:space="preserve"> sa môžu v prípade potreby zmeny kvalifikácie zapojiť do NP Vzdelávanie </w:t>
      </w:r>
      <w:proofErr w:type="spellStart"/>
      <w:r>
        <w:rPr>
          <w:sz w:val="24"/>
          <w:szCs w:val="24"/>
        </w:rPr>
        <w:t>UoZ</w:t>
      </w:r>
      <w:proofErr w:type="spellEnd"/>
      <w:r>
        <w:rPr>
          <w:sz w:val="24"/>
          <w:szCs w:val="24"/>
        </w:rPr>
        <w:t xml:space="preserve"> – 2. V rámci tohto projektu môžu  </w:t>
      </w:r>
      <w:proofErr w:type="spellStart"/>
      <w:r>
        <w:rPr>
          <w:sz w:val="24"/>
          <w:szCs w:val="24"/>
        </w:rPr>
        <w:t>UoZ</w:t>
      </w:r>
      <w:proofErr w:type="spellEnd"/>
      <w:r>
        <w:rPr>
          <w:sz w:val="24"/>
          <w:szCs w:val="24"/>
        </w:rPr>
        <w:t xml:space="preserve"> počas celého roka absolvovať rekvalifikačné kurzy – REPAS+ alebo kompetenčné kurzy – KOMPAS+ podľa vlastného výberu.</w:t>
      </w:r>
    </w:p>
    <w:p w:rsidR="00A1017C" w:rsidRDefault="00A743D8">
      <w:pPr>
        <w:pStyle w:val="Odsekzoznamu"/>
        <w:numPr>
          <w:ilvl w:val="0"/>
          <w:numId w:val="38"/>
        </w:numPr>
        <w:jc w:val="both"/>
        <w:rPr>
          <w:sz w:val="24"/>
          <w:szCs w:val="24"/>
        </w:rPr>
      </w:pPr>
      <w:r>
        <w:rPr>
          <w:sz w:val="24"/>
          <w:szCs w:val="24"/>
        </w:rPr>
        <w:t xml:space="preserve">NP Individualizované poradenstvo pre znevýhodnených </w:t>
      </w:r>
      <w:proofErr w:type="spellStart"/>
      <w:r>
        <w:rPr>
          <w:sz w:val="24"/>
          <w:szCs w:val="24"/>
        </w:rPr>
        <w:t>UoZ</w:t>
      </w:r>
      <w:proofErr w:type="spellEnd"/>
      <w:r>
        <w:rPr>
          <w:sz w:val="24"/>
          <w:szCs w:val="24"/>
        </w:rPr>
        <w:t xml:space="preserve">. </w:t>
      </w:r>
      <w:r>
        <w:rPr>
          <w:rFonts w:eastAsia="Calibri"/>
          <w:sz w:val="24"/>
          <w:szCs w:val="24"/>
        </w:rPr>
        <w:t xml:space="preserve">Cieľom </w:t>
      </w:r>
      <w:r>
        <w:rPr>
          <w:sz w:val="24"/>
          <w:szCs w:val="24"/>
        </w:rPr>
        <w:t xml:space="preserve">NP IP pre </w:t>
      </w:r>
      <w:proofErr w:type="spellStart"/>
      <w:r>
        <w:rPr>
          <w:sz w:val="24"/>
          <w:szCs w:val="24"/>
        </w:rPr>
        <w:t>ZUoZ</w:t>
      </w:r>
      <w:proofErr w:type="spellEnd"/>
      <w:r>
        <w:rPr>
          <w:rFonts w:eastAsia="Calibri"/>
          <w:sz w:val="24"/>
          <w:szCs w:val="24"/>
        </w:rPr>
        <w:t xml:space="preserve"> je </w:t>
      </w:r>
      <w:r>
        <w:rPr>
          <w:sz w:val="24"/>
          <w:szCs w:val="24"/>
        </w:rPr>
        <w:t xml:space="preserve">podpora </w:t>
      </w:r>
      <w:proofErr w:type="spellStart"/>
      <w:r>
        <w:rPr>
          <w:sz w:val="24"/>
          <w:szCs w:val="24"/>
        </w:rPr>
        <w:t>ZUoZ</w:t>
      </w:r>
      <w:proofErr w:type="spellEnd"/>
      <w:r>
        <w:rPr>
          <w:sz w:val="24"/>
          <w:szCs w:val="24"/>
        </w:rPr>
        <w:t xml:space="preserve"> pri zvyšovaní ich konkurencieschopnosti na trhu práce a zvyšovaní ich </w:t>
      </w:r>
      <w:proofErr w:type="spellStart"/>
      <w:r>
        <w:rPr>
          <w:sz w:val="24"/>
          <w:szCs w:val="24"/>
        </w:rPr>
        <w:t>zamestnateľnosti</w:t>
      </w:r>
      <w:proofErr w:type="spellEnd"/>
      <w:r>
        <w:rPr>
          <w:sz w:val="24"/>
          <w:szCs w:val="24"/>
        </w:rPr>
        <w:t xml:space="preserve"> prostredníctvom rozvoja tzv. mäkkých faktorov </w:t>
      </w:r>
      <w:proofErr w:type="spellStart"/>
      <w:r>
        <w:rPr>
          <w:sz w:val="24"/>
          <w:szCs w:val="24"/>
        </w:rPr>
        <w:t>zamestnateľnosti</w:t>
      </w:r>
      <w:proofErr w:type="spellEnd"/>
      <w:r>
        <w:rPr>
          <w:sz w:val="24"/>
          <w:szCs w:val="24"/>
        </w:rPr>
        <w:t>, ktorými sú kompetencie pre integráciu na trh práce/zručnosti pre riadenie vlastnej kariéry.</w:t>
      </w:r>
    </w:p>
    <w:p w:rsidR="00A1017C" w:rsidRDefault="00A743D8">
      <w:pPr>
        <w:pStyle w:val="Odsekzoznamu"/>
        <w:numPr>
          <w:ilvl w:val="0"/>
          <w:numId w:val="38"/>
        </w:numPr>
        <w:jc w:val="both"/>
        <w:rPr>
          <w:sz w:val="24"/>
          <w:szCs w:val="24"/>
        </w:rPr>
      </w:pPr>
      <w:r>
        <w:rPr>
          <w:sz w:val="24"/>
          <w:szCs w:val="24"/>
        </w:rPr>
        <w:t xml:space="preserve">NP Nestrať prácu – vzdelávaj sa. </w:t>
      </w:r>
      <w:r>
        <w:rPr>
          <w:bCs/>
          <w:sz w:val="24"/>
          <w:szCs w:val="24"/>
        </w:rPr>
        <w:t xml:space="preserve">Cieľovou skupinou pre národný projekt sú </w:t>
      </w:r>
      <w:proofErr w:type="spellStart"/>
      <w:r>
        <w:rPr>
          <w:bCs/>
          <w:sz w:val="24"/>
          <w:szCs w:val="24"/>
        </w:rPr>
        <w:t>ZoZ</w:t>
      </w:r>
      <w:proofErr w:type="spellEnd"/>
      <w:r>
        <w:rPr>
          <w:bCs/>
          <w:sz w:val="24"/>
          <w:szCs w:val="24"/>
        </w:rPr>
        <w:t xml:space="preserve"> v zmysle § 7 zákona o službách zamestnanosti vedení v evidencii úradov. Vzdelávanie v rámci tohto </w:t>
      </w:r>
      <w:r>
        <w:rPr>
          <w:bCs/>
          <w:sz w:val="24"/>
          <w:szCs w:val="24"/>
        </w:rPr>
        <w:lastRenderedPageBreak/>
        <w:t xml:space="preserve">projektu je určené pre </w:t>
      </w:r>
      <w:proofErr w:type="spellStart"/>
      <w:r>
        <w:rPr>
          <w:bCs/>
          <w:sz w:val="24"/>
          <w:szCs w:val="24"/>
        </w:rPr>
        <w:t>ZoZ</w:t>
      </w:r>
      <w:proofErr w:type="spellEnd"/>
      <w:r>
        <w:rPr>
          <w:sz w:val="24"/>
          <w:szCs w:val="24"/>
        </w:rPr>
        <w:t xml:space="preserve">, ktorí sú v dôsledku technologických a spoločenských zmien </w:t>
      </w:r>
      <w:r>
        <w:rPr>
          <w:bCs/>
          <w:sz w:val="24"/>
          <w:szCs w:val="24"/>
        </w:rPr>
        <w:t>ohrození stratou zamestnania</w:t>
      </w:r>
      <w:r>
        <w:rPr>
          <w:sz w:val="24"/>
          <w:szCs w:val="24"/>
        </w:rPr>
        <w:t xml:space="preserve"> </w:t>
      </w:r>
      <w:r>
        <w:rPr>
          <w:bCs/>
          <w:sz w:val="24"/>
          <w:szCs w:val="24"/>
        </w:rPr>
        <w:t>alebo</w:t>
      </w:r>
      <w:r>
        <w:rPr>
          <w:sz w:val="24"/>
          <w:szCs w:val="24"/>
        </w:rPr>
        <w:t xml:space="preserve"> ktorí </w:t>
      </w:r>
      <w:r>
        <w:rPr>
          <w:bCs/>
          <w:sz w:val="24"/>
          <w:szCs w:val="24"/>
        </w:rPr>
        <w:t>nie sú schopní svojimi doterajšími zručnosťami</w:t>
      </w:r>
      <w:r>
        <w:rPr>
          <w:b/>
          <w:bCs/>
          <w:sz w:val="24"/>
          <w:szCs w:val="24"/>
        </w:rPr>
        <w:t xml:space="preserve"> </w:t>
      </w:r>
      <w:r>
        <w:rPr>
          <w:bCs/>
          <w:sz w:val="24"/>
          <w:szCs w:val="24"/>
        </w:rPr>
        <w:t>reagovať na</w:t>
      </w:r>
      <w:r>
        <w:rPr>
          <w:b/>
          <w:bCs/>
          <w:sz w:val="24"/>
          <w:szCs w:val="24"/>
        </w:rPr>
        <w:t xml:space="preserve"> </w:t>
      </w:r>
      <w:r>
        <w:rPr>
          <w:sz w:val="24"/>
          <w:szCs w:val="24"/>
        </w:rPr>
        <w:t>neustále silnejúci</w:t>
      </w:r>
      <w:r>
        <w:rPr>
          <w:b/>
          <w:bCs/>
          <w:sz w:val="24"/>
          <w:szCs w:val="24"/>
        </w:rPr>
        <w:t xml:space="preserve"> </w:t>
      </w:r>
      <w:r>
        <w:rPr>
          <w:bCs/>
          <w:sz w:val="24"/>
          <w:szCs w:val="24"/>
        </w:rPr>
        <w:t>tlak na flexibilitu a adaptabilitu</w:t>
      </w:r>
      <w:r>
        <w:rPr>
          <w:sz w:val="24"/>
          <w:szCs w:val="24"/>
        </w:rPr>
        <w:t xml:space="preserve"> subjektov na trhu práce. </w:t>
      </w:r>
    </w:p>
    <w:p w:rsidR="00A1017C" w:rsidRDefault="00A743D8">
      <w:pPr>
        <w:pStyle w:val="Odsekzoznamu"/>
        <w:numPr>
          <w:ilvl w:val="0"/>
          <w:numId w:val="38"/>
        </w:numPr>
        <w:jc w:val="both"/>
        <w:rPr>
          <w:b/>
          <w:sz w:val="24"/>
          <w:szCs w:val="24"/>
          <w:u w:val="single"/>
        </w:rPr>
      </w:pPr>
      <w:r>
        <w:rPr>
          <w:sz w:val="24"/>
          <w:szCs w:val="24"/>
        </w:rPr>
        <w:t xml:space="preserve">NP „Chyť sa svojej šance“ </w:t>
      </w:r>
      <w:r>
        <w:rPr>
          <w:b/>
          <w:sz w:val="24"/>
          <w:szCs w:val="24"/>
          <w:u w:val="single"/>
        </w:rPr>
        <w:t>opatrenie č. 1 – podpora SZČO</w:t>
      </w:r>
      <w:r>
        <w:rPr>
          <w:sz w:val="24"/>
          <w:szCs w:val="24"/>
        </w:rPr>
        <w:t xml:space="preserve"> predpokladáme, že v roku 2022 podporíme približne 35 </w:t>
      </w:r>
      <w:proofErr w:type="spellStart"/>
      <w:r>
        <w:rPr>
          <w:sz w:val="24"/>
          <w:szCs w:val="24"/>
        </w:rPr>
        <w:t>UoZ</w:t>
      </w:r>
      <w:proofErr w:type="spellEnd"/>
      <w:r>
        <w:rPr>
          <w:sz w:val="24"/>
          <w:szCs w:val="24"/>
        </w:rPr>
        <w:t xml:space="preserve">, </w:t>
      </w:r>
      <w:r>
        <w:rPr>
          <w:b/>
          <w:sz w:val="24"/>
          <w:szCs w:val="24"/>
          <w:u w:val="single"/>
        </w:rPr>
        <w:t>opatrenie č. 2 – podpora mentorovaného zapracovania</w:t>
      </w:r>
      <w:r>
        <w:rPr>
          <w:sz w:val="24"/>
          <w:szCs w:val="24"/>
        </w:rPr>
        <w:t xml:space="preserve"> </w:t>
      </w:r>
      <w:r>
        <w:rPr>
          <w:b/>
          <w:sz w:val="24"/>
          <w:szCs w:val="24"/>
          <w:u w:val="single"/>
        </w:rPr>
        <w:t xml:space="preserve">ako súčasť pracovného pomeru znevýhodneného </w:t>
      </w:r>
      <w:proofErr w:type="spellStart"/>
      <w:r>
        <w:rPr>
          <w:b/>
          <w:sz w:val="24"/>
          <w:szCs w:val="24"/>
          <w:u w:val="single"/>
        </w:rPr>
        <w:t>UoZ</w:t>
      </w:r>
      <w:proofErr w:type="spellEnd"/>
      <w:r>
        <w:rPr>
          <w:sz w:val="24"/>
          <w:szCs w:val="24"/>
        </w:rPr>
        <w:t xml:space="preserve"> predpokladáme, že v roku 2022 prostredníctvom tohto opatrenia podporíme približne 65 </w:t>
      </w:r>
      <w:proofErr w:type="spellStart"/>
      <w:r>
        <w:rPr>
          <w:sz w:val="24"/>
          <w:szCs w:val="24"/>
        </w:rPr>
        <w:t>UoZ</w:t>
      </w:r>
      <w:proofErr w:type="spellEnd"/>
      <w:r>
        <w:rPr>
          <w:sz w:val="24"/>
          <w:szCs w:val="24"/>
        </w:rPr>
        <w:t xml:space="preserve">, </w:t>
      </w:r>
      <w:r>
        <w:rPr>
          <w:b/>
          <w:sz w:val="24"/>
          <w:szCs w:val="24"/>
          <w:u w:val="single"/>
        </w:rPr>
        <w:t xml:space="preserve">opatrenie č. 3, ktoré je zamerané na zmiernenie dopadov vyhlásenej mimoriadnej situácie alebo núdzového stavu v súvislosti s pandémiou COVID -19 na zamestnanosť zvýšením zamestnanosti a znížením nezamestnanosti znevýhodnených </w:t>
      </w:r>
      <w:proofErr w:type="spellStart"/>
      <w:r>
        <w:rPr>
          <w:b/>
          <w:sz w:val="24"/>
          <w:szCs w:val="24"/>
          <w:u w:val="single"/>
        </w:rPr>
        <w:t>UoZ</w:t>
      </w:r>
      <w:proofErr w:type="spellEnd"/>
      <w:r>
        <w:rPr>
          <w:b/>
          <w:sz w:val="24"/>
          <w:szCs w:val="24"/>
          <w:u w:val="single"/>
        </w:rPr>
        <w:t xml:space="preserve">  </w:t>
      </w:r>
      <w:r>
        <w:rPr>
          <w:sz w:val="24"/>
          <w:szCs w:val="24"/>
        </w:rPr>
        <w:t xml:space="preserve">podporíme v roku 2022 približne 53 </w:t>
      </w:r>
      <w:proofErr w:type="spellStart"/>
      <w:r>
        <w:rPr>
          <w:sz w:val="24"/>
          <w:szCs w:val="24"/>
        </w:rPr>
        <w:t>UoZ</w:t>
      </w:r>
      <w:proofErr w:type="spellEnd"/>
      <w:r>
        <w:rPr>
          <w:sz w:val="24"/>
          <w:szCs w:val="24"/>
        </w:rPr>
        <w:t>.</w:t>
      </w:r>
      <w:r>
        <w:rPr>
          <w:b/>
          <w:sz w:val="24"/>
          <w:szCs w:val="24"/>
          <w:u w:val="single"/>
        </w:rPr>
        <w:t xml:space="preserve"> </w:t>
      </w:r>
    </w:p>
    <w:p w:rsidR="00A1017C" w:rsidRDefault="00A743D8">
      <w:pPr>
        <w:pStyle w:val="Odsekzoznamu"/>
        <w:numPr>
          <w:ilvl w:val="0"/>
          <w:numId w:val="38"/>
        </w:numPr>
        <w:jc w:val="both"/>
        <w:rPr>
          <w:b/>
          <w:sz w:val="24"/>
          <w:szCs w:val="24"/>
          <w:u w:val="single"/>
        </w:rPr>
      </w:pPr>
      <w:r>
        <w:rPr>
          <w:sz w:val="24"/>
          <w:szCs w:val="24"/>
        </w:rPr>
        <w:t xml:space="preserve">V rámci NP Podpora zamestnanosti predpokladáme, že v roku 2022 podporíme 35 </w:t>
      </w:r>
      <w:proofErr w:type="spellStart"/>
      <w:r>
        <w:rPr>
          <w:sz w:val="24"/>
          <w:szCs w:val="24"/>
        </w:rPr>
        <w:t>UoZ</w:t>
      </w:r>
      <w:proofErr w:type="spellEnd"/>
      <w:r>
        <w:rPr>
          <w:sz w:val="24"/>
          <w:szCs w:val="24"/>
        </w:rPr>
        <w:t xml:space="preserve">. </w:t>
      </w:r>
    </w:p>
    <w:p w:rsidR="00A1017C" w:rsidRDefault="00A743D8">
      <w:pPr>
        <w:pStyle w:val="Odsekzoznamu"/>
        <w:numPr>
          <w:ilvl w:val="0"/>
          <w:numId w:val="38"/>
        </w:numPr>
        <w:jc w:val="both"/>
        <w:rPr>
          <w:b/>
          <w:sz w:val="24"/>
          <w:szCs w:val="24"/>
          <w:u w:val="single"/>
        </w:rPr>
      </w:pPr>
      <w:r>
        <w:rPr>
          <w:sz w:val="24"/>
          <w:szCs w:val="24"/>
        </w:rPr>
        <w:t xml:space="preserve">V rámci NP podpora integračných podnikov predpokladáme, že v roku 2022 podporíme približne 20 klientov. </w:t>
      </w:r>
    </w:p>
    <w:p w:rsidR="00A1017C" w:rsidRDefault="00A743D8">
      <w:pPr>
        <w:pStyle w:val="Odsekzoznamu"/>
        <w:numPr>
          <w:ilvl w:val="0"/>
          <w:numId w:val="38"/>
        </w:numPr>
        <w:jc w:val="both"/>
        <w:rPr>
          <w:b/>
          <w:sz w:val="24"/>
          <w:szCs w:val="24"/>
          <w:u w:val="single"/>
        </w:rPr>
      </w:pPr>
      <w:r>
        <w:rPr>
          <w:sz w:val="24"/>
          <w:szCs w:val="24"/>
        </w:rPr>
        <w:t xml:space="preserve">V rámci nástroja AOTP § 53g – kompenzačné príspevky integračného podniku predpokladáme , že v roku 2022 podporíme 200 klientov. </w:t>
      </w:r>
    </w:p>
    <w:p w:rsidR="00A1017C" w:rsidRDefault="00A743D8">
      <w:pPr>
        <w:pStyle w:val="Odsekzoznamu"/>
        <w:numPr>
          <w:ilvl w:val="0"/>
          <w:numId w:val="38"/>
        </w:numPr>
        <w:jc w:val="both"/>
        <w:rPr>
          <w:b/>
          <w:sz w:val="24"/>
          <w:szCs w:val="24"/>
          <w:u w:val="single"/>
        </w:rPr>
      </w:pPr>
      <w:r>
        <w:rPr>
          <w:sz w:val="24"/>
          <w:szCs w:val="24"/>
        </w:rPr>
        <w:t xml:space="preserve">V rámci nástroja AOTP § 60 – príspevok na úhradu prevádzkových nákladov CHD alebo CHP predpokladáme, že v roku 2022 podporíme približne 130 žiadateľov. </w:t>
      </w:r>
    </w:p>
    <w:p w:rsidR="00A1017C" w:rsidRDefault="00A743D8">
      <w:pPr>
        <w:pStyle w:val="Odsekzoznamu"/>
        <w:numPr>
          <w:ilvl w:val="0"/>
          <w:numId w:val="38"/>
        </w:numPr>
        <w:jc w:val="both"/>
        <w:rPr>
          <w:b/>
          <w:sz w:val="24"/>
          <w:szCs w:val="24"/>
          <w:u w:val="single"/>
        </w:rPr>
      </w:pPr>
      <w:r>
        <w:rPr>
          <w:sz w:val="24"/>
          <w:szCs w:val="24"/>
        </w:rPr>
        <w:t>V rámci nástroja AOTP § 59 – Príspevok na činnosť pracovného asistenta, že v roku 2022 podporíme približne 15 žiadateľov.</w:t>
      </w:r>
    </w:p>
    <w:p w:rsidR="00A1017C" w:rsidRDefault="00A743D8">
      <w:pPr>
        <w:pStyle w:val="Odsekzoznamu"/>
        <w:numPr>
          <w:ilvl w:val="0"/>
          <w:numId w:val="38"/>
        </w:numPr>
        <w:jc w:val="both"/>
        <w:rPr>
          <w:b/>
          <w:sz w:val="24"/>
          <w:szCs w:val="24"/>
          <w:u w:val="single"/>
        </w:rPr>
      </w:pPr>
      <w:r>
        <w:rPr>
          <w:sz w:val="24"/>
          <w:szCs w:val="24"/>
        </w:rPr>
        <w:t xml:space="preserve">V rámci nástroja AOTP § 53 – príspevok na dochádzku za prácou, že v roku 2022 podporíme približne 400 žiadateľov. </w:t>
      </w:r>
    </w:p>
    <w:p w:rsidR="00A1017C" w:rsidRDefault="00A743D8">
      <w:pPr>
        <w:pStyle w:val="Odsekzoznamu"/>
        <w:numPr>
          <w:ilvl w:val="0"/>
          <w:numId w:val="38"/>
        </w:numPr>
        <w:jc w:val="both"/>
        <w:rPr>
          <w:b/>
          <w:sz w:val="24"/>
          <w:szCs w:val="24"/>
          <w:u w:val="single"/>
        </w:rPr>
      </w:pPr>
      <w:r>
        <w:rPr>
          <w:sz w:val="24"/>
          <w:szCs w:val="24"/>
        </w:rPr>
        <w:t xml:space="preserve">Projekt na podporu udržania pracovných miest, na ktorých sa vykonáva alebo prevádzkuje SZČ v čase vyhlásenia mimoriadnej situácie, núdzového stavu alebo výnimočného stavu a odstránenia ich následkov, do tohto projektu zaradíme približne 170 žiadateľov.      </w:t>
      </w:r>
    </w:p>
    <w:p w:rsidR="00A1017C" w:rsidRDefault="00A743D8">
      <w:pPr>
        <w:pStyle w:val="Odsekzoznamu"/>
        <w:numPr>
          <w:ilvl w:val="0"/>
          <w:numId w:val="39"/>
        </w:numPr>
        <w:jc w:val="both"/>
        <w:rPr>
          <w:b/>
          <w:sz w:val="24"/>
          <w:szCs w:val="24"/>
        </w:rPr>
      </w:pPr>
      <w:r>
        <w:rPr>
          <w:sz w:val="24"/>
          <w:szCs w:val="24"/>
        </w:rPr>
        <w:t xml:space="preserve">Zamestnanci odd. AOTP vždy pri podpise dohody, doložení žiadosti o platbu ku všetkým živým dohodám a pri akomkoľvek podávaní informácií zamestnávateľov budú informovať o aktuálnych NP. Zamestnávatelia okrem toho dostanú leták, kde budú spracované všetky podstatné informácie o ponuke ÚPSVR. </w:t>
      </w:r>
    </w:p>
    <w:p w:rsidR="00A1017C" w:rsidRPr="00A20947" w:rsidRDefault="00A743D8" w:rsidP="00A20947">
      <w:pPr>
        <w:pStyle w:val="Odsekzoznamu"/>
        <w:numPr>
          <w:ilvl w:val="0"/>
          <w:numId w:val="40"/>
        </w:numPr>
        <w:jc w:val="both"/>
        <w:rPr>
          <w:b/>
          <w:sz w:val="24"/>
          <w:szCs w:val="24"/>
        </w:rPr>
      </w:pPr>
      <w:r>
        <w:rPr>
          <w:sz w:val="24"/>
          <w:szCs w:val="24"/>
        </w:rPr>
        <w:t xml:space="preserve">Ďalšie využitie §§ či NP závisí od aktuálne schválených žiadostí o nenávratný finančný príspevok v rámci </w:t>
      </w:r>
      <w:r>
        <w:rPr>
          <w:i/>
          <w:sz w:val="24"/>
          <w:szCs w:val="24"/>
        </w:rPr>
        <w:t>Operačného programu Ľudské zdroje</w:t>
      </w:r>
      <w:r>
        <w:rPr>
          <w:sz w:val="24"/>
          <w:szCs w:val="24"/>
        </w:rPr>
        <w:t xml:space="preserve"> na tento rok. Budú pokračovať osvedčené pracovné stretnutia riadiacich pracovníkov ÚPSVR so starostami obcí a primátormi miest a zamestnávateľmi z daných obcí/miest, kde im budú podávané aktuálne informácie a predstavované možnosti spolupráce.</w:t>
      </w:r>
    </w:p>
    <w:p w:rsidR="00A20947" w:rsidRPr="00A20947" w:rsidRDefault="00A20947" w:rsidP="00A20947">
      <w:pPr>
        <w:pStyle w:val="Odsekzoznamu"/>
        <w:jc w:val="both"/>
        <w:rPr>
          <w:b/>
          <w:sz w:val="24"/>
          <w:szCs w:val="24"/>
        </w:rPr>
      </w:pPr>
    </w:p>
    <w:p w:rsidR="00A1017C" w:rsidRPr="004C0713" w:rsidRDefault="00A743D8" w:rsidP="00BC52FC">
      <w:pPr>
        <w:pStyle w:val="Odsekzoznamu"/>
        <w:numPr>
          <w:ilvl w:val="0"/>
          <w:numId w:val="33"/>
        </w:numPr>
        <w:ind w:left="284" w:hanging="284"/>
        <w:jc w:val="both"/>
        <w:rPr>
          <w:b/>
          <w:sz w:val="24"/>
          <w:szCs w:val="24"/>
        </w:rPr>
      </w:pPr>
      <w:r>
        <w:rPr>
          <w:b/>
          <w:sz w:val="24"/>
          <w:szCs w:val="24"/>
        </w:rPr>
        <w:t xml:space="preserve">Stručné zhodnotenie uplatňovania AOTP vo svojom územnom obvode za uplynulý kalendárny rok 2021 </w:t>
      </w:r>
    </w:p>
    <w:p w:rsidR="00A1017C" w:rsidRPr="004C0713" w:rsidRDefault="004C0713" w:rsidP="004C0713">
      <w:pPr>
        <w:spacing w:before="120"/>
        <w:jc w:val="both"/>
        <w:rPr>
          <w:sz w:val="24"/>
          <w:szCs w:val="24"/>
        </w:rPr>
      </w:pPr>
      <w:r>
        <w:rPr>
          <w:sz w:val="24"/>
          <w:szCs w:val="24"/>
        </w:rPr>
        <w:t xml:space="preserve">     </w:t>
      </w:r>
      <w:r w:rsidR="00A743D8">
        <w:rPr>
          <w:sz w:val="24"/>
          <w:szCs w:val="24"/>
        </w:rPr>
        <w:t xml:space="preserve">V roku 2021 bolo na implementáciu  AOTP v územnom obvode úradu Zvolen čerpaných celkom 38 319 307,14  €, čo je o 15 502 711,96  € viac  ako v roku 2020. Tento enormný nárast vyplatených FP bol z dôvodu </w:t>
      </w:r>
      <w:r w:rsidR="00A743D8">
        <w:rPr>
          <w:rFonts w:cs="Tahoma"/>
          <w:sz w:val="24"/>
          <w:szCs w:val="24"/>
        </w:rPr>
        <w:t>COVID-19</w:t>
      </w:r>
      <w:r w:rsidR="00A743D8">
        <w:rPr>
          <w:sz w:val="24"/>
          <w:szCs w:val="24"/>
        </w:rPr>
        <w:t xml:space="preserve">, kde sme vyplácali príspevky v rámci projektu „Prvá pomoc“. Na implementáciu AOTP bez projektu „Prvá pomoc“ bolo v roku 2021 vynaložených 2 557 202, 94 €. </w:t>
      </w:r>
    </w:p>
    <w:p w:rsidR="00A1017C" w:rsidRDefault="004C0713">
      <w:pPr>
        <w:spacing w:before="120"/>
        <w:jc w:val="both"/>
        <w:rPr>
          <w:sz w:val="24"/>
          <w:szCs w:val="24"/>
        </w:rPr>
      </w:pPr>
      <w:r>
        <w:rPr>
          <w:sz w:val="24"/>
          <w:szCs w:val="24"/>
        </w:rPr>
        <w:t xml:space="preserve">     </w:t>
      </w:r>
      <w:r w:rsidR="00A743D8">
        <w:rPr>
          <w:sz w:val="24"/>
          <w:szCs w:val="24"/>
        </w:rPr>
        <w:t xml:space="preserve">Celkový počet zapojených </w:t>
      </w:r>
      <w:proofErr w:type="spellStart"/>
      <w:r w:rsidR="00A743D8">
        <w:rPr>
          <w:sz w:val="24"/>
          <w:szCs w:val="24"/>
        </w:rPr>
        <w:t>UoZ</w:t>
      </w:r>
      <w:proofErr w:type="spellEnd"/>
      <w:r w:rsidR="00A743D8">
        <w:rPr>
          <w:sz w:val="24"/>
          <w:szCs w:val="24"/>
        </w:rPr>
        <w:t xml:space="preserve"> resp. iných osôb a zamestnancov v roku 2021 na aktivity AOTP  bol 2 040, čo je oproti roku 2020 menej o 361 žiadateľov. Tento stav je spôsobený tým, že </w:t>
      </w:r>
      <w:r w:rsidR="00A743D8">
        <w:rPr>
          <w:sz w:val="24"/>
          <w:szCs w:val="24"/>
        </w:rPr>
        <w:lastRenderedPageBreak/>
        <w:t xml:space="preserve">zamestnávatelia z dôvodu </w:t>
      </w:r>
      <w:r w:rsidR="00A743D8">
        <w:rPr>
          <w:rFonts w:cs="Tahoma"/>
          <w:sz w:val="24"/>
          <w:szCs w:val="24"/>
        </w:rPr>
        <w:t xml:space="preserve">COVID-19 </w:t>
      </w:r>
      <w:r w:rsidR="00A743D8">
        <w:rPr>
          <w:sz w:val="24"/>
          <w:szCs w:val="24"/>
        </w:rPr>
        <w:t xml:space="preserve">neprijímali nových zamestnancov do pracovného pomeru. V rámci projektu </w:t>
      </w:r>
      <w:r w:rsidR="00A743D8">
        <w:rPr>
          <w:rFonts w:cs="Tahoma"/>
          <w:sz w:val="24"/>
          <w:szCs w:val="24"/>
        </w:rPr>
        <w:t xml:space="preserve">COVID-19 </w:t>
      </w:r>
      <w:r w:rsidR="00A743D8">
        <w:rPr>
          <w:sz w:val="24"/>
          <w:szCs w:val="24"/>
        </w:rPr>
        <w:t xml:space="preserve">bolo v roku 2021 podporených 3 066  žiadateľov. </w:t>
      </w:r>
    </w:p>
    <w:p w:rsidR="00A1017C" w:rsidRDefault="00A1017C">
      <w:pPr>
        <w:spacing w:before="120"/>
        <w:rPr>
          <w:sz w:val="24"/>
          <w:szCs w:val="24"/>
        </w:rPr>
      </w:pPr>
    </w:p>
    <w:p w:rsidR="00A1017C" w:rsidRDefault="00A1017C">
      <w:pPr>
        <w:pStyle w:val="Odsekzoznamu"/>
        <w:spacing w:after="0" w:line="240" w:lineRule="auto"/>
        <w:ind w:left="641"/>
        <w:contextualSpacing w:val="0"/>
        <w:jc w:val="both"/>
        <w:rPr>
          <w:sz w:val="24"/>
          <w:szCs w:val="24"/>
        </w:rPr>
      </w:pPr>
    </w:p>
    <w:p w:rsidR="00A1017C" w:rsidRDefault="00A1017C">
      <w:pPr>
        <w:pStyle w:val="Odsekzoznamu"/>
        <w:ind w:left="644"/>
        <w:jc w:val="both"/>
        <w:rPr>
          <w:color w:val="FF0000"/>
          <w:sz w:val="24"/>
          <w:szCs w:val="24"/>
        </w:rPr>
      </w:pPr>
    </w:p>
    <w:sectPr w:rsidR="00A1017C">
      <w:footerReference w:type="default" r:id="rId8"/>
      <w:pgSz w:w="11906" w:h="16838"/>
      <w:pgMar w:top="1135" w:right="1133" w:bottom="993" w:left="1276"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3D8" w:rsidRDefault="00A743D8">
      <w:r>
        <w:separator/>
      </w:r>
    </w:p>
  </w:endnote>
  <w:endnote w:type="continuationSeparator" w:id="0">
    <w:p w:rsidR="00A743D8" w:rsidRDefault="00A7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2876"/>
      <w:docPartObj>
        <w:docPartGallery w:val="Page Numbers (Bottom of Page)"/>
        <w:docPartUnique/>
      </w:docPartObj>
    </w:sdtPr>
    <w:sdtEndPr/>
    <w:sdtContent>
      <w:p w:rsidR="00A1017C" w:rsidRDefault="00A743D8">
        <w:pPr>
          <w:pStyle w:val="Pta"/>
          <w:jc w:val="right"/>
        </w:pPr>
        <w:r>
          <w:fldChar w:fldCharType="begin"/>
        </w:r>
        <w:r>
          <w:instrText xml:space="preserve"> PAGE   \* MERGEFORMAT </w:instrText>
        </w:r>
        <w:r>
          <w:fldChar w:fldCharType="separate"/>
        </w:r>
        <w:r w:rsidR="00715A48">
          <w:rPr>
            <w:noProof/>
          </w:rPr>
          <w:t>1</w:t>
        </w:r>
        <w:r>
          <w:rPr>
            <w:noProof/>
          </w:rPr>
          <w:fldChar w:fldCharType="end"/>
        </w:r>
      </w:p>
    </w:sdtContent>
  </w:sdt>
  <w:p w:rsidR="00A1017C" w:rsidRDefault="00A1017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3D8" w:rsidRDefault="00A743D8">
      <w:r>
        <w:separator/>
      </w:r>
    </w:p>
  </w:footnote>
  <w:footnote w:type="continuationSeparator" w:id="0">
    <w:p w:rsidR="00A743D8" w:rsidRDefault="00A74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251"/>
    <w:multiLevelType w:val="hybridMultilevel"/>
    <w:tmpl w:val="D94E271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050F16"/>
    <w:multiLevelType w:val="hybridMultilevel"/>
    <w:tmpl w:val="C032CE44"/>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150233"/>
    <w:multiLevelType w:val="hybridMultilevel"/>
    <w:tmpl w:val="0AEE8E60"/>
    <w:lvl w:ilvl="0" w:tplc="97FAF314">
      <w:start w:val="4"/>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25504C"/>
    <w:multiLevelType w:val="hybridMultilevel"/>
    <w:tmpl w:val="6442B92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C665EB8"/>
    <w:multiLevelType w:val="hybridMultilevel"/>
    <w:tmpl w:val="F3243226"/>
    <w:lvl w:ilvl="0" w:tplc="8664509A">
      <w:start w:val="1"/>
      <w:numFmt w:val="bullet"/>
      <w:lvlText w:val="­"/>
      <w:lvlJc w:val="left"/>
      <w:pPr>
        <w:ind w:left="1429" w:hanging="360"/>
      </w:pPr>
      <w:rPr>
        <w:rFonts w:ascii="Lucida Sans Unicode" w:hAnsi="Lucida Sans Unicode" w:hint="default"/>
        <w:color w:val="auto"/>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0D5C3900"/>
    <w:multiLevelType w:val="hybridMultilevel"/>
    <w:tmpl w:val="87AE9E4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416877"/>
    <w:multiLevelType w:val="hybridMultilevel"/>
    <w:tmpl w:val="A844A5CE"/>
    <w:lvl w:ilvl="0" w:tplc="2FF41338">
      <w:numFmt w:val="bullet"/>
      <w:lvlText w:val="-"/>
      <w:lvlJc w:val="left"/>
      <w:pPr>
        <w:ind w:left="987" w:hanging="360"/>
      </w:pPr>
      <w:rPr>
        <w:rFonts w:ascii="Calibri" w:eastAsiaTheme="minorHAnsi" w:hAnsi="Calibri" w:cstheme="minorBidi" w:hint="default"/>
      </w:rPr>
    </w:lvl>
    <w:lvl w:ilvl="1" w:tplc="041B0003" w:tentative="1">
      <w:start w:val="1"/>
      <w:numFmt w:val="bullet"/>
      <w:lvlText w:val="o"/>
      <w:lvlJc w:val="left"/>
      <w:pPr>
        <w:ind w:left="1707" w:hanging="360"/>
      </w:pPr>
      <w:rPr>
        <w:rFonts w:ascii="Courier New" w:hAnsi="Courier New" w:cs="Courier New" w:hint="default"/>
      </w:rPr>
    </w:lvl>
    <w:lvl w:ilvl="2" w:tplc="041B0005" w:tentative="1">
      <w:start w:val="1"/>
      <w:numFmt w:val="bullet"/>
      <w:lvlText w:val=""/>
      <w:lvlJc w:val="left"/>
      <w:pPr>
        <w:ind w:left="2427" w:hanging="360"/>
      </w:pPr>
      <w:rPr>
        <w:rFonts w:ascii="Wingdings" w:hAnsi="Wingdings" w:hint="default"/>
      </w:rPr>
    </w:lvl>
    <w:lvl w:ilvl="3" w:tplc="041B0001" w:tentative="1">
      <w:start w:val="1"/>
      <w:numFmt w:val="bullet"/>
      <w:lvlText w:val=""/>
      <w:lvlJc w:val="left"/>
      <w:pPr>
        <w:ind w:left="3147" w:hanging="360"/>
      </w:pPr>
      <w:rPr>
        <w:rFonts w:ascii="Symbol" w:hAnsi="Symbol" w:hint="default"/>
      </w:rPr>
    </w:lvl>
    <w:lvl w:ilvl="4" w:tplc="041B0003" w:tentative="1">
      <w:start w:val="1"/>
      <w:numFmt w:val="bullet"/>
      <w:lvlText w:val="o"/>
      <w:lvlJc w:val="left"/>
      <w:pPr>
        <w:ind w:left="3867" w:hanging="360"/>
      </w:pPr>
      <w:rPr>
        <w:rFonts w:ascii="Courier New" w:hAnsi="Courier New" w:cs="Courier New" w:hint="default"/>
      </w:rPr>
    </w:lvl>
    <w:lvl w:ilvl="5" w:tplc="041B0005" w:tentative="1">
      <w:start w:val="1"/>
      <w:numFmt w:val="bullet"/>
      <w:lvlText w:val=""/>
      <w:lvlJc w:val="left"/>
      <w:pPr>
        <w:ind w:left="4587" w:hanging="360"/>
      </w:pPr>
      <w:rPr>
        <w:rFonts w:ascii="Wingdings" w:hAnsi="Wingdings" w:hint="default"/>
      </w:rPr>
    </w:lvl>
    <w:lvl w:ilvl="6" w:tplc="041B0001" w:tentative="1">
      <w:start w:val="1"/>
      <w:numFmt w:val="bullet"/>
      <w:lvlText w:val=""/>
      <w:lvlJc w:val="left"/>
      <w:pPr>
        <w:ind w:left="5307" w:hanging="360"/>
      </w:pPr>
      <w:rPr>
        <w:rFonts w:ascii="Symbol" w:hAnsi="Symbol" w:hint="default"/>
      </w:rPr>
    </w:lvl>
    <w:lvl w:ilvl="7" w:tplc="041B0003" w:tentative="1">
      <w:start w:val="1"/>
      <w:numFmt w:val="bullet"/>
      <w:lvlText w:val="o"/>
      <w:lvlJc w:val="left"/>
      <w:pPr>
        <w:ind w:left="6027" w:hanging="360"/>
      </w:pPr>
      <w:rPr>
        <w:rFonts w:ascii="Courier New" w:hAnsi="Courier New" w:cs="Courier New" w:hint="default"/>
      </w:rPr>
    </w:lvl>
    <w:lvl w:ilvl="8" w:tplc="041B0005" w:tentative="1">
      <w:start w:val="1"/>
      <w:numFmt w:val="bullet"/>
      <w:lvlText w:val=""/>
      <w:lvlJc w:val="left"/>
      <w:pPr>
        <w:ind w:left="6747" w:hanging="360"/>
      </w:pPr>
      <w:rPr>
        <w:rFonts w:ascii="Wingdings" w:hAnsi="Wingdings" w:hint="default"/>
      </w:rPr>
    </w:lvl>
  </w:abstractNum>
  <w:abstractNum w:abstractNumId="7" w15:restartNumberingAfterBreak="0">
    <w:nsid w:val="16097D6C"/>
    <w:multiLevelType w:val="hybridMultilevel"/>
    <w:tmpl w:val="FD2AEC7E"/>
    <w:lvl w:ilvl="0" w:tplc="D37CC66A">
      <w:start w:val="1"/>
      <w:numFmt w:val="bullet"/>
      <w:lvlText w:val="-"/>
      <w:lvlJc w:val="left"/>
      <w:pPr>
        <w:ind w:left="1004" w:hanging="360"/>
      </w:pPr>
      <w:rPr>
        <w:rFonts w:ascii="Times New Roman" w:eastAsiaTheme="minorHAnsi"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8" w15:restartNumberingAfterBreak="0">
    <w:nsid w:val="16B973C0"/>
    <w:multiLevelType w:val="hybridMultilevel"/>
    <w:tmpl w:val="CFDA70CC"/>
    <w:lvl w:ilvl="0" w:tplc="CA000A4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DD5A32"/>
    <w:multiLevelType w:val="hybridMultilevel"/>
    <w:tmpl w:val="8F9E0CF4"/>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A856B9"/>
    <w:multiLevelType w:val="hybridMultilevel"/>
    <w:tmpl w:val="917EF7C8"/>
    <w:lvl w:ilvl="0" w:tplc="041B000F">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351259A"/>
    <w:multiLevelType w:val="hybridMultilevel"/>
    <w:tmpl w:val="8848D7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C818D3"/>
    <w:multiLevelType w:val="hybridMultilevel"/>
    <w:tmpl w:val="81CCF71A"/>
    <w:lvl w:ilvl="0" w:tplc="041B0001">
      <w:start w:val="1"/>
      <w:numFmt w:val="bullet"/>
      <w:lvlText w:val=""/>
      <w:lvlJc w:val="left"/>
      <w:pPr>
        <w:ind w:left="360" w:hanging="360"/>
      </w:pPr>
      <w:rPr>
        <w:rFonts w:ascii="Symbol" w:hAnsi="Symbol" w:hint="default"/>
      </w:rPr>
    </w:lvl>
    <w:lvl w:ilvl="1" w:tplc="525E385A">
      <w:start w:val="7"/>
      <w:numFmt w:val="bullet"/>
      <w:lvlText w:val="-"/>
      <w:lvlJc w:val="left"/>
      <w:pPr>
        <w:ind w:left="1080" w:hanging="360"/>
      </w:pPr>
      <w:rPr>
        <w:rFonts w:ascii="Calibri" w:eastAsiaTheme="minorHAnsi" w:hAnsi="Calibri" w:cstheme="minorBidi"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B2C02A9"/>
    <w:multiLevelType w:val="hybridMultilevel"/>
    <w:tmpl w:val="9022CCA4"/>
    <w:lvl w:ilvl="0" w:tplc="1312ED62">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2D166EE8"/>
    <w:multiLevelType w:val="hybridMultilevel"/>
    <w:tmpl w:val="BF28EEB8"/>
    <w:lvl w:ilvl="0" w:tplc="98D49C1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DB6B07"/>
    <w:multiLevelType w:val="multilevel"/>
    <w:tmpl w:val="6CAA4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A5DB9"/>
    <w:multiLevelType w:val="hybridMultilevel"/>
    <w:tmpl w:val="B5087BDC"/>
    <w:lvl w:ilvl="0" w:tplc="59A8E98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310D5D"/>
    <w:multiLevelType w:val="hybridMultilevel"/>
    <w:tmpl w:val="5F8A914C"/>
    <w:lvl w:ilvl="0" w:tplc="38FC66AC">
      <w:numFmt w:val="bullet"/>
      <w:lvlText w:val="-"/>
      <w:lvlJc w:val="left"/>
      <w:pPr>
        <w:ind w:left="644" w:hanging="360"/>
      </w:pPr>
      <w:rPr>
        <w:rFonts w:ascii="Calibri" w:eastAsiaTheme="minorHAnsi" w:hAnsi="Calibri" w:cstheme="minorBid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8" w15:restartNumberingAfterBreak="0">
    <w:nsid w:val="34B41FA0"/>
    <w:multiLevelType w:val="hybridMultilevel"/>
    <w:tmpl w:val="D3EEC908"/>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9" w15:restartNumberingAfterBreak="0">
    <w:nsid w:val="36B61F11"/>
    <w:multiLevelType w:val="hybridMultilevel"/>
    <w:tmpl w:val="8EA8268A"/>
    <w:lvl w:ilvl="0" w:tplc="D37CC66A">
      <w:start w:val="1"/>
      <w:numFmt w:val="bullet"/>
      <w:lvlText w:val="-"/>
      <w:lvlJc w:val="left"/>
      <w:pPr>
        <w:ind w:left="780" w:hanging="360"/>
      </w:pPr>
      <w:rPr>
        <w:rFonts w:ascii="Times New Roman" w:eastAsiaTheme="minorHAnsi" w:hAnsi="Times New Roman" w:cs="Times New Roman" w:hint="default"/>
      </w:rPr>
    </w:lvl>
    <w:lvl w:ilvl="1" w:tplc="041B0003">
      <w:start w:val="1"/>
      <w:numFmt w:val="bullet"/>
      <w:lvlText w:val="o"/>
      <w:lvlJc w:val="left"/>
      <w:pPr>
        <w:ind w:left="1500" w:hanging="360"/>
      </w:pPr>
      <w:rPr>
        <w:rFonts w:ascii="Courier New" w:hAnsi="Courier New" w:cs="Courier New" w:hint="default"/>
      </w:rPr>
    </w:lvl>
    <w:lvl w:ilvl="2" w:tplc="041B0005">
      <w:start w:val="1"/>
      <w:numFmt w:val="bullet"/>
      <w:lvlText w:val=""/>
      <w:lvlJc w:val="left"/>
      <w:pPr>
        <w:ind w:left="2220" w:hanging="360"/>
      </w:pPr>
      <w:rPr>
        <w:rFonts w:ascii="Wingdings" w:hAnsi="Wingdings" w:hint="default"/>
      </w:rPr>
    </w:lvl>
    <w:lvl w:ilvl="3" w:tplc="041B0001">
      <w:start w:val="1"/>
      <w:numFmt w:val="bullet"/>
      <w:lvlText w:val=""/>
      <w:lvlJc w:val="left"/>
      <w:pPr>
        <w:ind w:left="2940" w:hanging="360"/>
      </w:pPr>
      <w:rPr>
        <w:rFonts w:ascii="Symbol" w:hAnsi="Symbol" w:hint="default"/>
      </w:rPr>
    </w:lvl>
    <w:lvl w:ilvl="4" w:tplc="041B0003">
      <w:start w:val="1"/>
      <w:numFmt w:val="bullet"/>
      <w:lvlText w:val="o"/>
      <w:lvlJc w:val="left"/>
      <w:pPr>
        <w:ind w:left="3660" w:hanging="360"/>
      </w:pPr>
      <w:rPr>
        <w:rFonts w:ascii="Courier New" w:hAnsi="Courier New" w:cs="Courier New" w:hint="default"/>
      </w:rPr>
    </w:lvl>
    <w:lvl w:ilvl="5" w:tplc="041B0005">
      <w:start w:val="1"/>
      <w:numFmt w:val="bullet"/>
      <w:lvlText w:val=""/>
      <w:lvlJc w:val="left"/>
      <w:pPr>
        <w:ind w:left="4380" w:hanging="360"/>
      </w:pPr>
      <w:rPr>
        <w:rFonts w:ascii="Wingdings" w:hAnsi="Wingdings" w:hint="default"/>
      </w:rPr>
    </w:lvl>
    <w:lvl w:ilvl="6" w:tplc="041B0001">
      <w:start w:val="1"/>
      <w:numFmt w:val="bullet"/>
      <w:lvlText w:val=""/>
      <w:lvlJc w:val="left"/>
      <w:pPr>
        <w:ind w:left="5100" w:hanging="360"/>
      </w:pPr>
      <w:rPr>
        <w:rFonts w:ascii="Symbol" w:hAnsi="Symbol" w:hint="default"/>
      </w:rPr>
    </w:lvl>
    <w:lvl w:ilvl="7" w:tplc="041B0003">
      <w:start w:val="1"/>
      <w:numFmt w:val="bullet"/>
      <w:lvlText w:val="o"/>
      <w:lvlJc w:val="left"/>
      <w:pPr>
        <w:ind w:left="5820" w:hanging="360"/>
      </w:pPr>
      <w:rPr>
        <w:rFonts w:ascii="Courier New" w:hAnsi="Courier New" w:cs="Courier New" w:hint="default"/>
      </w:rPr>
    </w:lvl>
    <w:lvl w:ilvl="8" w:tplc="041B0005">
      <w:start w:val="1"/>
      <w:numFmt w:val="bullet"/>
      <w:lvlText w:val=""/>
      <w:lvlJc w:val="left"/>
      <w:pPr>
        <w:ind w:left="6540" w:hanging="360"/>
      </w:pPr>
      <w:rPr>
        <w:rFonts w:ascii="Wingdings" w:hAnsi="Wingdings" w:hint="default"/>
      </w:rPr>
    </w:lvl>
  </w:abstractNum>
  <w:abstractNum w:abstractNumId="20" w15:restartNumberingAfterBreak="0">
    <w:nsid w:val="382B1814"/>
    <w:multiLevelType w:val="hybridMultilevel"/>
    <w:tmpl w:val="897AB598"/>
    <w:lvl w:ilvl="0" w:tplc="D7E4D024">
      <w:start w:val="4"/>
      <w:numFmt w:val="bullet"/>
      <w:lvlText w:val="-"/>
      <w:lvlJc w:val="left"/>
      <w:pPr>
        <w:ind w:left="717" w:hanging="360"/>
      </w:pPr>
      <w:rPr>
        <w:rFonts w:ascii="Calibri" w:eastAsiaTheme="minorHAnsi" w:hAnsi="Calibri" w:cstheme="minorBidi"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21" w15:restartNumberingAfterBreak="0">
    <w:nsid w:val="38DB580B"/>
    <w:multiLevelType w:val="hybridMultilevel"/>
    <w:tmpl w:val="E8D6E560"/>
    <w:lvl w:ilvl="0" w:tplc="8664509A">
      <w:start w:val="1"/>
      <w:numFmt w:val="bullet"/>
      <w:lvlText w:val="­"/>
      <w:lvlJc w:val="left"/>
      <w:pPr>
        <w:ind w:left="720" w:hanging="360"/>
      </w:pPr>
      <w:rPr>
        <w:rFonts w:ascii="Lucida Sans Unicode" w:hAnsi="Lucida Sans Unicode"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A654EC"/>
    <w:multiLevelType w:val="hybridMultilevel"/>
    <w:tmpl w:val="9440DDFA"/>
    <w:lvl w:ilvl="0" w:tplc="635E8F9A">
      <w:start w:val="76"/>
      <w:numFmt w:val="decimal"/>
      <w:lvlText w:val="%1"/>
      <w:lvlJc w:val="left"/>
      <w:pPr>
        <w:ind w:left="355" w:hanging="360"/>
      </w:pPr>
      <w:rPr>
        <w:rFonts w:hint="default"/>
      </w:rPr>
    </w:lvl>
    <w:lvl w:ilvl="1" w:tplc="041B0019" w:tentative="1">
      <w:start w:val="1"/>
      <w:numFmt w:val="lowerLetter"/>
      <w:lvlText w:val="%2."/>
      <w:lvlJc w:val="left"/>
      <w:pPr>
        <w:ind w:left="1075" w:hanging="360"/>
      </w:pPr>
    </w:lvl>
    <w:lvl w:ilvl="2" w:tplc="041B001B" w:tentative="1">
      <w:start w:val="1"/>
      <w:numFmt w:val="lowerRoman"/>
      <w:lvlText w:val="%3."/>
      <w:lvlJc w:val="right"/>
      <w:pPr>
        <w:ind w:left="1795" w:hanging="180"/>
      </w:pPr>
    </w:lvl>
    <w:lvl w:ilvl="3" w:tplc="041B000F" w:tentative="1">
      <w:start w:val="1"/>
      <w:numFmt w:val="decimal"/>
      <w:lvlText w:val="%4."/>
      <w:lvlJc w:val="left"/>
      <w:pPr>
        <w:ind w:left="2515" w:hanging="360"/>
      </w:pPr>
    </w:lvl>
    <w:lvl w:ilvl="4" w:tplc="041B0019" w:tentative="1">
      <w:start w:val="1"/>
      <w:numFmt w:val="lowerLetter"/>
      <w:lvlText w:val="%5."/>
      <w:lvlJc w:val="left"/>
      <w:pPr>
        <w:ind w:left="3235" w:hanging="360"/>
      </w:pPr>
    </w:lvl>
    <w:lvl w:ilvl="5" w:tplc="041B001B" w:tentative="1">
      <w:start w:val="1"/>
      <w:numFmt w:val="lowerRoman"/>
      <w:lvlText w:val="%6."/>
      <w:lvlJc w:val="right"/>
      <w:pPr>
        <w:ind w:left="3955" w:hanging="180"/>
      </w:pPr>
    </w:lvl>
    <w:lvl w:ilvl="6" w:tplc="041B000F" w:tentative="1">
      <w:start w:val="1"/>
      <w:numFmt w:val="decimal"/>
      <w:lvlText w:val="%7."/>
      <w:lvlJc w:val="left"/>
      <w:pPr>
        <w:ind w:left="4675" w:hanging="360"/>
      </w:pPr>
    </w:lvl>
    <w:lvl w:ilvl="7" w:tplc="041B0019" w:tentative="1">
      <w:start w:val="1"/>
      <w:numFmt w:val="lowerLetter"/>
      <w:lvlText w:val="%8."/>
      <w:lvlJc w:val="left"/>
      <w:pPr>
        <w:ind w:left="5395" w:hanging="360"/>
      </w:pPr>
    </w:lvl>
    <w:lvl w:ilvl="8" w:tplc="041B001B" w:tentative="1">
      <w:start w:val="1"/>
      <w:numFmt w:val="lowerRoman"/>
      <w:lvlText w:val="%9."/>
      <w:lvlJc w:val="right"/>
      <w:pPr>
        <w:ind w:left="6115" w:hanging="180"/>
      </w:pPr>
    </w:lvl>
  </w:abstractNum>
  <w:abstractNum w:abstractNumId="23" w15:restartNumberingAfterBreak="0">
    <w:nsid w:val="3A73028C"/>
    <w:multiLevelType w:val="hybridMultilevel"/>
    <w:tmpl w:val="C9067B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B321C3A"/>
    <w:multiLevelType w:val="hybridMultilevel"/>
    <w:tmpl w:val="795EA31C"/>
    <w:lvl w:ilvl="0" w:tplc="29BA1D62">
      <w:start w:val="1"/>
      <w:numFmt w:val="decimal"/>
      <w:lvlText w:val="%1."/>
      <w:lvlJc w:val="left"/>
      <w:pPr>
        <w:ind w:left="720" w:hanging="360"/>
      </w:pPr>
      <w:rPr>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3B6421A7"/>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ED11F3"/>
    <w:multiLevelType w:val="hybridMultilevel"/>
    <w:tmpl w:val="37644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D483439"/>
    <w:multiLevelType w:val="hybridMultilevel"/>
    <w:tmpl w:val="37AA041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EFF0E15"/>
    <w:multiLevelType w:val="hybridMultilevel"/>
    <w:tmpl w:val="A5F65728"/>
    <w:lvl w:ilvl="0" w:tplc="AE929F66">
      <w:start w:val="4"/>
      <w:numFmt w:val="bullet"/>
      <w:lvlText w:val="-"/>
      <w:lvlJc w:val="left"/>
      <w:pPr>
        <w:ind w:left="717" w:hanging="360"/>
      </w:pPr>
      <w:rPr>
        <w:rFonts w:ascii="Calibri" w:eastAsiaTheme="minorHAnsi" w:hAnsi="Calibri" w:cstheme="minorBidi" w:hint="default"/>
        <w:b/>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29" w15:restartNumberingAfterBreak="0">
    <w:nsid w:val="41A477A2"/>
    <w:multiLevelType w:val="hybridMultilevel"/>
    <w:tmpl w:val="ABA2E30A"/>
    <w:lvl w:ilvl="0" w:tplc="C7C6A76E">
      <w:start w:val="2"/>
      <w:numFmt w:val="bullet"/>
      <w:lvlText w:val="-"/>
      <w:lvlJc w:val="left"/>
      <w:pPr>
        <w:ind w:left="720" w:hanging="360"/>
      </w:pPr>
      <w:rPr>
        <w:rFonts w:ascii="Times New Roman" w:eastAsiaTheme="minorHAns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3A54FD4"/>
    <w:multiLevelType w:val="hybridMultilevel"/>
    <w:tmpl w:val="4968919C"/>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859389E"/>
    <w:multiLevelType w:val="hybridMultilevel"/>
    <w:tmpl w:val="C07A9334"/>
    <w:lvl w:ilvl="0" w:tplc="55229572">
      <w:start w:val="1"/>
      <w:numFmt w:val="decimal"/>
      <w:lvlText w:val="%1."/>
      <w:lvlJc w:val="left"/>
      <w:pPr>
        <w:ind w:left="720" w:hanging="360"/>
      </w:pPr>
      <w:rPr>
        <w:rFonts w:ascii="Times New Roman" w:hAnsi="Times New Roman"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BAB128F"/>
    <w:multiLevelType w:val="hybridMultilevel"/>
    <w:tmpl w:val="7862AD54"/>
    <w:lvl w:ilvl="0" w:tplc="041B000F">
      <w:start w:val="1"/>
      <w:numFmt w:val="decimal"/>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3" w15:restartNumberingAfterBreak="0">
    <w:nsid w:val="4CDD0881"/>
    <w:multiLevelType w:val="hybridMultilevel"/>
    <w:tmpl w:val="9DE6F17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40453F8"/>
    <w:multiLevelType w:val="hybridMultilevel"/>
    <w:tmpl w:val="3DE281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5F96F5B"/>
    <w:multiLevelType w:val="hybridMultilevel"/>
    <w:tmpl w:val="C82860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8660E33"/>
    <w:multiLevelType w:val="hybridMultilevel"/>
    <w:tmpl w:val="BDB2C7BE"/>
    <w:lvl w:ilvl="0" w:tplc="38FC66AC">
      <w:numFmt w:val="bullet"/>
      <w:lvlText w:val="-"/>
      <w:lvlJc w:val="left"/>
      <w:pPr>
        <w:ind w:left="644"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DA95F39"/>
    <w:multiLevelType w:val="hybridMultilevel"/>
    <w:tmpl w:val="BA5E26A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5CA3DF8"/>
    <w:multiLevelType w:val="multilevel"/>
    <w:tmpl w:val="3ED4AD1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9E6479"/>
    <w:multiLevelType w:val="hybridMultilevel"/>
    <w:tmpl w:val="75081C6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6630843"/>
    <w:multiLevelType w:val="hybridMultilevel"/>
    <w:tmpl w:val="E5E64280"/>
    <w:lvl w:ilvl="0" w:tplc="5C488A66">
      <w:start w:val="4"/>
      <w:numFmt w:val="bullet"/>
      <w:lvlText w:val="-"/>
      <w:lvlJc w:val="left"/>
      <w:pPr>
        <w:ind w:left="644" w:hanging="360"/>
      </w:pPr>
      <w:rPr>
        <w:rFonts w:ascii="Calibri" w:eastAsiaTheme="minorHAnsi" w:hAnsi="Calibri" w:cstheme="minorBid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num w:numId="1">
    <w:abstractNumId w:val="11"/>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4"/>
  </w:num>
  <w:num w:numId="5">
    <w:abstractNumId w:val="13"/>
  </w:num>
  <w:num w:numId="6">
    <w:abstractNumId w:val="10"/>
  </w:num>
  <w:num w:numId="7">
    <w:abstractNumId w:val="31"/>
  </w:num>
  <w:num w:numId="8">
    <w:abstractNumId w:val="35"/>
  </w:num>
  <w:num w:numId="9">
    <w:abstractNumId w:val="16"/>
  </w:num>
  <w:num w:numId="10">
    <w:abstractNumId w:val="8"/>
  </w:num>
  <w:num w:numId="11">
    <w:abstractNumId w:val="29"/>
  </w:num>
  <w:num w:numId="12">
    <w:abstractNumId w:val="26"/>
  </w:num>
  <w:num w:numId="13">
    <w:abstractNumId w:val="1"/>
  </w:num>
  <w:num w:numId="14">
    <w:abstractNumId w:val="34"/>
  </w:num>
  <w:num w:numId="15">
    <w:abstractNumId w:val="23"/>
  </w:num>
  <w:num w:numId="16">
    <w:abstractNumId w:val="25"/>
  </w:num>
  <w:num w:numId="17">
    <w:abstractNumId w:val="30"/>
  </w:num>
  <w:num w:numId="18">
    <w:abstractNumId w:val="32"/>
  </w:num>
  <w:num w:numId="19">
    <w:abstractNumId w:val="5"/>
  </w:num>
  <w:num w:numId="20">
    <w:abstractNumId w:val="27"/>
  </w:num>
  <w:num w:numId="21">
    <w:abstractNumId w:val="3"/>
  </w:num>
  <w:num w:numId="22">
    <w:abstractNumId w:val="38"/>
  </w:num>
  <w:num w:numId="23">
    <w:abstractNumId w:val="12"/>
  </w:num>
  <w:num w:numId="24">
    <w:abstractNumId w:val="18"/>
  </w:num>
  <w:num w:numId="25">
    <w:abstractNumId w:val="9"/>
  </w:num>
  <w:num w:numId="26">
    <w:abstractNumId w:val="4"/>
  </w:num>
  <w:num w:numId="27">
    <w:abstractNumId w:val="6"/>
  </w:num>
  <w:num w:numId="28">
    <w:abstractNumId w:val="28"/>
  </w:num>
  <w:num w:numId="29">
    <w:abstractNumId w:val="20"/>
  </w:num>
  <w:num w:numId="30">
    <w:abstractNumId w:val="40"/>
  </w:num>
  <w:num w:numId="31">
    <w:abstractNumId w:val="17"/>
  </w:num>
  <w:num w:numId="32">
    <w:abstractNumId w:val="33"/>
  </w:num>
  <w:num w:numId="33">
    <w:abstractNumId w:val="2"/>
  </w:num>
  <w:num w:numId="34">
    <w:abstractNumId w:val="7"/>
  </w:num>
  <w:num w:numId="35">
    <w:abstractNumId w:val="21"/>
  </w:num>
  <w:num w:numId="36">
    <w:abstractNumId w:val="36"/>
  </w:num>
  <w:num w:numId="37">
    <w:abstractNumId w:val="15"/>
  </w:num>
  <w:num w:numId="38">
    <w:abstractNumId w:val="37"/>
  </w:num>
  <w:num w:numId="39">
    <w:abstractNumId w:val="39"/>
  </w:num>
  <w:num w:numId="40">
    <w:abstractNumId w:val="0"/>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17C"/>
    <w:rsid w:val="004C0713"/>
    <w:rsid w:val="00715A48"/>
    <w:rsid w:val="00A1017C"/>
    <w:rsid w:val="00A20947"/>
    <w:rsid w:val="00A743D8"/>
    <w:rsid w:val="00BC52FC"/>
    <w:rsid w:val="00E25197"/>
    <w:rsid w:val="00EB3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4137"/>
  <w15:docId w15:val="{2E7C7F5E-7DC5-4FD1-9412-2AD53B04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pPr>
      <w:spacing w:after="200" w:line="276" w:lineRule="auto"/>
      <w:ind w:left="720"/>
      <w:contextualSpacing/>
    </w:pPr>
  </w:style>
  <w:style w:type="character" w:styleId="Hypertextovprepojenie">
    <w:name w:val="Hyperlink"/>
    <w:basedOn w:val="Predvolenpsmoodseku"/>
    <w:uiPriority w:val="99"/>
    <w:semiHidden/>
    <w:unhideWhenUsed/>
    <w:rPr>
      <w:color w:val="0000FF"/>
      <w:u w:val="single"/>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paragraph" w:customStyle="1" w:styleId="Zkladntext">
    <w:name w:val="Základní text"/>
    <w:basedOn w:val="Default"/>
    <w:next w:val="Default"/>
    <w:uiPriority w:val="99"/>
    <w:rPr>
      <w:color w:val="auto"/>
    </w:rPr>
  </w:style>
  <w:style w:type="paragraph" w:customStyle="1" w:styleId="Normln">
    <w:name w:val="Normální"/>
    <w:basedOn w:val="Default"/>
    <w:next w:val="Default"/>
    <w:uiPriority w:val="99"/>
    <w:rPr>
      <w:color w:val="auto"/>
    </w:rPr>
  </w:style>
  <w:style w:type="paragraph" w:styleId="Hlavika">
    <w:name w:val="header"/>
    <w:basedOn w:val="Normlny"/>
    <w:link w:val="HlavikaChar"/>
    <w:uiPriority w:val="99"/>
    <w:semiHidden/>
    <w:unhideWhenUsed/>
    <w:pPr>
      <w:tabs>
        <w:tab w:val="center" w:pos="4536"/>
        <w:tab w:val="right" w:pos="9072"/>
      </w:tabs>
    </w:pPr>
  </w:style>
  <w:style w:type="character" w:customStyle="1" w:styleId="HlavikaChar">
    <w:name w:val="Hlavička Char"/>
    <w:basedOn w:val="Predvolenpsmoodseku"/>
    <w:link w:val="Hlavika"/>
    <w:uiPriority w:val="99"/>
    <w:semiHidden/>
  </w:style>
  <w:style w:type="paragraph" w:styleId="Pta">
    <w:name w:val="footer"/>
    <w:basedOn w:val="Normlny"/>
    <w:link w:val="PtaChar"/>
    <w:uiPriority w:val="99"/>
    <w:unhideWhenUsed/>
    <w:pPr>
      <w:tabs>
        <w:tab w:val="center" w:pos="4536"/>
        <w:tab w:val="right" w:pos="9072"/>
      </w:tabs>
    </w:pPr>
  </w:style>
  <w:style w:type="character" w:customStyle="1" w:styleId="PtaChar">
    <w:name w:val="Päta Char"/>
    <w:basedOn w:val="Predvolenpsmoodseku"/>
    <w:link w:val="Pta"/>
    <w:uiPriority w:val="99"/>
  </w:style>
  <w:style w:type="paragraph" w:styleId="Textbubliny">
    <w:name w:val="Balloon Text"/>
    <w:basedOn w:val="Normlny"/>
    <w:link w:val="TextbublinyChar"/>
    <w:uiPriority w:val="99"/>
    <w:semiHidden/>
    <w:unhideWhenUsed/>
    <w:rPr>
      <w:rFonts w:ascii="Tahoma" w:hAnsi="Tahoma" w:cs="Tahoma"/>
      <w:sz w:val="16"/>
      <w:szCs w:val="16"/>
    </w:rPr>
  </w:style>
  <w:style w:type="character" w:customStyle="1" w:styleId="TextbublinyChar">
    <w:name w:val="Text bubliny Char"/>
    <w:basedOn w:val="Predvolenpsmoodseku"/>
    <w:link w:val="Textbubliny"/>
    <w:uiPriority w:val="99"/>
    <w:semiHidden/>
    <w:rPr>
      <w:rFonts w:ascii="Tahoma" w:hAnsi="Tahoma" w:cs="Tahoma"/>
      <w:sz w:val="16"/>
      <w:szCs w:val="16"/>
    </w:rPr>
  </w:style>
  <w:style w:type="table" w:styleId="Mriekatabuky">
    <w:name w:val="Table Grid"/>
    <w:basedOn w:val="Normlnatabu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pPr>
      <w:spacing w:before="100" w:beforeAutospacing="1" w:after="100" w:afterAutospacing="1"/>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605502">
      <w:bodyDiv w:val="1"/>
      <w:marLeft w:val="0"/>
      <w:marRight w:val="0"/>
      <w:marTop w:val="0"/>
      <w:marBottom w:val="0"/>
      <w:divBdr>
        <w:top w:val="none" w:sz="0" w:space="0" w:color="auto"/>
        <w:left w:val="none" w:sz="0" w:space="0" w:color="auto"/>
        <w:bottom w:val="none" w:sz="0" w:space="0" w:color="auto"/>
        <w:right w:val="none" w:sz="0" w:space="0" w:color="auto"/>
      </w:divBdr>
    </w:div>
    <w:div w:id="932738796">
      <w:bodyDiv w:val="1"/>
      <w:marLeft w:val="0"/>
      <w:marRight w:val="0"/>
      <w:marTop w:val="0"/>
      <w:marBottom w:val="0"/>
      <w:divBdr>
        <w:top w:val="none" w:sz="0" w:space="0" w:color="auto"/>
        <w:left w:val="none" w:sz="0" w:space="0" w:color="auto"/>
        <w:bottom w:val="none" w:sz="0" w:space="0" w:color="auto"/>
        <w:right w:val="none" w:sz="0" w:space="0" w:color="auto"/>
      </w:divBdr>
    </w:div>
    <w:div w:id="195416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5AEEB-8C15-45BE-8CBA-9D5665D82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2448</Words>
  <Characters>13958</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Acer</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Petrasová Agáta</cp:lastModifiedBy>
  <cp:revision>5</cp:revision>
  <cp:lastPrinted>2022-05-10T08:37:00Z</cp:lastPrinted>
  <dcterms:created xsi:type="dcterms:W3CDTF">2022-05-11T07:26:00Z</dcterms:created>
  <dcterms:modified xsi:type="dcterms:W3CDTF">2022-06-23T09:27:00Z</dcterms:modified>
</cp:coreProperties>
</file>